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1346" w14:textId="6616EF79" w:rsidR="00762DF8" w:rsidRPr="00762DF8" w:rsidRDefault="006F251F" w:rsidP="00762DF8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A</w:t>
      </w:r>
      <w:r w:rsidR="00F54AED">
        <w:rPr>
          <w:sz w:val="40"/>
          <w:szCs w:val="40"/>
        </w:rPr>
        <w:t>rchitect legislation: a</w:t>
      </w:r>
      <w:r>
        <w:rPr>
          <w:sz w:val="40"/>
          <w:szCs w:val="40"/>
        </w:rPr>
        <w:t xml:space="preserve"> proposed amendment to address issues regarding the l</w:t>
      </w:r>
      <w:r w:rsidR="00AE3BCA">
        <w:rPr>
          <w:sz w:val="40"/>
          <w:szCs w:val="40"/>
        </w:rPr>
        <w:t>icensing of</w:t>
      </w:r>
      <w:r w:rsidR="008A617C">
        <w:rPr>
          <w:sz w:val="40"/>
          <w:szCs w:val="40"/>
        </w:rPr>
        <w:t xml:space="preserve"> </w:t>
      </w:r>
      <w:r w:rsidR="003972E9">
        <w:rPr>
          <w:sz w:val="40"/>
          <w:szCs w:val="40"/>
        </w:rPr>
        <w:t>n</w:t>
      </w:r>
      <w:r w:rsidR="00762DF8" w:rsidRPr="00762DF8">
        <w:rPr>
          <w:sz w:val="40"/>
          <w:szCs w:val="40"/>
        </w:rPr>
        <w:t xml:space="preserve">on-traditional corporations </w:t>
      </w:r>
    </w:p>
    <w:p w14:paraId="4140A469" w14:textId="77777777" w:rsidR="00762DF8" w:rsidRPr="00762DF8" w:rsidRDefault="00762DF8" w:rsidP="00251B7D">
      <w:pPr>
        <w:pStyle w:val="Header"/>
      </w:pPr>
    </w:p>
    <w:p w14:paraId="3EE2B0A2" w14:textId="7FE8D4A3" w:rsidR="00BF4880" w:rsidRPr="00762DF8" w:rsidRDefault="00762DF8" w:rsidP="00251B7D">
      <w:pPr>
        <w:pStyle w:val="Heading1"/>
        <w:rPr>
          <w:sz w:val="28"/>
        </w:rPr>
      </w:pPr>
      <w:r w:rsidRPr="00762DF8">
        <w:rPr>
          <w:sz w:val="28"/>
        </w:rPr>
        <w:t>Overview</w:t>
      </w:r>
      <w:r w:rsidR="00031513" w:rsidRPr="00762DF8">
        <w:rPr>
          <w:sz w:val="28"/>
        </w:rPr>
        <w:t xml:space="preserve"> </w:t>
      </w:r>
    </w:p>
    <w:p w14:paraId="54C29BE0" w14:textId="7E45FB01" w:rsidR="00A252F3" w:rsidRDefault="00AE3BCA" w:rsidP="0097634C">
      <w:pPr>
        <w:spacing w:after="240" w:line="240" w:lineRule="auto"/>
        <w:jc w:val="both"/>
      </w:pPr>
      <w:r w:rsidRPr="00AE3BCA">
        <w:t>Building and Energy</w:t>
      </w:r>
      <w:r w:rsidR="00FC62B8" w:rsidRPr="00AE3BCA">
        <w:t xml:space="preserve"> </w:t>
      </w:r>
      <w:r w:rsidR="00C424A4" w:rsidRPr="00AE3BCA">
        <w:t xml:space="preserve">is </w:t>
      </w:r>
      <w:r w:rsidR="00146F57" w:rsidRPr="00AE3BCA">
        <w:t xml:space="preserve">inviting public submissions on </w:t>
      </w:r>
      <w:r w:rsidR="003972E9">
        <w:t xml:space="preserve">a </w:t>
      </w:r>
      <w:r w:rsidR="00146F57" w:rsidRPr="00AE3BCA">
        <w:t xml:space="preserve">proposed amendment </w:t>
      </w:r>
      <w:r w:rsidR="003972E9">
        <w:t xml:space="preserve">to </w:t>
      </w:r>
      <w:r w:rsidR="00146F57" w:rsidRPr="00AE3BCA">
        <w:t xml:space="preserve">the </w:t>
      </w:r>
      <w:r w:rsidR="00645B1C" w:rsidRPr="007771CD">
        <w:rPr>
          <w:i/>
          <w:iCs/>
        </w:rPr>
        <w:t>Architects Regulations 2005</w:t>
      </w:r>
      <w:r w:rsidRPr="00AE3BCA">
        <w:t xml:space="preserve"> (</w:t>
      </w:r>
      <w:r w:rsidR="00B5537F">
        <w:t>the</w:t>
      </w:r>
      <w:r w:rsidRPr="00AE3BCA">
        <w:t xml:space="preserve"> </w:t>
      </w:r>
      <w:r w:rsidR="00645B1C">
        <w:t>Regulations</w:t>
      </w:r>
      <w:r w:rsidR="00146F57" w:rsidRPr="00AE3BCA">
        <w:t>) regarding</w:t>
      </w:r>
      <w:r w:rsidR="007D3BE3">
        <w:t xml:space="preserve"> the</w:t>
      </w:r>
      <w:r w:rsidR="00146F57" w:rsidRPr="00AE3BCA">
        <w:t xml:space="preserve"> </w:t>
      </w:r>
      <w:r w:rsidRPr="00AE3BCA">
        <w:t xml:space="preserve">licensing of </w:t>
      </w:r>
      <w:r w:rsidR="007D3BE3">
        <w:t xml:space="preserve">corporations. The focus is on </w:t>
      </w:r>
      <w:r w:rsidR="003972E9">
        <w:t>‘</w:t>
      </w:r>
      <w:r w:rsidRPr="00AE3BCA">
        <w:t>non-traditional</w:t>
      </w:r>
      <w:r w:rsidR="00511823">
        <w:t xml:space="preserve"> </w:t>
      </w:r>
      <w:r w:rsidRPr="00AE3BCA">
        <w:t>corporations</w:t>
      </w:r>
      <w:r w:rsidR="007709BA">
        <w:t>’</w:t>
      </w:r>
      <w:r w:rsidR="003972E9">
        <w:t xml:space="preserve"> (NTCs)</w:t>
      </w:r>
      <w:r w:rsidR="006A0598">
        <w:t xml:space="preserve">, whose proposed architectural services are only a minor or secondary component of the business of these corporations </w:t>
      </w:r>
      <w:r w:rsidR="007709BA">
        <w:t xml:space="preserve">(while </w:t>
      </w:r>
      <w:r w:rsidR="002D5D30">
        <w:t>their</w:t>
      </w:r>
      <w:r w:rsidR="006A0598">
        <w:t xml:space="preserve"> core business may be building, drafting, or various multi-disciplinary services</w:t>
      </w:r>
      <w:r w:rsidR="007709BA">
        <w:t>)</w:t>
      </w:r>
      <w:r w:rsidRPr="00AE3BCA">
        <w:t xml:space="preserve">. </w:t>
      </w:r>
      <w:r w:rsidR="00A252F3" w:rsidRPr="006C5305">
        <w:t>The Report of the Statutory Review of the Architects Act 2004</w:t>
      </w:r>
      <w:r w:rsidR="00270ABA">
        <w:t xml:space="preserve"> </w:t>
      </w:r>
      <w:r w:rsidR="00270ABA" w:rsidRPr="006C5305">
        <w:t>(the Statutory Review)</w:t>
      </w:r>
      <w:r w:rsidR="006C5305">
        <w:t>,</w:t>
      </w:r>
      <w:r w:rsidR="00A252F3" w:rsidRPr="006C5305">
        <w:t xml:space="preserve"> published in December 2018, </w:t>
      </w:r>
      <w:proofErr w:type="gramStart"/>
      <w:r w:rsidR="00A53088">
        <w:t>looked into</w:t>
      </w:r>
      <w:proofErr w:type="gramEnd"/>
      <w:r w:rsidR="00A53088">
        <w:t xml:space="preserve"> the </w:t>
      </w:r>
      <w:r w:rsidR="00F354CC">
        <w:t>concerns of the Architects Board of Western Australia (</w:t>
      </w:r>
      <w:r w:rsidR="00F73A82">
        <w:t xml:space="preserve">the </w:t>
      </w:r>
      <w:r w:rsidR="00F354CC">
        <w:t>Board) in</w:t>
      </w:r>
      <w:r w:rsidR="00A53088">
        <w:t xml:space="preserve"> </w:t>
      </w:r>
      <w:r w:rsidR="006A0598">
        <w:t xml:space="preserve">licensing </w:t>
      </w:r>
      <w:r w:rsidR="00A53088">
        <w:t xml:space="preserve">NTCs. </w:t>
      </w:r>
    </w:p>
    <w:p w14:paraId="09604097" w14:textId="7C0F4E43" w:rsidR="00C85A7D" w:rsidRDefault="008901F4" w:rsidP="0097634C">
      <w:pPr>
        <w:spacing w:after="240" w:line="240" w:lineRule="auto"/>
        <w:jc w:val="both"/>
      </w:pPr>
      <w:r w:rsidRPr="00F73A82">
        <w:t xml:space="preserve">The primary focus of the Board under the </w:t>
      </w:r>
      <w:r w:rsidR="00645B1C" w:rsidRPr="00270ABA">
        <w:rPr>
          <w:i/>
          <w:iCs/>
        </w:rPr>
        <w:t>Architects Act 2004</w:t>
      </w:r>
      <w:r w:rsidR="00645B1C" w:rsidRPr="00AE3BCA">
        <w:t xml:space="preserve"> (</w:t>
      </w:r>
      <w:r w:rsidR="00645B1C">
        <w:t>the</w:t>
      </w:r>
      <w:r w:rsidR="00645B1C" w:rsidRPr="00AE3BCA">
        <w:t xml:space="preserve"> Act) </w:t>
      </w:r>
      <w:r w:rsidRPr="00F73A82">
        <w:t>is to protect consumers of architectural and related services in Western Australia</w:t>
      </w:r>
      <w:r w:rsidR="00F73A82" w:rsidRPr="00F73A82">
        <w:t xml:space="preserve"> (WA)</w:t>
      </w:r>
      <w:r w:rsidRPr="00F73A82">
        <w:t xml:space="preserve">. The Board is required to ensure that only properly qualified competent persons are identified as architects and to regulate the practice of architecture in </w:t>
      </w:r>
      <w:r w:rsidR="00F73A82" w:rsidRPr="00F73A82">
        <w:t>WA</w:t>
      </w:r>
      <w:r w:rsidRPr="00F73A82">
        <w:t xml:space="preserve">. As </w:t>
      </w:r>
      <w:r w:rsidR="000425F6" w:rsidRPr="00F73A82">
        <w:t xml:space="preserve">an integral </w:t>
      </w:r>
      <w:r w:rsidRPr="00F73A82">
        <w:t>part of this process, before licensing a corporation, the Board must ensure (among other things) that all architectural work to be done by the corporation is to be done under “the direct control and supervision” of a registered person who is an officer or employee of the corporation and that the means by which this is done are acceptable to the Board</w:t>
      </w:r>
      <w:r w:rsidR="00D33F15" w:rsidRPr="00F73A82">
        <w:t xml:space="preserve"> (see regulation 15 of the </w:t>
      </w:r>
      <w:r w:rsidR="00F354CC" w:rsidRPr="00F73A82">
        <w:t>Regulations</w:t>
      </w:r>
      <w:r w:rsidR="00D33F15" w:rsidRPr="00F73A82">
        <w:t>)</w:t>
      </w:r>
      <w:r w:rsidRPr="00F73A82">
        <w:t>.</w:t>
      </w:r>
    </w:p>
    <w:p w14:paraId="01798919" w14:textId="2ABDA872" w:rsidR="00D9433B" w:rsidRDefault="008F2A64" w:rsidP="0097634C">
      <w:pPr>
        <w:spacing w:after="240" w:line="240" w:lineRule="auto"/>
        <w:jc w:val="both"/>
      </w:pPr>
      <w:r>
        <w:t>These important legislative requirements (</w:t>
      </w:r>
      <w:r w:rsidR="00F354CC">
        <w:t>intended</w:t>
      </w:r>
      <w:r>
        <w:t xml:space="preserve"> to </w:t>
      </w:r>
      <w:r w:rsidR="00F354CC">
        <w:t>protect</w:t>
      </w:r>
      <w:r>
        <w:t xml:space="preserve"> consumers</w:t>
      </w:r>
      <w:r w:rsidR="00376D8D">
        <w:t xml:space="preserve"> but lacking in specificity</w:t>
      </w:r>
      <w:r>
        <w:t xml:space="preserve">) are difficult to </w:t>
      </w:r>
      <w:r w:rsidR="00376D8D">
        <w:t>apply</w:t>
      </w:r>
      <w:r>
        <w:t xml:space="preserve"> to </w:t>
      </w:r>
      <w:r w:rsidR="00376D8D">
        <w:t xml:space="preserve">licensing </w:t>
      </w:r>
      <w:r>
        <w:t>applications by NTCs</w:t>
      </w:r>
      <w:r w:rsidRPr="008F2A64">
        <w:t xml:space="preserve"> </w:t>
      </w:r>
      <w:r>
        <w:t xml:space="preserve">whose architectural services (unlike those of traditional </w:t>
      </w:r>
      <w:r w:rsidR="00376D8D">
        <w:t xml:space="preserve">licensed </w:t>
      </w:r>
      <w:r>
        <w:t>corporations) are not the primary business of the corporation.</w:t>
      </w:r>
      <w:r w:rsidR="00C85A7D">
        <w:t xml:space="preserve"> </w:t>
      </w:r>
      <w:r w:rsidR="00B22E79">
        <w:t>Whilst only a small number of corporations applying to be licen</w:t>
      </w:r>
      <w:r w:rsidR="00376D8D">
        <w:t>s</w:t>
      </w:r>
      <w:r w:rsidR="00B22E79">
        <w:t>ed by the Board fall into the NTC category, t</w:t>
      </w:r>
      <w:r w:rsidR="00C85A7D">
        <w:t xml:space="preserve">he Board must </w:t>
      </w:r>
      <w:r w:rsidR="000425F6">
        <w:t xml:space="preserve">currently </w:t>
      </w:r>
      <w:r w:rsidR="00C85A7D">
        <w:t xml:space="preserve">seek to unravel the structure and inner workings of </w:t>
      </w:r>
      <w:r w:rsidR="00B22E79">
        <w:t>each</w:t>
      </w:r>
      <w:r w:rsidR="00C85A7D">
        <w:t xml:space="preserve"> NTC </w:t>
      </w:r>
      <w:r w:rsidR="00B22E79">
        <w:t xml:space="preserve">on an individual basis </w:t>
      </w:r>
      <w:r w:rsidR="00C85A7D">
        <w:t xml:space="preserve">to a sufficient extent </w:t>
      </w:r>
      <w:r w:rsidR="00376D8D">
        <w:t xml:space="preserve">(but without </w:t>
      </w:r>
      <w:r w:rsidR="00253668">
        <w:t>much</w:t>
      </w:r>
      <w:r w:rsidR="00376D8D">
        <w:t xml:space="preserve"> legislative guidance) </w:t>
      </w:r>
      <w:r w:rsidR="00C85A7D">
        <w:t>to satisfy the requirements of regulation 15</w:t>
      </w:r>
      <w:r w:rsidR="00376D8D">
        <w:t xml:space="preserve"> of the Regulations</w:t>
      </w:r>
      <w:r w:rsidR="00C85A7D">
        <w:t xml:space="preserve">. Otherwise, consumers of an NTC </w:t>
      </w:r>
      <w:r w:rsidR="00B22E79">
        <w:t>(</w:t>
      </w:r>
      <w:r w:rsidR="00C85A7D">
        <w:t xml:space="preserve">if it were to be licensed without </w:t>
      </w:r>
      <w:r w:rsidR="00376D8D">
        <w:t>the necessary rigour</w:t>
      </w:r>
      <w:r w:rsidR="00B22E79">
        <w:t>)</w:t>
      </w:r>
      <w:r w:rsidR="00C85A7D">
        <w:t xml:space="preserve"> may believe </w:t>
      </w:r>
      <w:r w:rsidR="002949CC">
        <w:t xml:space="preserve">that </w:t>
      </w:r>
      <w:r w:rsidR="00C85A7D">
        <w:t xml:space="preserve">they are receiving an architectural service from this NTC when they are </w:t>
      </w:r>
      <w:proofErr w:type="gramStart"/>
      <w:r w:rsidR="00C85A7D">
        <w:t>actually receiving</w:t>
      </w:r>
      <w:proofErr w:type="gramEnd"/>
      <w:r w:rsidR="00C85A7D">
        <w:t xml:space="preserve"> one of the other services offered by the NTC that is </w:t>
      </w:r>
      <w:r w:rsidR="00C85A7D" w:rsidRPr="00BB6F4C">
        <w:rPr>
          <w:b/>
          <w:bCs/>
        </w:rPr>
        <w:t>not</w:t>
      </w:r>
      <w:r w:rsidR="00C85A7D">
        <w:t xml:space="preserve"> regulated by the Board. This raises potential risks for consumers</w:t>
      </w:r>
      <w:r w:rsidR="00B22E79">
        <w:t xml:space="preserve"> as</w:t>
      </w:r>
      <w:r w:rsidR="00E44392">
        <w:t xml:space="preserve">, </w:t>
      </w:r>
      <w:r w:rsidR="00B22E79">
        <w:t>o</w:t>
      </w:r>
      <w:r w:rsidR="00C85A7D">
        <w:t>nce an NTC is licensed and listed on the Register</w:t>
      </w:r>
      <w:r w:rsidR="00E44392">
        <w:t>,</w:t>
      </w:r>
      <w:r w:rsidR="00C85A7D">
        <w:t xml:space="preserve"> a consumer is likely to assume (perhaps incorrectly) that </w:t>
      </w:r>
      <w:proofErr w:type="gramStart"/>
      <w:r w:rsidR="00376D8D">
        <w:t>all of</w:t>
      </w:r>
      <w:proofErr w:type="gramEnd"/>
      <w:r w:rsidR="00376D8D">
        <w:t xml:space="preserve"> </w:t>
      </w:r>
      <w:r w:rsidR="00C85A7D">
        <w:t xml:space="preserve">the services being provided </w:t>
      </w:r>
      <w:r w:rsidR="00376D8D">
        <w:t xml:space="preserve">to them </w:t>
      </w:r>
      <w:r w:rsidR="00C85A7D">
        <w:t xml:space="preserve">by </w:t>
      </w:r>
      <w:r w:rsidR="00F354CC">
        <w:t>a</w:t>
      </w:r>
      <w:r w:rsidR="00C85A7D">
        <w:t xml:space="preserve"> </w:t>
      </w:r>
      <w:r w:rsidR="00F354CC">
        <w:t xml:space="preserve">registered </w:t>
      </w:r>
      <w:r w:rsidR="00C85A7D">
        <w:t xml:space="preserve">NTC </w:t>
      </w:r>
      <w:r w:rsidR="00F354CC">
        <w:t>consist of</w:t>
      </w:r>
      <w:r w:rsidR="00C85A7D">
        <w:t xml:space="preserve"> architectural work. </w:t>
      </w:r>
    </w:p>
    <w:p w14:paraId="396E1038" w14:textId="30D51FFD" w:rsidR="00B5537F" w:rsidRDefault="00227FFD" w:rsidP="00F354CC">
      <w:pPr>
        <w:spacing w:after="240" w:line="240" w:lineRule="auto"/>
        <w:jc w:val="both"/>
      </w:pPr>
      <w:r>
        <w:t xml:space="preserve">The Board considers that the legislation </w:t>
      </w:r>
      <w:r w:rsidR="00B22E79">
        <w:t xml:space="preserve">in its current form </w:t>
      </w:r>
      <w:r>
        <w:t xml:space="preserve">provides insufficient guidance for the </w:t>
      </w:r>
      <w:r w:rsidR="00C65248">
        <w:t xml:space="preserve">proper </w:t>
      </w:r>
      <w:r>
        <w:t>consideration of licensing applications from NTCs</w:t>
      </w:r>
      <w:r w:rsidR="00B22E79">
        <w:t xml:space="preserve">. More detail is required </w:t>
      </w:r>
      <w:r w:rsidR="00C65248">
        <w:t xml:space="preserve">in the legislation </w:t>
      </w:r>
      <w:r w:rsidR="00B22E79">
        <w:t xml:space="preserve">concerning the necessary structure </w:t>
      </w:r>
      <w:r w:rsidR="00C65248">
        <w:t>of</w:t>
      </w:r>
      <w:r w:rsidR="00B22E79">
        <w:t xml:space="preserve"> a licensed corporation </w:t>
      </w:r>
      <w:r w:rsidR="00C65248">
        <w:t xml:space="preserve">(especially </w:t>
      </w:r>
      <w:r w:rsidR="00B22E79">
        <w:t>given t</w:t>
      </w:r>
      <w:r>
        <w:t xml:space="preserve">he undefined terms of </w:t>
      </w:r>
      <w:r>
        <w:rPr>
          <w:i/>
          <w:iCs/>
        </w:rPr>
        <w:t xml:space="preserve">architectural </w:t>
      </w:r>
      <w:r w:rsidRPr="00B5537F">
        <w:rPr>
          <w:i/>
          <w:iCs/>
        </w:rPr>
        <w:t>work</w:t>
      </w:r>
      <w:r>
        <w:t xml:space="preserve"> and </w:t>
      </w:r>
      <w:r>
        <w:rPr>
          <w:i/>
          <w:iCs/>
        </w:rPr>
        <w:t xml:space="preserve">direct </w:t>
      </w:r>
      <w:r>
        <w:rPr>
          <w:i/>
          <w:iCs/>
        </w:rPr>
        <w:lastRenderedPageBreak/>
        <w:t xml:space="preserve">control and supervision </w:t>
      </w:r>
      <w:r>
        <w:t>in regulation 15 of the Regulations</w:t>
      </w:r>
      <w:r w:rsidR="00C65248">
        <w:t>)</w:t>
      </w:r>
      <w:r w:rsidR="00B22E79">
        <w:t xml:space="preserve"> to assist </w:t>
      </w:r>
      <w:r w:rsidR="00E30BE5">
        <w:t>the Board</w:t>
      </w:r>
      <w:r w:rsidR="00F354CC">
        <w:t xml:space="preserve"> </w:t>
      </w:r>
      <w:r w:rsidR="00B22E79">
        <w:t>in assessing</w:t>
      </w:r>
      <w:r w:rsidR="00376D8D">
        <w:t xml:space="preserve"> </w:t>
      </w:r>
      <w:r w:rsidR="00E30BE5">
        <w:t xml:space="preserve">the </w:t>
      </w:r>
      <w:r w:rsidR="00376D8D">
        <w:t xml:space="preserve">necessary </w:t>
      </w:r>
      <w:r w:rsidR="00E30BE5">
        <w:t xml:space="preserve">extent </w:t>
      </w:r>
      <w:r w:rsidR="00376D8D">
        <w:t xml:space="preserve">and means </w:t>
      </w:r>
      <w:r w:rsidR="00E30BE5">
        <w:t xml:space="preserve">of </w:t>
      </w:r>
      <w:r w:rsidR="00376D8D">
        <w:t xml:space="preserve">supervision and control of </w:t>
      </w:r>
      <w:r w:rsidR="00E30BE5">
        <w:t xml:space="preserve">architectural services that an NTC </w:t>
      </w:r>
      <w:r w:rsidR="00C65248">
        <w:t>must</w:t>
      </w:r>
      <w:r w:rsidR="00E30BE5">
        <w:t xml:space="preserve"> provide</w:t>
      </w:r>
      <w:r w:rsidR="00C65248">
        <w:t xml:space="preserve"> to be licensed under the Act</w:t>
      </w:r>
      <w:r w:rsidR="007709BA">
        <w:t>.</w:t>
      </w:r>
      <w:r w:rsidR="00F354CC">
        <w:t xml:space="preserve"> </w:t>
      </w:r>
      <w:r w:rsidR="007709BA">
        <w:t>This will also support the Board</w:t>
      </w:r>
      <w:r w:rsidR="00376D8D">
        <w:t>’s efforts</w:t>
      </w:r>
      <w:r w:rsidR="00F354CC">
        <w:t xml:space="preserve"> </w:t>
      </w:r>
      <w:r w:rsidR="004228F4">
        <w:t xml:space="preserve">in </w:t>
      </w:r>
      <w:r w:rsidR="002E04A6">
        <w:t>properly regulat</w:t>
      </w:r>
      <w:r w:rsidR="004228F4">
        <w:t>ing</w:t>
      </w:r>
      <w:r w:rsidR="002E04A6">
        <w:t xml:space="preserve"> an NTC</w:t>
      </w:r>
      <w:r w:rsidR="006B55D9">
        <w:t>, once registered</w:t>
      </w:r>
      <w:r w:rsidR="002E04A6">
        <w:t xml:space="preserve"> </w:t>
      </w:r>
      <w:r w:rsidR="00F354CC">
        <w:t>(</w:t>
      </w:r>
      <w:r w:rsidR="002E04A6">
        <w:t>in circumstances where only some of the services provided by this corporation are subject to the protections afforded by the Act</w:t>
      </w:r>
      <w:r w:rsidR="00F354CC">
        <w:t>)</w:t>
      </w:r>
      <w:r w:rsidR="002E04A6">
        <w:t xml:space="preserve">. </w:t>
      </w:r>
    </w:p>
    <w:p w14:paraId="3C9A880B" w14:textId="2B6D8E2D" w:rsidR="0010188D" w:rsidRPr="0084415B" w:rsidRDefault="006C5305" w:rsidP="0084415B">
      <w:pPr>
        <w:spacing w:after="240" w:line="240" w:lineRule="auto"/>
        <w:jc w:val="both"/>
      </w:pPr>
      <w:r>
        <w:t>Recommendation 23 from the Statutory Review</w:t>
      </w:r>
      <w:r w:rsidR="0084415B">
        <w:t xml:space="preserve"> </w:t>
      </w:r>
      <w:r w:rsidR="00255AFC">
        <w:t>resolved</w:t>
      </w:r>
      <w:r w:rsidR="0084415B">
        <w:t xml:space="preserve"> that further consultation is </w:t>
      </w:r>
      <w:r w:rsidR="00E44392">
        <w:t>needed</w:t>
      </w:r>
      <w:r w:rsidR="0084415B">
        <w:t xml:space="preserve"> on the issue of licensing architectural corporations, to address the </w:t>
      </w:r>
      <w:r w:rsidR="003E707D">
        <w:t xml:space="preserve">various </w:t>
      </w:r>
      <w:r w:rsidR="0084415B">
        <w:t xml:space="preserve">problems </w:t>
      </w:r>
      <w:r w:rsidR="003E707D">
        <w:t>identified</w:t>
      </w:r>
      <w:r w:rsidR="0084415B">
        <w:t xml:space="preserve">.  </w:t>
      </w:r>
    </w:p>
    <w:p w14:paraId="752D7A5D" w14:textId="2801969C" w:rsidR="0010188D" w:rsidRPr="00A252F3" w:rsidRDefault="0010188D" w:rsidP="0010188D">
      <w:pPr>
        <w:pStyle w:val="BodyText"/>
        <w:spacing w:line="240" w:lineRule="auto"/>
        <w:jc w:val="both"/>
      </w:pPr>
      <w:r>
        <w:t xml:space="preserve">You can </w:t>
      </w:r>
      <w:r w:rsidR="007609BA">
        <w:t xml:space="preserve">also </w:t>
      </w:r>
      <w:r>
        <w:t>read more about this issue on pages 60 – 63 of the</w:t>
      </w:r>
      <w:r w:rsidRPr="00A252F3">
        <w:t xml:space="preserve"> Statutory Review</w:t>
      </w:r>
      <w:r>
        <w:t xml:space="preserve"> via this link</w:t>
      </w:r>
      <w:r w:rsidRPr="00A252F3">
        <w:t>:</w:t>
      </w:r>
      <w:r w:rsidR="007609BA">
        <w:t xml:space="preserve"> </w:t>
      </w:r>
      <w:hyperlink r:id="rId13" w:history="1">
        <w:r w:rsidR="002C009A" w:rsidRPr="001F7FE3">
          <w:rPr>
            <w:rStyle w:val="Hyperlink"/>
          </w:rPr>
          <w:t>https://www.wa.gov.au/government/publications/review-of-the-architects-act-2004</w:t>
        </w:r>
      </w:hyperlink>
      <w:r w:rsidR="008E652D">
        <w:t xml:space="preserve"> </w:t>
      </w:r>
    </w:p>
    <w:p w14:paraId="7E0401C4" w14:textId="668F8176" w:rsidR="00762DF8" w:rsidRPr="00762DF8" w:rsidRDefault="009C24C1" w:rsidP="00762DF8">
      <w:pPr>
        <w:pStyle w:val="Heading1"/>
        <w:rPr>
          <w:sz w:val="28"/>
        </w:rPr>
      </w:pPr>
      <w:r>
        <w:rPr>
          <w:sz w:val="28"/>
        </w:rPr>
        <w:br/>
      </w:r>
      <w:r w:rsidR="00762DF8" w:rsidRPr="00762DF8">
        <w:rPr>
          <w:sz w:val="28"/>
        </w:rPr>
        <w:t>The proposed amendment</w:t>
      </w:r>
    </w:p>
    <w:p w14:paraId="11B69586" w14:textId="1AD3207C" w:rsidR="00762DF8" w:rsidRDefault="006C5305" w:rsidP="00F31184">
      <w:pPr>
        <w:pStyle w:val="BodyText"/>
        <w:jc w:val="both"/>
      </w:pPr>
      <w:r>
        <w:t>As part of the State Government’s implementation of the Statutory Review</w:t>
      </w:r>
      <w:r w:rsidR="0084415B">
        <w:t xml:space="preserve"> recommendations</w:t>
      </w:r>
      <w:r>
        <w:t xml:space="preserve">, </w:t>
      </w:r>
      <w:r w:rsidR="0084415B">
        <w:t xml:space="preserve">further </w:t>
      </w:r>
      <w:r>
        <w:t xml:space="preserve">consideration has been given to addressing the </w:t>
      </w:r>
      <w:r w:rsidR="0084415B">
        <w:t xml:space="preserve">issues </w:t>
      </w:r>
      <w:r w:rsidR="008E652D">
        <w:t>around</w:t>
      </w:r>
      <w:r w:rsidR="0084415B">
        <w:t xml:space="preserve"> NTCs</w:t>
      </w:r>
      <w:r>
        <w:t xml:space="preserve">. </w:t>
      </w:r>
      <w:r w:rsidR="00BB6F4C">
        <w:t xml:space="preserve">Building and Energy have researched legislation from other jurisdictions to better understand how corporations are being regulated in other parts of the country.  </w:t>
      </w:r>
    </w:p>
    <w:p w14:paraId="3F4061CB" w14:textId="7D852216" w:rsidR="0013795C" w:rsidRDefault="0084415B" w:rsidP="00F31184">
      <w:pPr>
        <w:pStyle w:val="BodyText"/>
        <w:jc w:val="both"/>
      </w:pPr>
      <w:r w:rsidRPr="00BB6F4C">
        <w:t xml:space="preserve">In consultation with the Board, it is </w:t>
      </w:r>
      <w:r w:rsidR="006A5A1F">
        <w:t xml:space="preserve">now </w:t>
      </w:r>
      <w:r w:rsidRPr="00BB6F4C">
        <w:t xml:space="preserve">proposed to </w:t>
      </w:r>
      <w:r w:rsidR="00C10B90">
        <w:t>add</w:t>
      </w:r>
      <w:r w:rsidRPr="00BB6F4C">
        <w:t xml:space="preserve"> </w:t>
      </w:r>
      <w:r w:rsidR="00C10B90">
        <w:t xml:space="preserve">the </w:t>
      </w:r>
      <w:r w:rsidR="0013795C">
        <w:t>following</w:t>
      </w:r>
      <w:r w:rsidR="00C10B90">
        <w:t xml:space="preserve"> new requirement</w:t>
      </w:r>
      <w:r w:rsidR="001B0BE3">
        <w:t>s</w:t>
      </w:r>
      <w:r w:rsidR="00C10B90">
        <w:t xml:space="preserve"> for corporations to be able to be licence</w:t>
      </w:r>
      <w:r w:rsidR="00306B8A">
        <w:t>d</w:t>
      </w:r>
      <w:r w:rsidR="00C10B90">
        <w:t xml:space="preserve"> under section 31(b) of the Act and regulation 15 of the Regulations</w:t>
      </w:r>
      <w:r w:rsidR="0013795C">
        <w:t>:</w:t>
      </w:r>
    </w:p>
    <w:p w14:paraId="09C4B4E6" w14:textId="0B841456" w:rsidR="0013795C" w:rsidRDefault="0013795C" w:rsidP="0013795C">
      <w:pPr>
        <w:pStyle w:val="BodyText"/>
        <w:ind w:left="567"/>
        <w:jc w:val="both"/>
        <w:rPr>
          <w:i/>
          <w:iCs/>
        </w:rPr>
      </w:pPr>
      <w:r w:rsidRPr="00306B8A">
        <w:rPr>
          <w:i/>
          <w:iCs/>
        </w:rPr>
        <w:t>(</w:t>
      </w:r>
      <w:r w:rsidR="001B0BE3">
        <w:rPr>
          <w:i/>
          <w:iCs/>
        </w:rPr>
        <w:t>1</w:t>
      </w:r>
      <w:r w:rsidRPr="00306B8A">
        <w:rPr>
          <w:i/>
          <w:iCs/>
        </w:rPr>
        <w:t xml:space="preserve">) in the case of a </w:t>
      </w:r>
      <w:r>
        <w:rPr>
          <w:i/>
          <w:iCs/>
        </w:rPr>
        <w:t>corporation</w:t>
      </w:r>
      <w:r w:rsidRPr="00306B8A">
        <w:rPr>
          <w:i/>
          <w:iCs/>
        </w:rPr>
        <w:t xml:space="preserve"> with a governing body consisting of an even number of members—at least half of the members of the governing body </w:t>
      </w:r>
      <w:r w:rsidR="001B0BE3">
        <w:rPr>
          <w:i/>
          <w:iCs/>
        </w:rPr>
        <w:t>needs to be</w:t>
      </w:r>
      <w:r w:rsidRPr="00306B8A">
        <w:rPr>
          <w:i/>
          <w:iCs/>
        </w:rPr>
        <w:t xml:space="preserve"> registered architects</w:t>
      </w:r>
      <w:r w:rsidR="0021680C">
        <w:rPr>
          <w:i/>
          <w:iCs/>
        </w:rPr>
        <w:t>.</w:t>
      </w:r>
      <w:r w:rsidRPr="00306B8A">
        <w:rPr>
          <w:i/>
          <w:iCs/>
        </w:rPr>
        <w:t xml:space="preserve"> </w:t>
      </w:r>
    </w:p>
    <w:p w14:paraId="5A5CA37C" w14:textId="5E5B3AB4" w:rsidR="0013795C" w:rsidRPr="00306B8A" w:rsidRDefault="0013795C" w:rsidP="0013795C">
      <w:pPr>
        <w:pStyle w:val="BodyText"/>
        <w:ind w:left="567"/>
        <w:jc w:val="both"/>
        <w:rPr>
          <w:i/>
          <w:iCs/>
        </w:rPr>
      </w:pPr>
      <w:r w:rsidRPr="00306B8A">
        <w:rPr>
          <w:i/>
          <w:iCs/>
        </w:rPr>
        <w:t>(</w:t>
      </w:r>
      <w:r w:rsidR="001B0BE3">
        <w:rPr>
          <w:i/>
          <w:iCs/>
        </w:rPr>
        <w:t>2</w:t>
      </w:r>
      <w:r w:rsidRPr="00306B8A">
        <w:rPr>
          <w:i/>
          <w:iCs/>
        </w:rPr>
        <w:t xml:space="preserve">) in any other case—a majority of the members of the governing body of the body corporate </w:t>
      </w:r>
      <w:r w:rsidR="001B0BE3">
        <w:rPr>
          <w:i/>
          <w:iCs/>
        </w:rPr>
        <w:t>need to be</w:t>
      </w:r>
      <w:r w:rsidRPr="00306B8A">
        <w:rPr>
          <w:i/>
          <w:iCs/>
        </w:rPr>
        <w:t xml:space="preserve"> registered architects</w:t>
      </w:r>
      <w:r>
        <w:rPr>
          <w:i/>
          <w:iCs/>
        </w:rPr>
        <w:t>.</w:t>
      </w:r>
    </w:p>
    <w:p w14:paraId="12452205" w14:textId="07CE4702" w:rsidR="00306B8A" w:rsidRDefault="00306B8A" w:rsidP="00F31184">
      <w:pPr>
        <w:pStyle w:val="BodyText"/>
        <w:jc w:val="both"/>
      </w:pPr>
      <w:r>
        <w:t xml:space="preserve">The requirement </w:t>
      </w:r>
      <w:r w:rsidR="0013795C">
        <w:t>is</w:t>
      </w:r>
      <w:r>
        <w:t xml:space="preserve"> modelled on section 33 of</w:t>
      </w:r>
      <w:r w:rsidR="0084415B" w:rsidRPr="00BB6F4C">
        <w:t xml:space="preserve"> </w:t>
      </w:r>
      <w:r w:rsidR="002452FD">
        <w:t xml:space="preserve">the </w:t>
      </w:r>
      <w:r w:rsidR="0084415B" w:rsidRPr="00BB6F4C">
        <w:t>South Australia</w:t>
      </w:r>
      <w:r w:rsidR="002452FD">
        <w:t>n</w:t>
      </w:r>
      <w:r>
        <w:t xml:space="preserve"> </w:t>
      </w:r>
      <w:r w:rsidRPr="00306B8A">
        <w:rPr>
          <w:i/>
          <w:iCs/>
        </w:rPr>
        <w:t>Architectural Practice Act 2009</w:t>
      </w:r>
      <w:r>
        <w:t xml:space="preserve">. </w:t>
      </w:r>
    </w:p>
    <w:p w14:paraId="41791833" w14:textId="75760FC9" w:rsidR="0013795C" w:rsidRDefault="00E82E91" w:rsidP="001B0BE3">
      <w:pPr>
        <w:pStyle w:val="BodyText"/>
        <w:jc w:val="both"/>
      </w:pPr>
      <w:r>
        <w:t>T</w:t>
      </w:r>
      <w:r w:rsidR="00E21178">
        <w:t xml:space="preserve">his amendment </w:t>
      </w:r>
      <w:r w:rsidR="00174EBD">
        <w:t xml:space="preserve">will </w:t>
      </w:r>
      <w:r>
        <w:t>address the</w:t>
      </w:r>
      <w:r w:rsidR="007806AC">
        <w:t xml:space="preserve"> licensing </w:t>
      </w:r>
      <w:r>
        <w:t>issues regarding NTCs</w:t>
      </w:r>
      <w:r w:rsidR="007806AC">
        <w:t xml:space="preserve"> and </w:t>
      </w:r>
      <w:r w:rsidR="00174EBD">
        <w:t>strengthen consumer</w:t>
      </w:r>
      <w:r w:rsidR="007806AC">
        <w:t xml:space="preserve"> </w:t>
      </w:r>
      <w:r w:rsidR="00174EBD">
        <w:t>protection</w:t>
      </w:r>
      <w:r>
        <w:t xml:space="preserve">, </w:t>
      </w:r>
      <w:r w:rsidR="003F553D">
        <w:t>b</w:t>
      </w:r>
      <w:r>
        <w:t>y ensuring that only corporations whose architectural services are a primary part of their business can be licensed by the Board</w:t>
      </w:r>
      <w:r w:rsidR="009C24C1">
        <w:t>.</w:t>
      </w:r>
      <w:r w:rsidR="009C24C1">
        <w:tab/>
      </w:r>
      <w:r w:rsidR="009C24C1">
        <w:br/>
      </w:r>
      <w:r w:rsidR="009C24C1">
        <w:br/>
      </w:r>
      <w:r w:rsidR="009C24C1">
        <w:br/>
      </w:r>
    </w:p>
    <w:p w14:paraId="588CF229" w14:textId="77777777" w:rsidR="00AE4BE1" w:rsidRDefault="00AE4BE1" w:rsidP="001B0BE3">
      <w:pPr>
        <w:pStyle w:val="BodyText"/>
        <w:jc w:val="both"/>
      </w:pPr>
    </w:p>
    <w:p w14:paraId="5118FB38" w14:textId="77777777" w:rsidR="005B2956" w:rsidRDefault="005B2956" w:rsidP="001B0BE3">
      <w:pPr>
        <w:pStyle w:val="BodyText"/>
        <w:jc w:val="both"/>
      </w:pPr>
    </w:p>
    <w:p w14:paraId="53E7BC8F" w14:textId="0F86CD27" w:rsidR="00762DF8" w:rsidRPr="00762DF8" w:rsidRDefault="00762DF8" w:rsidP="00F31184">
      <w:pPr>
        <w:pStyle w:val="Heading1"/>
        <w:jc w:val="both"/>
        <w:rPr>
          <w:sz w:val="28"/>
        </w:rPr>
      </w:pPr>
      <w:r w:rsidRPr="00762DF8">
        <w:rPr>
          <w:sz w:val="28"/>
        </w:rPr>
        <w:lastRenderedPageBreak/>
        <w:t>Consultation</w:t>
      </w:r>
    </w:p>
    <w:p w14:paraId="5EC6E7F9" w14:textId="480BA5D2" w:rsidR="002C009A" w:rsidRDefault="008176E1" w:rsidP="002C009A">
      <w:pPr>
        <w:pStyle w:val="BodyText"/>
        <w:jc w:val="both"/>
      </w:pPr>
      <w:r w:rsidRPr="00C323CA">
        <w:t>Your feedback is sought on whether you support the proposed change</w:t>
      </w:r>
      <w:r w:rsidR="00DE1369">
        <w:t>. Please elaborate on</w:t>
      </w:r>
      <w:r w:rsidR="00BB6F4C">
        <w:t xml:space="preserve"> any</w:t>
      </w:r>
      <w:r w:rsidR="002C009A">
        <w:t xml:space="preserve"> </w:t>
      </w:r>
      <w:r w:rsidR="00DA0B17">
        <w:t>implications</w:t>
      </w:r>
      <w:r w:rsidR="00BB6F4C">
        <w:t xml:space="preserve"> (positive or negative) that</w:t>
      </w:r>
      <w:r w:rsidR="00DA0B17">
        <w:t xml:space="preserve"> </w:t>
      </w:r>
      <w:r w:rsidR="00685CBD">
        <w:t xml:space="preserve">this change </w:t>
      </w:r>
      <w:r w:rsidR="00BB6F4C">
        <w:t>m</w:t>
      </w:r>
      <w:r w:rsidR="00DE1369">
        <w:t>ay</w:t>
      </w:r>
      <w:r w:rsidR="00BB6F4C">
        <w:t xml:space="preserve"> raise</w:t>
      </w:r>
      <w:r w:rsidR="001E590E" w:rsidRPr="00C323CA">
        <w:t>.</w:t>
      </w:r>
      <w:r w:rsidR="002C009A" w:rsidRPr="002C009A">
        <w:t xml:space="preserve"> </w:t>
      </w:r>
    </w:p>
    <w:p w14:paraId="73B9DD83" w14:textId="79846123" w:rsidR="002C009A" w:rsidRDefault="00137928" w:rsidP="002C009A">
      <w:pPr>
        <w:pStyle w:val="BodyText"/>
        <w:jc w:val="both"/>
      </w:pPr>
      <w:r w:rsidRPr="00C323CA">
        <w:t xml:space="preserve">Subject to this consultation, </w:t>
      </w:r>
      <w:r w:rsidR="00BB3DE0" w:rsidRPr="00C323CA">
        <w:t xml:space="preserve">the </w:t>
      </w:r>
      <w:r w:rsidR="00C323CA" w:rsidRPr="00C323CA">
        <w:t xml:space="preserve">legislative </w:t>
      </w:r>
      <w:r w:rsidR="00BB3DE0" w:rsidRPr="00C323CA">
        <w:t xml:space="preserve">amendment </w:t>
      </w:r>
      <w:r w:rsidR="009C24C1">
        <w:t>may be</w:t>
      </w:r>
      <w:r w:rsidR="00BB3DE0" w:rsidRPr="00C323CA">
        <w:t xml:space="preserve"> </w:t>
      </w:r>
      <w:r w:rsidR="00DE1369">
        <w:t>progressed</w:t>
      </w:r>
      <w:r w:rsidR="00BB3DE0" w:rsidRPr="00C323CA">
        <w:t xml:space="preserve"> </w:t>
      </w:r>
      <w:r w:rsidR="00DE1369">
        <w:t>during</w:t>
      </w:r>
      <w:r w:rsidR="00BB3DE0" w:rsidRPr="00C323CA">
        <w:t xml:space="preserve"> 2025</w:t>
      </w:r>
      <w:r w:rsidR="000A22D2">
        <w:t>/2026</w:t>
      </w:r>
      <w:r w:rsidR="00BB3DE0" w:rsidRPr="00C323CA">
        <w:t xml:space="preserve">, together with other </w:t>
      </w:r>
      <w:r w:rsidR="004B6924">
        <w:t>recommendations included</w:t>
      </w:r>
      <w:r w:rsidR="00BB3DE0" w:rsidRPr="00C323CA">
        <w:t xml:space="preserve"> in the Statutory Review</w:t>
      </w:r>
      <w:r w:rsidR="00DA0B17">
        <w:t xml:space="preserve"> that have yet to be </w:t>
      </w:r>
      <w:r w:rsidR="00DE1369">
        <w:t>implemented</w:t>
      </w:r>
      <w:r w:rsidR="00BB3DE0" w:rsidRPr="00C323CA">
        <w:t>.</w:t>
      </w:r>
      <w:r w:rsidR="002C009A" w:rsidRPr="002C009A">
        <w:t xml:space="preserve"> </w:t>
      </w:r>
    </w:p>
    <w:p w14:paraId="6F8C5629" w14:textId="323051FF" w:rsidR="00CC416A" w:rsidRPr="00C16D94" w:rsidRDefault="00832291" w:rsidP="00F31184">
      <w:pPr>
        <w:pStyle w:val="BodyText"/>
        <w:spacing w:line="240" w:lineRule="auto"/>
        <w:jc w:val="both"/>
        <w:rPr>
          <w:b/>
        </w:rPr>
      </w:pPr>
      <w:bookmarkStart w:id="0" w:name="_Hlk197949559"/>
      <w:r w:rsidRPr="0017460E">
        <w:rPr>
          <w:b/>
        </w:rPr>
        <w:t>Submissions close</w:t>
      </w:r>
      <w:r w:rsidR="00A62347" w:rsidRPr="0017460E">
        <w:rPr>
          <w:b/>
        </w:rPr>
        <w:t>:</w:t>
      </w:r>
      <w:r w:rsidRPr="0017460E">
        <w:rPr>
          <w:b/>
        </w:rPr>
        <w:t xml:space="preserve"> </w:t>
      </w:r>
      <w:r w:rsidR="00210A70">
        <w:rPr>
          <w:b/>
        </w:rPr>
        <w:t xml:space="preserve">5pm, </w:t>
      </w:r>
      <w:r w:rsidR="00562CCE">
        <w:rPr>
          <w:b/>
        </w:rPr>
        <w:t>Friday</w:t>
      </w:r>
      <w:r w:rsidR="00591678">
        <w:rPr>
          <w:b/>
        </w:rPr>
        <w:t xml:space="preserve"> </w:t>
      </w:r>
      <w:r w:rsidR="00562CCE">
        <w:rPr>
          <w:b/>
        </w:rPr>
        <w:t xml:space="preserve">13 </w:t>
      </w:r>
      <w:r w:rsidR="00992403">
        <w:rPr>
          <w:b/>
        </w:rPr>
        <w:t>June</w:t>
      </w:r>
      <w:r w:rsidR="00467C4F" w:rsidRPr="00772F31">
        <w:rPr>
          <w:b/>
        </w:rPr>
        <w:t xml:space="preserve"> 202</w:t>
      </w:r>
      <w:r w:rsidR="007A63FA">
        <w:rPr>
          <w:b/>
        </w:rPr>
        <w:t>5</w:t>
      </w:r>
      <w:r w:rsidR="00A731CB" w:rsidRPr="00772F31">
        <w:rPr>
          <w:b/>
        </w:rPr>
        <w:t>.</w:t>
      </w:r>
      <w:r w:rsidR="00CC416A" w:rsidRPr="00C16D94">
        <w:rPr>
          <w:b/>
        </w:rPr>
        <w:t xml:space="preserve"> </w:t>
      </w:r>
    </w:p>
    <w:p w14:paraId="2B5E7C5F" w14:textId="1B922A60" w:rsidR="004B6924" w:rsidRDefault="00CC416A" w:rsidP="004B6924">
      <w:pPr>
        <w:pStyle w:val="BodyText"/>
        <w:jc w:val="both"/>
      </w:pPr>
      <w:bookmarkStart w:id="1" w:name="_Hlk197949611"/>
      <w:bookmarkEnd w:id="0"/>
      <w:r w:rsidRPr="00C16D94">
        <w:rPr>
          <w:i/>
        </w:rPr>
        <w:t>Please use th</w:t>
      </w:r>
      <w:r w:rsidR="00B91539">
        <w:rPr>
          <w:i/>
        </w:rPr>
        <w:t xml:space="preserve">e </w:t>
      </w:r>
      <w:r w:rsidR="00A731CB" w:rsidRPr="00C16D94">
        <w:rPr>
          <w:i/>
        </w:rPr>
        <w:t>feedback</w:t>
      </w:r>
      <w:r w:rsidRPr="00C16D94">
        <w:rPr>
          <w:i/>
        </w:rPr>
        <w:t xml:space="preserve"> </w:t>
      </w:r>
      <w:r w:rsidR="009C24C1">
        <w:rPr>
          <w:i/>
        </w:rPr>
        <w:t>form</w:t>
      </w:r>
      <w:r w:rsidR="00B91539">
        <w:rPr>
          <w:i/>
        </w:rPr>
        <w:t xml:space="preserve"> below</w:t>
      </w:r>
      <w:r w:rsidRPr="00C16D94">
        <w:rPr>
          <w:i/>
        </w:rPr>
        <w:t xml:space="preserve"> to </w:t>
      </w:r>
      <w:r w:rsidR="00B91539">
        <w:rPr>
          <w:i/>
        </w:rPr>
        <w:t>submit</w:t>
      </w:r>
      <w:r w:rsidR="009C24C1">
        <w:rPr>
          <w:i/>
        </w:rPr>
        <w:t xml:space="preserve"> your </w:t>
      </w:r>
      <w:r w:rsidR="00B91539">
        <w:rPr>
          <w:i/>
        </w:rPr>
        <w:t>comments</w:t>
      </w:r>
      <w:r w:rsidR="000A22D2">
        <w:rPr>
          <w:i/>
        </w:rPr>
        <w:t xml:space="preserve"> to:</w:t>
      </w:r>
      <w:r w:rsidR="00B91539">
        <w:rPr>
          <w:i/>
        </w:rPr>
        <w:tab/>
      </w:r>
      <w:r w:rsidR="000A22D2">
        <w:rPr>
          <w:i/>
        </w:rPr>
        <w:t xml:space="preserve"> </w:t>
      </w:r>
      <w:hyperlink r:id="rId14" w:history="1">
        <w:r w:rsidR="00C323CA" w:rsidRPr="00C323CA">
          <w:rPr>
            <w:rStyle w:val="Hyperlink"/>
            <w:i/>
          </w:rPr>
          <w:t>architects.consultation</w:t>
        </w:r>
        <w:r w:rsidRPr="00C323CA">
          <w:rPr>
            <w:rStyle w:val="Hyperlink"/>
            <w:i/>
          </w:rPr>
          <w:t>@</w:t>
        </w:r>
        <w:r w:rsidRPr="00C16D94">
          <w:rPr>
            <w:rStyle w:val="Hyperlink"/>
            <w:i/>
          </w:rPr>
          <w:t>d</w:t>
        </w:r>
        <w:r w:rsidR="00F74B47">
          <w:rPr>
            <w:rStyle w:val="Hyperlink"/>
            <w:i/>
          </w:rPr>
          <w:t>e</w:t>
        </w:r>
        <w:r w:rsidRPr="00C16D94">
          <w:rPr>
            <w:rStyle w:val="Hyperlink"/>
            <w:i/>
          </w:rPr>
          <w:t>mirs.wa.gov.au</w:t>
        </w:r>
      </w:hyperlink>
      <w:r w:rsidR="004B6924">
        <w:rPr>
          <w:rStyle w:val="Hyperlink"/>
          <w:i/>
        </w:rPr>
        <w:t xml:space="preserve"> </w:t>
      </w:r>
    </w:p>
    <w:bookmarkEnd w:id="1"/>
    <w:p w14:paraId="54E06A98" w14:textId="62D61456" w:rsidR="0010188D" w:rsidRDefault="0010188D" w:rsidP="00F31184">
      <w:pPr>
        <w:pStyle w:val="BodyText"/>
        <w:spacing w:line="240" w:lineRule="auto"/>
        <w:jc w:val="both"/>
        <w:rPr>
          <w:rStyle w:val="Hyperlink"/>
          <w:i/>
        </w:rPr>
      </w:pPr>
    </w:p>
    <w:p w14:paraId="2839752F" w14:textId="77777777" w:rsidR="0010188D" w:rsidRDefault="0010188D" w:rsidP="00467C4F">
      <w:pPr>
        <w:pStyle w:val="BodyText"/>
        <w:spacing w:line="240" w:lineRule="auto"/>
        <w:jc w:val="both"/>
        <w:rPr>
          <w:rStyle w:val="Hyperlink"/>
          <w:i/>
        </w:rPr>
      </w:pPr>
    </w:p>
    <w:p w14:paraId="4BDB1D39" w14:textId="40661B7E" w:rsidR="00763D74" w:rsidRDefault="00763D74" w:rsidP="00467C4F">
      <w:pPr>
        <w:pStyle w:val="BodyText"/>
        <w:spacing w:line="240" w:lineRule="auto"/>
        <w:jc w:val="both"/>
      </w:pPr>
      <w:r>
        <w:br w:type="page"/>
      </w:r>
    </w:p>
    <w:p w14:paraId="2FFCFFC1" w14:textId="77777777" w:rsidR="008F7A01" w:rsidRPr="00C3056C" w:rsidRDefault="008F7A01" w:rsidP="00763D7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sz w:val="24"/>
        </w:rPr>
      </w:pPr>
      <w:r w:rsidRPr="00C3056C">
        <w:rPr>
          <w:sz w:val="24"/>
        </w:rPr>
        <w:lastRenderedPageBreak/>
        <w:t>Section 1: Submission details</w:t>
      </w: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6425"/>
      </w:tblGrid>
      <w:tr w:rsidR="005B30E4" w14:paraId="5B87609B" w14:textId="77777777" w:rsidTr="007A03F5">
        <w:trPr>
          <w:trHeight w:val="292"/>
          <w:tblCellSpacing w:w="28" w:type="dxa"/>
        </w:trPr>
        <w:tc>
          <w:tcPr>
            <w:tcW w:w="2462" w:type="dxa"/>
            <w:vAlign w:val="center"/>
          </w:tcPr>
          <w:p w14:paraId="17EC661C" w14:textId="77777777" w:rsidR="008F7A01" w:rsidRPr="005B30E4" w:rsidRDefault="005B30E4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Full n</w:t>
            </w:r>
            <w:r w:rsidR="008F7A01" w:rsidRPr="005B30E4">
              <w:rPr>
                <w:sz w:val="20"/>
              </w:rPr>
              <w:t>ame</w:t>
            </w:r>
            <w:r>
              <w:rPr>
                <w:sz w:val="20"/>
              </w:rPr>
              <w:t>:</w:t>
            </w:r>
          </w:p>
        </w:tc>
        <w:tc>
          <w:tcPr>
            <w:tcW w:w="6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5EF3A" w14:textId="77777777" w:rsidR="008F7A01" w:rsidRPr="005B30E4" w:rsidRDefault="008F7A01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8F7A01" w14:paraId="2AF66087" w14:textId="77777777" w:rsidTr="007A03F5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739200A8" w14:textId="77777777" w:rsidR="008F7A01" w:rsidRPr="005B30E4" w:rsidRDefault="005B30E4" w:rsidP="00A731CB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Organisation </w:t>
            </w:r>
            <w:r w:rsidR="00A731CB">
              <w:rPr>
                <w:sz w:val="20"/>
              </w:rPr>
              <w:t>and position (if applicable)</w:t>
            </w:r>
            <w:r>
              <w:rPr>
                <w:sz w:val="20"/>
              </w:rPr>
              <w:t>:</w:t>
            </w:r>
          </w:p>
        </w:tc>
        <w:tc>
          <w:tcPr>
            <w:tcW w:w="6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031E1" w14:textId="77777777" w:rsidR="00707A87" w:rsidRPr="005B30E4" w:rsidRDefault="00707A87" w:rsidP="0025001B">
            <w:pPr>
              <w:pStyle w:val="BodyText"/>
              <w:spacing w:after="0"/>
              <w:rPr>
                <w:sz w:val="20"/>
              </w:rPr>
            </w:pPr>
          </w:p>
        </w:tc>
      </w:tr>
      <w:tr w:rsidR="00E2333B" w14:paraId="71E1D8AC" w14:textId="77777777" w:rsidTr="007A03F5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4298501E" w14:textId="30AF40BD" w:rsidR="00E2333B" w:rsidRDefault="00E2333B" w:rsidP="00A731CB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6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67420" w14:textId="77777777" w:rsidR="00E2333B" w:rsidRPr="005B30E4" w:rsidRDefault="00E2333B" w:rsidP="0025001B">
            <w:pPr>
              <w:pStyle w:val="BodyText"/>
              <w:spacing w:after="0"/>
              <w:rPr>
                <w:sz w:val="20"/>
              </w:rPr>
            </w:pPr>
          </w:p>
        </w:tc>
      </w:tr>
      <w:tr w:rsidR="005B30E4" w14:paraId="609CD9C3" w14:textId="77777777" w:rsidTr="007A03F5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48E1E213" w14:textId="77777777" w:rsidR="008F7A01" w:rsidRPr="005B30E4" w:rsidRDefault="005B30E4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6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AD43D" w14:textId="77777777" w:rsidR="008F7A01" w:rsidRPr="005B30E4" w:rsidRDefault="008F7A01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707A87" w:rsidRPr="00707A87" w14:paraId="1DBA08B8" w14:textId="77777777" w:rsidTr="007A03F5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7C5AF11E" w14:textId="77777777" w:rsidR="00707A87" w:rsidRPr="0025001B" w:rsidRDefault="00707A87" w:rsidP="00A731CB">
            <w:pPr>
              <w:pStyle w:val="BodyText"/>
              <w:spacing w:after="0"/>
              <w:rPr>
                <w:sz w:val="20"/>
              </w:rPr>
            </w:pPr>
            <w:r w:rsidRPr="0025001B">
              <w:rPr>
                <w:sz w:val="20"/>
              </w:rPr>
              <w:t>Telephone:</w:t>
            </w:r>
          </w:p>
        </w:tc>
        <w:tc>
          <w:tcPr>
            <w:tcW w:w="6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E0FF96" w14:textId="77777777" w:rsidR="00707A87" w:rsidRPr="0025001B" w:rsidRDefault="00707A87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9F3348" w:rsidRPr="00707A87" w14:paraId="6F0AA40A" w14:textId="77777777" w:rsidTr="00844AD3">
        <w:trPr>
          <w:trHeight w:val="306"/>
          <w:tblCellSpacing w:w="28" w:type="dxa"/>
        </w:trPr>
        <w:tc>
          <w:tcPr>
            <w:tcW w:w="8859" w:type="dxa"/>
            <w:gridSpan w:val="2"/>
            <w:vAlign w:val="center"/>
          </w:tcPr>
          <w:p w14:paraId="15908321" w14:textId="35241031" w:rsidR="009F3348" w:rsidRDefault="00881DDC" w:rsidP="00A731CB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Please t</w:t>
            </w:r>
            <w:r w:rsidR="009F3348">
              <w:rPr>
                <w:sz w:val="20"/>
              </w:rPr>
              <w:t xml:space="preserve">ick the correct box to describe yourself: </w:t>
            </w:r>
          </w:p>
          <w:p w14:paraId="6DDF941F" w14:textId="7BF797C9" w:rsidR="009F3348" w:rsidRDefault="00D06849" w:rsidP="00A731CB">
            <w:pPr>
              <w:pStyle w:val="BodyText"/>
              <w:spacing w:after="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957701" wp14:editId="6F47BBFF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140335</wp:posOffset>
                      </wp:positionV>
                      <wp:extent cx="193675" cy="158750"/>
                      <wp:effectExtent l="0" t="0" r="15875" b="12700"/>
                      <wp:wrapNone/>
                      <wp:docPr id="15185921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587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3AF28" id="Rectangle 1" o:spid="_x0000_s1026" style="position:absolute;margin-left:289.6pt;margin-top:11.05pt;width:15.2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" fillcolor="white [3201]" strokecolor="black [3213]" strokeweight="1pt"/>
                  </w:pict>
                </mc:Fallback>
              </mc:AlternateContent>
            </w:r>
          </w:p>
          <w:p w14:paraId="6B0B8A90" w14:textId="36EDC443" w:rsidR="009F3348" w:rsidRDefault="00D06849" w:rsidP="009F334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5C6764" wp14:editId="2C961D5D">
                      <wp:simplePos x="0" y="0"/>
                      <wp:positionH relativeFrom="column">
                        <wp:posOffset>3670935</wp:posOffset>
                      </wp:positionH>
                      <wp:positionV relativeFrom="paragraph">
                        <wp:posOffset>259080</wp:posOffset>
                      </wp:positionV>
                      <wp:extent cx="193675" cy="158750"/>
                      <wp:effectExtent l="0" t="0" r="15875" b="12700"/>
                      <wp:wrapNone/>
                      <wp:docPr id="116617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587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8C62A" id="Rectangle 1" o:spid="_x0000_s1026" style="position:absolute;margin-left:289.05pt;margin-top:20.4pt;width:15.2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" fillcolor="white [3201]" strokecolor="black [3213]" strokeweight="1pt"/>
                  </w:pict>
                </mc:Fallback>
              </mc:AlternateContent>
            </w:r>
            <w:r w:rsidR="00881DDC">
              <w:rPr>
                <w:sz w:val="20"/>
              </w:rPr>
              <w:t>A</w:t>
            </w:r>
            <w:r w:rsidR="009F3348">
              <w:rPr>
                <w:sz w:val="20"/>
              </w:rPr>
              <w:t xml:space="preserve"> registered architect  </w:t>
            </w:r>
            <w:r w:rsidR="00BC0840">
              <w:rPr>
                <w:sz w:val="20"/>
              </w:rPr>
              <w:br/>
            </w:r>
          </w:p>
          <w:p w14:paraId="46B8CFEA" w14:textId="4000FE7A" w:rsidR="009F3348" w:rsidRDefault="00D06849" w:rsidP="00A731CB">
            <w:pPr>
              <w:pStyle w:val="BodyText"/>
              <w:numPr>
                <w:ilvl w:val="0"/>
                <w:numId w:val="29"/>
              </w:numPr>
              <w:spacing w:after="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4843A3" wp14:editId="5F39E3C8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273050</wp:posOffset>
                      </wp:positionV>
                      <wp:extent cx="193675" cy="158750"/>
                      <wp:effectExtent l="0" t="0" r="15875" b="12700"/>
                      <wp:wrapNone/>
                      <wp:docPr id="10952387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587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0A389" id="Rectangle 1" o:spid="_x0000_s1026" style="position:absolute;margin-left:289.6pt;margin-top:21.5pt;width:15.2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" fillcolor="white [3201]" strokecolor="black [3213]" strokeweight="1pt"/>
                  </w:pict>
                </mc:Fallback>
              </mc:AlternateContent>
            </w:r>
            <w:r w:rsidR="00881DDC">
              <w:rPr>
                <w:sz w:val="20"/>
              </w:rPr>
              <w:t>A</w:t>
            </w:r>
            <w:r w:rsidR="009F3348" w:rsidRPr="009F3348">
              <w:rPr>
                <w:sz w:val="20"/>
              </w:rPr>
              <w:t xml:space="preserve"> licensed corporation</w:t>
            </w:r>
            <w:r w:rsidR="00BC0840">
              <w:rPr>
                <w:sz w:val="20"/>
              </w:rPr>
              <w:br/>
            </w:r>
          </w:p>
          <w:p w14:paraId="034A1EEA" w14:textId="11712D71" w:rsidR="009F3348" w:rsidRDefault="00D06849" w:rsidP="00A731CB">
            <w:pPr>
              <w:pStyle w:val="BodyText"/>
              <w:numPr>
                <w:ilvl w:val="0"/>
                <w:numId w:val="29"/>
              </w:numPr>
              <w:spacing w:after="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9C3E4E" wp14:editId="2B7BE441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264160</wp:posOffset>
                      </wp:positionV>
                      <wp:extent cx="193675" cy="158750"/>
                      <wp:effectExtent l="0" t="0" r="15875" b="12700"/>
                      <wp:wrapNone/>
                      <wp:docPr id="9137419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587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20634" id="Rectangle 1" o:spid="_x0000_s1026" style="position:absolute;margin-left:289.6pt;margin-top:20.8pt;width:15.2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" fillcolor="white [3201]" strokecolor="black [3213]" strokeweight="1pt"/>
                  </w:pict>
                </mc:Fallback>
              </mc:AlternateContent>
            </w:r>
            <w:r w:rsidR="00881DDC">
              <w:rPr>
                <w:sz w:val="20"/>
              </w:rPr>
              <w:t>A</w:t>
            </w:r>
            <w:r w:rsidR="009F3348" w:rsidRPr="009F3348">
              <w:rPr>
                <w:sz w:val="20"/>
              </w:rPr>
              <w:t xml:space="preserve"> consume</w:t>
            </w:r>
            <w:r w:rsidR="009F3348">
              <w:rPr>
                <w:sz w:val="20"/>
              </w:rPr>
              <w:t>r</w:t>
            </w:r>
            <w:r w:rsidR="00BC0840">
              <w:rPr>
                <w:sz w:val="20"/>
              </w:rPr>
              <w:br/>
            </w:r>
          </w:p>
          <w:p w14:paraId="322160DD" w14:textId="459F7ED9" w:rsidR="009F3348" w:rsidRPr="009F3348" w:rsidRDefault="009F3348" w:rsidP="00A731CB">
            <w:pPr>
              <w:pStyle w:val="BodyText"/>
              <w:numPr>
                <w:ilvl w:val="0"/>
                <w:numId w:val="29"/>
              </w:numPr>
              <w:spacing w:after="0"/>
              <w:rPr>
                <w:sz w:val="20"/>
              </w:rPr>
            </w:pPr>
            <w:r w:rsidRPr="009F3348">
              <w:rPr>
                <w:sz w:val="20"/>
              </w:rPr>
              <w:t>Other: _______________________</w:t>
            </w:r>
            <w:r>
              <w:rPr>
                <w:sz w:val="20"/>
              </w:rPr>
              <w:t>______________</w:t>
            </w:r>
          </w:p>
          <w:p w14:paraId="29424981" w14:textId="77777777" w:rsidR="009F3348" w:rsidRPr="0025001B" w:rsidRDefault="009F3348" w:rsidP="008F7A01">
            <w:pPr>
              <w:pStyle w:val="BodyText"/>
              <w:spacing w:after="0"/>
              <w:rPr>
                <w:sz w:val="20"/>
              </w:rPr>
            </w:pPr>
          </w:p>
        </w:tc>
      </w:tr>
    </w:tbl>
    <w:p w14:paraId="02525FB7" w14:textId="77777777" w:rsidR="008F7A01" w:rsidRDefault="00763D74" w:rsidP="00763D7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sz w:val="24"/>
        </w:rPr>
      </w:pPr>
      <w:r w:rsidRPr="00C3056C">
        <w:rPr>
          <w:sz w:val="24"/>
        </w:rPr>
        <w:t xml:space="preserve">Section 2: </w:t>
      </w:r>
      <w:r w:rsidR="00A731CB" w:rsidRPr="00C3056C">
        <w:rPr>
          <w:sz w:val="24"/>
        </w:rPr>
        <w:t>Feedback</w:t>
      </w:r>
      <w:r w:rsidRPr="00C3056C">
        <w:rPr>
          <w:sz w:val="24"/>
        </w:rPr>
        <w:t xml:space="preserve"> </w:t>
      </w:r>
    </w:p>
    <w:tbl>
      <w:tblPr>
        <w:tblStyle w:val="TableGrid"/>
        <w:tblW w:w="9032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32"/>
      </w:tblGrid>
      <w:tr w:rsidR="00137928" w14:paraId="08923C64" w14:textId="77777777" w:rsidTr="001C0A66">
        <w:trPr>
          <w:trHeight w:val="138"/>
          <w:tblCellSpacing w:w="28" w:type="dxa"/>
        </w:trPr>
        <w:tc>
          <w:tcPr>
            <w:tcW w:w="8920" w:type="dxa"/>
            <w:shd w:val="clear" w:color="auto" w:fill="BFBFBF" w:themeFill="background1" w:themeFillShade="BF"/>
            <w:vAlign w:val="center"/>
          </w:tcPr>
          <w:p w14:paraId="0DEAECFC" w14:textId="5AC411B8" w:rsidR="00137928" w:rsidRDefault="00137928" w:rsidP="00137928">
            <w:pPr>
              <w:pStyle w:val="BodyText"/>
              <w:numPr>
                <w:ilvl w:val="0"/>
                <w:numId w:val="27"/>
              </w:num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 you support </w:t>
            </w:r>
            <w:r w:rsidR="001C0A66" w:rsidRPr="001E00BD">
              <w:rPr>
                <w:b/>
                <w:sz w:val="20"/>
              </w:rPr>
              <w:t xml:space="preserve">the proposed amendment, </w:t>
            </w:r>
            <w:r w:rsidR="0013795C" w:rsidRPr="001E00BD">
              <w:rPr>
                <w:b/>
                <w:sz w:val="20"/>
              </w:rPr>
              <w:t>modelled on the South Australian legislation</w:t>
            </w:r>
            <w:r w:rsidR="0013795C">
              <w:rPr>
                <w:b/>
                <w:sz w:val="20"/>
              </w:rPr>
              <w:t>,</w:t>
            </w:r>
            <w:r w:rsidR="0013795C" w:rsidRPr="001E00BD">
              <w:rPr>
                <w:b/>
                <w:sz w:val="20"/>
              </w:rPr>
              <w:t xml:space="preserve"> </w:t>
            </w:r>
            <w:r w:rsidR="00515F06">
              <w:rPr>
                <w:b/>
                <w:sz w:val="20"/>
              </w:rPr>
              <w:t>to</w:t>
            </w:r>
            <w:r w:rsidR="001C0A66" w:rsidRPr="001E00BD">
              <w:rPr>
                <w:b/>
                <w:sz w:val="20"/>
              </w:rPr>
              <w:t xml:space="preserve"> address </w:t>
            </w:r>
            <w:r w:rsidR="0013795C">
              <w:rPr>
                <w:b/>
                <w:sz w:val="20"/>
              </w:rPr>
              <w:t>the issue</w:t>
            </w:r>
            <w:r w:rsidR="00515F06">
              <w:rPr>
                <w:b/>
                <w:sz w:val="20"/>
              </w:rPr>
              <w:t>s identified around</w:t>
            </w:r>
            <w:r w:rsidR="0013795C">
              <w:rPr>
                <w:b/>
                <w:sz w:val="20"/>
              </w:rPr>
              <w:t xml:space="preserve"> </w:t>
            </w:r>
            <w:r w:rsidR="001C0A66" w:rsidRPr="001E00BD">
              <w:rPr>
                <w:b/>
                <w:sz w:val="20"/>
              </w:rPr>
              <w:t>non-traditional corporations?</w:t>
            </w:r>
            <w:r w:rsidR="007A63FA">
              <w:rPr>
                <w:b/>
                <w:sz w:val="20"/>
              </w:rPr>
              <w:t xml:space="preserve"> Please provide your reasons. </w:t>
            </w:r>
          </w:p>
        </w:tc>
      </w:tr>
      <w:tr w:rsidR="00137928" w14:paraId="0825BEEC" w14:textId="77777777" w:rsidTr="001C0A66">
        <w:trPr>
          <w:trHeight w:val="5998"/>
          <w:tblCellSpacing w:w="28" w:type="dxa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8EAF" w14:textId="77777777" w:rsidR="00137928" w:rsidRPr="00763D74" w:rsidRDefault="00137928" w:rsidP="0023063E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4795B6A3" w14:textId="77777777" w:rsidR="001E00BD" w:rsidRDefault="001E00BD">
      <w:r>
        <w:br w:type="page"/>
      </w:r>
    </w:p>
    <w:p w14:paraId="592FA648" w14:textId="5EE10011" w:rsidR="007E19CD" w:rsidRDefault="007E19CD"/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56"/>
      </w:tblGrid>
      <w:tr w:rsidR="007E19CD" w14:paraId="309B8420" w14:textId="77777777" w:rsidTr="001E00BD">
        <w:trPr>
          <w:trHeight w:val="146"/>
          <w:tblCellSpacing w:w="28" w:type="dxa"/>
        </w:trPr>
        <w:tc>
          <w:tcPr>
            <w:tcW w:w="8444" w:type="dxa"/>
            <w:shd w:val="clear" w:color="auto" w:fill="BFBFBF" w:themeFill="background1" w:themeFillShade="BF"/>
            <w:vAlign w:val="center"/>
          </w:tcPr>
          <w:p w14:paraId="2849C1C6" w14:textId="2EE8ADC4" w:rsidR="007E19CD" w:rsidRDefault="007E19CD" w:rsidP="0023063E">
            <w:pPr>
              <w:pStyle w:val="BodyText"/>
              <w:numPr>
                <w:ilvl w:val="0"/>
                <w:numId w:val="27"/>
              </w:num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General comment</w:t>
            </w:r>
            <w:r w:rsidR="00515F06">
              <w:rPr>
                <w:b/>
                <w:sz w:val="20"/>
              </w:rPr>
              <w:t>s</w:t>
            </w:r>
          </w:p>
        </w:tc>
      </w:tr>
      <w:tr w:rsidR="007E19CD" w14:paraId="02AE9D46" w14:textId="77777777" w:rsidTr="001E00BD">
        <w:trPr>
          <w:trHeight w:val="6317"/>
          <w:tblCellSpacing w:w="28" w:type="dxa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8622" w14:textId="77777777" w:rsidR="007E19CD" w:rsidRPr="00763D74" w:rsidRDefault="007E19CD" w:rsidP="0023063E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2B9A1C59" w14:textId="77777777" w:rsidR="00C16D94" w:rsidRPr="00763D74" w:rsidRDefault="00C16D94" w:rsidP="00763D74">
      <w:pPr>
        <w:pStyle w:val="BodyText"/>
        <w:rPr>
          <w:sz w:val="4"/>
        </w:rPr>
      </w:pPr>
    </w:p>
    <w:sectPr w:rsidR="00C16D94" w:rsidRPr="00763D74" w:rsidSect="008F67CD"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1594" w14:textId="77777777" w:rsidR="007C7C8B" w:rsidRDefault="007C7C8B" w:rsidP="00A4382C">
      <w:pPr>
        <w:spacing w:line="240" w:lineRule="auto"/>
      </w:pPr>
      <w:r>
        <w:separator/>
      </w:r>
    </w:p>
  </w:endnote>
  <w:endnote w:type="continuationSeparator" w:id="0">
    <w:p w14:paraId="136A5C68" w14:textId="77777777" w:rsidR="007C7C8B" w:rsidRDefault="007C7C8B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7296" w14:textId="71B8FEE4" w:rsidR="00763D74" w:rsidRPr="005C61C0" w:rsidRDefault="00DA0B17" w:rsidP="005C61C0">
    <w:pPr>
      <w:pStyle w:val="Footer"/>
      <w:rPr>
        <w:noProof/>
      </w:rPr>
    </w:pPr>
    <w:r>
      <w:t>Architects Act 2004 - Licensing of non-traditional corporations – Public consultation</w:t>
    </w:r>
    <w:r w:rsidR="005C61C0">
      <w:tab/>
    </w:r>
    <w:r w:rsidR="005C61C0" w:rsidRPr="004E48C2">
      <w:t xml:space="preserve">Page </w:t>
    </w:r>
    <w:r w:rsidR="005C61C0" w:rsidRPr="004E48C2">
      <w:fldChar w:fldCharType="begin"/>
    </w:r>
    <w:r w:rsidR="005C61C0" w:rsidRPr="004E48C2">
      <w:instrText xml:space="preserve"> PAGE </w:instrText>
    </w:r>
    <w:r w:rsidR="005C61C0" w:rsidRPr="004E48C2">
      <w:fldChar w:fldCharType="separate"/>
    </w:r>
    <w:r w:rsidR="001E0E42">
      <w:rPr>
        <w:noProof/>
      </w:rPr>
      <w:t>4</w:t>
    </w:r>
    <w:r w:rsidR="005C61C0" w:rsidRPr="004E48C2">
      <w:fldChar w:fldCharType="end"/>
    </w:r>
    <w:r w:rsidR="005C61C0" w:rsidRPr="004E48C2">
      <w:t xml:space="preserve"> of </w:t>
    </w:r>
    <w:r w:rsidR="001E0E42">
      <w:fldChar w:fldCharType="begin"/>
    </w:r>
    <w:r w:rsidR="001E0E42">
      <w:instrText xml:space="preserve"> NUMPAGES </w:instrText>
    </w:r>
    <w:r w:rsidR="001E0E42">
      <w:fldChar w:fldCharType="separate"/>
    </w:r>
    <w:r w:rsidR="001E0E42">
      <w:rPr>
        <w:noProof/>
      </w:rPr>
      <w:t>4</w:t>
    </w:r>
    <w:r w:rsidR="001E0E42">
      <w:rPr>
        <w:noProof/>
      </w:rPr>
      <w:fldChar w:fldCharType="end"/>
    </w:r>
    <w:r w:rsidR="005C61C0"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7C81CE99" wp14:editId="1ADFC450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1776795662" name="Picture 1776795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D0A9" w14:textId="4CD92822" w:rsidR="008F67CD" w:rsidRPr="004E48C2" w:rsidRDefault="00DA0B17" w:rsidP="008F67CD">
    <w:pPr>
      <w:pStyle w:val="Footer"/>
      <w:rPr>
        <w:noProof/>
      </w:rPr>
    </w:pPr>
    <w:r>
      <w:t xml:space="preserve">Architects Act 2004 - </w:t>
    </w:r>
    <w:r w:rsidR="008E652D">
      <w:t>Licensing of n</w:t>
    </w:r>
    <w:r w:rsidR="00C323CA">
      <w:t>on-traditional corporations</w:t>
    </w:r>
    <w:r w:rsidR="001F0E62">
      <w:t xml:space="preserve"> </w:t>
    </w:r>
    <w:r w:rsidR="005C61C0">
      <w:t>– Public consultation</w:t>
    </w:r>
    <w:r w:rsidR="008F67CD">
      <w:tab/>
    </w:r>
    <w:r w:rsidR="00763D74" w:rsidRPr="004E48C2">
      <w:t xml:space="preserve">Page </w:t>
    </w:r>
    <w:r w:rsidR="00763D74" w:rsidRPr="004E48C2">
      <w:fldChar w:fldCharType="begin"/>
    </w:r>
    <w:r w:rsidR="00763D74" w:rsidRPr="004E48C2">
      <w:instrText xml:space="preserve"> PAGE </w:instrText>
    </w:r>
    <w:r w:rsidR="00763D74" w:rsidRPr="004E48C2">
      <w:fldChar w:fldCharType="separate"/>
    </w:r>
    <w:r w:rsidR="001E0E42">
      <w:rPr>
        <w:noProof/>
      </w:rPr>
      <w:t>1</w:t>
    </w:r>
    <w:r w:rsidR="00763D74" w:rsidRPr="004E48C2">
      <w:fldChar w:fldCharType="end"/>
    </w:r>
    <w:r w:rsidR="00763D74" w:rsidRPr="004E48C2">
      <w:t xml:space="preserve"> of </w:t>
    </w:r>
    <w:r w:rsidR="001E0E42">
      <w:fldChar w:fldCharType="begin"/>
    </w:r>
    <w:r w:rsidR="001E0E42">
      <w:instrText xml:space="preserve"> NUMPAGES </w:instrText>
    </w:r>
    <w:r w:rsidR="001E0E42">
      <w:fldChar w:fldCharType="separate"/>
    </w:r>
    <w:r w:rsidR="001E0E42">
      <w:rPr>
        <w:noProof/>
      </w:rPr>
      <w:t>4</w:t>
    </w:r>
    <w:r w:rsidR="001E0E42">
      <w:rPr>
        <w:noProof/>
      </w:rPr>
      <w:fldChar w:fldCharType="end"/>
    </w:r>
  </w:p>
  <w:p w14:paraId="31A8C374" w14:textId="77777777" w:rsidR="007218E4" w:rsidRPr="00763D74" w:rsidRDefault="008F67CD" w:rsidP="008F67C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6BCF1BB9" wp14:editId="036788CA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2073490529" name="Picture 2073490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541A" w14:textId="77777777" w:rsidR="007C7C8B" w:rsidRDefault="007C7C8B" w:rsidP="00A4382C">
      <w:pPr>
        <w:spacing w:line="240" w:lineRule="auto"/>
      </w:pPr>
      <w:r>
        <w:separator/>
      </w:r>
    </w:p>
  </w:footnote>
  <w:footnote w:type="continuationSeparator" w:id="0">
    <w:p w14:paraId="24ADC107" w14:textId="77777777" w:rsidR="007C7C8B" w:rsidRDefault="007C7C8B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C36D" w14:textId="60A1D918" w:rsidR="00690090" w:rsidRDefault="00690090" w:rsidP="00DB51B4">
    <w:pPr>
      <w:pStyle w:val="Header"/>
      <w:ind w:right="-85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713AE" wp14:editId="7AE2403D">
          <wp:simplePos x="0" y="0"/>
          <wp:positionH relativeFrom="column">
            <wp:posOffset>-314325</wp:posOffset>
          </wp:positionH>
          <wp:positionV relativeFrom="paragraph">
            <wp:posOffset>-23495</wp:posOffset>
          </wp:positionV>
          <wp:extent cx="2867025" cy="697230"/>
          <wp:effectExtent l="0" t="0" r="9525" b="7620"/>
          <wp:wrapNone/>
          <wp:docPr id="19557719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1B4"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23BAE98E" wp14:editId="30DAEAC2">
          <wp:extent cx="1478280" cy="601980"/>
          <wp:effectExtent l="0" t="0" r="7620" b="7620"/>
          <wp:docPr id="9873709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BD9ED" w14:textId="53E256F9" w:rsidR="005579F3" w:rsidRDefault="005579F3" w:rsidP="006C5B43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2A90531"/>
    <w:multiLevelType w:val="hybridMultilevel"/>
    <w:tmpl w:val="A0C64ED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7981"/>
    <w:multiLevelType w:val="multilevel"/>
    <w:tmpl w:val="0AA25E70"/>
    <w:numStyleLink w:val="AgencyBullets"/>
  </w:abstractNum>
  <w:abstractNum w:abstractNumId="3" w15:restartNumberingAfterBreak="0">
    <w:nsid w:val="1B345081"/>
    <w:multiLevelType w:val="hybridMultilevel"/>
    <w:tmpl w:val="7C900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61118B0"/>
    <w:multiLevelType w:val="hybridMultilevel"/>
    <w:tmpl w:val="ABD6D8E0"/>
    <w:lvl w:ilvl="0" w:tplc="FFFFFFFF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7" w15:restartNumberingAfterBreak="0">
    <w:nsid w:val="40EF60A1"/>
    <w:multiLevelType w:val="multilevel"/>
    <w:tmpl w:val="77DEEFC4"/>
    <w:numStyleLink w:val="AgencyNumbers"/>
  </w:abstractNum>
  <w:abstractNum w:abstractNumId="8" w15:restartNumberingAfterBreak="0">
    <w:nsid w:val="41B20D18"/>
    <w:multiLevelType w:val="multilevel"/>
    <w:tmpl w:val="C4023126"/>
    <w:numStyleLink w:val="AgencyTableBullets"/>
  </w:abstractNum>
  <w:abstractNum w:abstractNumId="9" w15:restartNumberingAfterBreak="0">
    <w:nsid w:val="436533F0"/>
    <w:multiLevelType w:val="hybridMultilevel"/>
    <w:tmpl w:val="29AE3F5E"/>
    <w:lvl w:ilvl="0" w:tplc="0C09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74526F"/>
    <w:multiLevelType w:val="multilevel"/>
    <w:tmpl w:val="D5A4B100"/>
    <w:numStyleLink w:val="AgencyTableNumbers"/>
  </w:abstractNum>
  <w:abstractNum w:abstractNumId="11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2" w15:restartNumberingAfterBreak="0">
    <w:nsid w:val="64BF3B8C"/>
    <w:multiLevelType w:val="hybridMultilevel"/>
    <w:tmpl w:val="605C07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27104">
    <w:abstractNumId w:val="6"/>
  </w:num>
  <w:num w:numId="2" w16cid:durableId="2704815">
    <w:abstractNumId w:val="11"/>
  </w:num>
  <w:num w:numId="3" w16cid:durableId="1180120219">
    <w:abstractNumId w:val="0"/>
  </w:num>
  <w:num w:numId="4" w16cid:durableId="1564486215">
    <w:abstractNumId w:val="4"/>
  </w:num>
  <w:num w:numId="5" w16cid:durableId="1905070216">
    <w:abstractNumId w:val="7"/>
  </w:num>
  <w:num w:numId="6" w16cid:durableId="816724380">
    <w:abstractNumId w:val="8"/>
  </w:num>
  <w:num w:numId="7" w16cid:durableId="1504658760">
    <w:abstractNumId w:val="10"/>
  </w:num>
  <w:num w:numId="8" w16cid:durableId="701397734">
    <w:abstractNumId w:val="2"/>
  </w:num>
  <w:num w:numId="9" w16cid:durableId="1331759366">
    <w:abstractNumId w:val="2"/>
  </w:num>
  <w:num w:numId="10" w16cid:durableId="2021544595">
    <w:abstractNumId w:val="7"/>
  </w:num>
  <w:num w:numId="11" w16cid:durableId="522548581">
    <w:abstractNumId w:val="2"/>
  </w:num>
  <w:num w:numId="12" w16cid:durableId="778065759">
    <w:abstractNumId w:val="2"/>
  </w:num>
  <w:num w:numId="13" w16cid:durableId="653871757">
    <w:abstractNumId w:val="2"/>
  </w:num>
  <w:num w:numId="14" w16cid:durableId="1794707969">
    <w:abstractNumId w:val="2"/>
  </w:num>
  <w:num w:numId="15" w16cid:durableId="621965065">
    <w:abstractNumId w:val="7"/>
  </w:num>
  <w:num w:numId="16" w16cid:durableId="413279319">
    <w:abstractNumId w:val="7"/>
  </w:num>
  <w:num w:numId="17" w16cid:durableId="1946688567">
    <w:abstractNumId w:val="7"/>
  </w:num>
  <w:num w:numId="18" w16cid:durableId="1831017948">
    <w:abstractNumId w:val="7"/>
  </w:num>
  <w:num w:numId="19" w16cid:durableId="2092777090">
    <w:abstractNumId w:val="6"/>
  </w:num>
  <w:num w:numId="20" w16cid:durableId="1791392710">
    <w:abstractNumId w:val="11"/>
  </w:num>
  <w:num w:numId="21" w16cid:durableId="1518041795">
    <w:abstractNumId w:val="0"/>
  </w:num>
  <w:num w:numId="22" w16cid:durableId="2023319244">
    <w:abstractNumId w:val="4"/>
  </w:num>
  <w:num w:numId="23" w16cid:durableId="1173495024">
    <w:abstractNumId w:val="8"/>
  </w:num>
  <w:num w:numId="24" w16cid:durableId="1534224872">
    <w:abstractNumId w:val="10"/>
  </w:num>
  <w:num w:numId="25" w16cid:durableId="222102613">
    <w:abstractNumId w:val="3"/>
  </w:num>
  <w:num w:numId="26" w16cid:durableId="628243700">
    <w:abstractNumId w:val="9"/>
  </w:num>
  <w:num w:numId="27" w16cid:durableId="904292407">
    <w:abstractNumId w:val="12"/>
  </w:num>
  <w:num w:numId="28" w16cid:durableId="1703550724">
    <w:abstractNumId w:val="5"/>
  </w:num>
  <w:num w:numId="29" w16cid:durableId="85723408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80"/>
    <w:rsid w:val="00005285"/>
    <w:rsid w:val="000119D5"/>
    <w:rsid w:val="00030161"/>
    <w:rsid w:val="00031513"/>
    <w:rsid w:val="00041B60"/>
    <w:rsid w:val="000425F6"/>
    <w:rsid w:val="000465CE"/>
    <w:rsid w:val="000502A6"/>
    <w:rsid w:val="000628DD"/>
    <w:rsid w:val="000671D6"/>
    <w:rsid w:val="00070650"/>
    <w:rsid w:val="000743F9"/>
    <w:rsid w:val="000765FF"/>
    <w:rsid w:val="00080B02"/>
    <w:rsid w:val="00080F2F"/>
    <w:rsid w:val="00081F4F"/>
    <w:rsid w:val="000879EF"/>
    <w:rsid w:val="00087E7C"/>
    <w:rsid w:val="000A22D2"/>
    <w:rsid w:val="000C081A"/>
    <w:rsid w:val="000D0B8E"/>
    <w:rsid w:val="000D37BF"/>
    <w:rsid w:val="000D517D"/>
    <w:rsid w:val="000D6278"/>
    <w:rsid w:val="000F4B54"/>
    <w:rsid w:val="0010188D"/>
    <w:rsid w:val="00101A4E"/>
    <w:rsid w:val="00117846"/>
    <w:rsid w:val="00121DE8"/>
    <w:rsid w:val="00127A81"/>
    <w:rsid w:val="00131100"/>
    <w:rsid w:val="00135B2B"/>
    <w:rsid w:val="00137928"/>
    <w:rsid w:val="0013795C"/>
    <w:rsid w:val="00146F57"/>
    <w:rsid w:val="00150D6F"/>
    <w:rsid w:val="00151604"/>
    <w:rsid w:val="0015286C"/>
    <w:rsid w:val="0016115E"/>
    <w:rsid w:val="00161BAC"/>
    <w:rsid w:val="00165F13"/>
    <w:rsid w:val="00166F4F"/>
    <w:rsid w:val="001723E2"/>
    <w:rsid w:val="001726A9"/>
    <w:rsid w:val="0017460E"/>
    <w:rsid w:val="00174EBD"/>
    <w:rsid w:val="00175B21"/>
    <w:rsid w:val="00182318"/>
    <w:rsid w:val="001853E7"/>
    <w:rsid w:val="001921C1"/>
    <w:rsid w:val="001B0BE3"/>
    <w:rsid w:val="001B1E5C"/>
    <w:rsid w:val="001C0A66"/>
    <w:rsid w:val="001C316F"/>
    <w:rsid w:val="001D2EB0"/>
    <w:rsid w:val="001E00BD"/>
    <w:rsid w:val="001E0E42"/>
    <w:rsid w:val="001E38AF"/>
    <w:rsid w:val="001E590E"/>
    <w:rsid w:val="001F0E62"/>
    <w:rsid w:val="001F1168"/>
    <w:rsid w:val="001F53D0"/>
    <w:rsid w:val="002010B5"/>
    <w:rsid w:val="00203F46"/>
    <w:rsid w:val="00210A70"/>
    <w:rsid w:val="0021319C"/>
    <w:rsid w:val="00213A97"/>
    <w:rsid w:val="0021680C"/>
    <w:rsid w:val="00217BF0"/>
    <w:rsid w:val="0022030E"/>
    <w:rsid w:val="0022777E"/>
    <w:rsid w:val="00227FFD"/>
    <w:rsid w:val="00232F55"/>
    <w:rsid w:val="002452FD"/>
    <w:rsid w:val="0025001B"/>
    <w:rsid w:val="00250A94"/>
    <w:rsid w:val="00251B7D"/>
    <w:rsid w:val="00253668"/>
    <w:rsid w:val="00255AFC"/>
    <w:rsid w:val="002610A0"/>
    <w:rsid w:val="002612BE"/>
    <w:rsid w:val="00270ABA"/>
    <w:rsid w:val="00274361"/>
    <w:rsid w:val="00275EB5"/>
    <w:rsid w:val="002760CB"/>
    <w:rsid w:val="002777FC"/>
    <w:rsid w:val="002949CC"/>
    <w:rsid w:val="00297818"/>
    <w:rsid w:val="002A0BE5"/>
    <w:rsid w:val="002B3939"/>
    <w:rsid w:val="002B51D4"/>
    <w:rsid w:val="002C009A"/>
    <w:rsid w:val="002D4783"/>
    <w:rsid w:val="002D5D30"/>
    <w:rsid w:val="002D6EC0"/>
    <w:rsid w:val="002E04A6"/>
    <w:rsid w:val="002E7DD3"/>
    <w:rsid w:val="00301F20"/>
    <w:rsid w:val="0030585C"/>
    <w:rsid w:val="00306B8A"/>
    <w:rsid w:val="00306FAF"/>
    <w:rsid w:val="00316310"/>
    <w:rsid w:val="00317B5F"/>
    <w:rsid w:val="00317DA5"/>
    <w:rsid w:val="00321C39"/>
    <w:rsid w:val="00327D01"/>
    <w:rsid w:val="0033401D"/>
    <w:rsid w:val="00334E55"/>
    <w:rsid w:val="00355CF7"/>
    <w:rsid w:val="003670ED"/>
    <w:rsid w:val="00371FB3"/>
    <w:rsid w:val="00375984"/>
    <w:rsid w:val="00376D8D"/>
    <w:rsid w:val="0038356A"/>
    <w:rsid w:val="003972E9"/>
    <w:rsid w:val="003A17E4"/>
    <w:rsid w:val="003B68D0"/>
    <w:rsid w:val="003C1490"/>
    <w:rsid w:val="003C398E"/>
    <w:rsid w:val="003D351C"/>
    <w:rsid w:val="003E6C40"/>
    <w:rsid w:val="003E707D"/>
    <w:rsid w:val="003F22D7"/>
    <w:rsid w:val="003F4681"/>
    <w:rsid w:val="003F47A1"/>
    <w:rsid w:val="003F553D"/>
    <w:rsid w:val="003F68F5"/>
    <w:rsid w:val="003F7FCD"/>
    <w:rsid w:val="004108AE"/>
    <w:rsid w:val="004118E5"/>
    <w:rsid w:val="00417E7A"/>
    <w:rsid w:val="004228F4"/>
    <w:rsid w:val="0043417C"/>
    <w:rsid w:val="00467C4F"/>
    <w:rsid w:val="00471F52"/>
    <w:rsid w:val="004725B2"/>
    <w:rsid w:val="0047361D"/>
    <w:rsid w:val="00490548"/>
    <w:rsid w:val="004A3421"/>
    <w:rsid w:val="004B0CAC"/>
    <w:rsid w:val="004B6924"/>
    <w:rsid w:val="004C12D6"/>
    <w:rsid w:val="004C3B9E"/>
    <w:rsid w:val="004D0D1D"/>
    <w:rsid w:val="004D5B8D"/>
    <w:rsid w:val="004F0FB9"/>
    <w:rsid w:val="004F127F"/>
    <w:rsid w:val="004F6AB4"/>
    <w:rsid w:val="00502F15"/>
    <w:rsid w:val="00502FFE"/>
    <w:rsid w:val="00505DAF"/>
    <w:rsid w:val="0051066C"/>
    <w:rsid w:val="00511823"/>
    <w:rsid w:val="00515F06"/>
    <w:rsid w:val="00517B50"/>
    <w:rsid w:val="00521B09"/>
    <w:rsid w:val="00555F41"/>
    <w:rsid w:val="00556A44"/>
    <w:rsid w:val="00556CD6"/>
    <w:rsid w:val="005579F3"/>
    <w:rsid w:val="005609F4"/>
    <w:rsid w:val="00562CCE"/>
    <w:rsid w:val="00575A08"/>
    <w:rsid w:val="005823D1"/>
    <w:rsid w:val="00582ABE"/>
    <w:rsid w:val="00591678"/>
    <w:rsid w:val="005B2956"/>
    <w:rsid w:val="005B30E4"/>
    <w:rsid w:val="005C61C0"/>
    <w:rsid w:val="005C7F45"/>
    <w:rsid w:val="005D1747"/>
    <w:rsid w:val="005D228B"/>
    <w:rsid w:val="005F4E2F"/>
    <w:rsid w:val="00601B75"/>
    <w:rsid w:val="00613499"/>
    <w:rsid w:val="0061581A"/>
    <w:rsid w:val="00616E8D"/>
    <w:rsid w:val="0062011D"/>
    <w:rsid w:val="00621608"/>
    <w:rsid w:val="00624A7D"/>
    <w:rsid w:val="006406D6"/>
    <w:rsid w:val="00645B1C"/>
    <w:rsid w:val="006525CC"/>
    <w:rsid w:val="00662AE5"/>
    <w:rsid w:val="00664B55"/>
    <w:rsid w:val="00685CBD"/>
    <w:rsid w:val="00690090"/>
    <w:rsid w:val="0069124D"/>
    <w:rsid w:val="0069753A"/>
    <w:rsid w:val="006A0598"/>
    <w:rsid w:val="006A5A1F"/>
    <w:rsid w:val="006B372C"/>
    <w:rsid w:val="006B5310"/>
    <w:rsid w:val="006B55D9"/>
    <w:rsid w:val="006C16CA"/>
    <w:rsid w:val="006C5305"/>
    <w:rsid w:val="006C5B43"/>
    <w:rsid w:val="006C5E58"/>
    <w:rsid w:val="006C64A3"/>
    <w:rsid w:val="006F251F"/>
    <w:rsid w:val="006F66E8"/>
    <w:rsid w:val="00707A87"/>
    <w:rsid w:val="00711DD3"/>
    <w:rsid w:val="00712C19"/>
    <w:rsid w:val="007218E4"/>
    <w:rsid w:val="0072228E"/>
    <w:rsid w:val="00725843"/>
    <w:rsid w:val="00736097"/>
    <w:rsid w:val="00736B45"/>
    <w:rsid w:val="00747777"/>
    <w:rsid w:val="0075253D"/>
    <w:rsid w:val="007528AA"/>
    <w:rsid w:val="00757A2A"/>
    <w:rsid w:val="007609BA"/>
    <w:rsid w:val="00762DF8"/>
    <w:rsid w:val="00763D74"/>
    <w:rsid w:val="00765EB1"/>
    <w:rsid w:val="007709BA"/>
    <w:rsid w:val="00772F31"/>
    <w:rsid w:val="007749CD"/>
    <w:rsid w:val="007771CD"/>
    <w:rsid w:val="007806AC"/>
    <w:rsid w:val="00782D7A"/>
    <w:rsid w:val="007849CD"/>
    <w:rsid w:val="007A03F5"/>
    <w:rsid w:val="007A54B1"/>
    <w:rsid w:val="007A63FA"/>
    <w:rsid w:val="007B5E49"/>
    <w:rsid w:val="007C6295"/>
    <w:rsid w:val="007C7C8B"/>
    <w:rsid w:val="007D3BE3"/>
    <w:rsid w:val="007D4F6D"/>
    <w:rsid w:val="007D5889"/>
    <w:rsid w:val="007D622B"/>
    <w:rsid w:val="007E19CD"/>
    <w:rsid w:val="007E2802"/>
    <w:rsid w:val="007E6BE8"/>
    <w:rsid w:val="007F27EE"/>
    <w:rsid w:val="008176E1"/>
    <w:rsid w:val="00832216"/>
    <w:rsid w:val="00832291"/>
    <w:rsid w:val="0084415B"/>
    <w:rsid w:val="00844D09"/>
    <w:rsid w:val="008565C8"/>
    <w:rsid w:val="008607EE"/>
    <w:rsid w:val="00867F44"/>
    <w:rsid w:val="00873138"/>
    <w:rsid w:val="00875FE3"/>
    <w:rsid w:val="008761F1"/>
    <w:rsid w:val="008762E9"/>
    <w:rsid w:val="00881DDC"/>
    <w:rsid w:val="0088383A"/>
    <w:rsid w:val="00884F47"/>
    <w:rsid w:val="0089012F"/>
    <w:rsid w:val="008901F4"/>
    <w:rsid w:val="0089115D"/>
    <w:rsid w:val="00897767"/>
    <w:rsid w:val="008A0283"/>
    <w:rsid w:val="008A092B"/>
    <w:rsid w:val="008A5B34"/>
    <w:rsid w:val="008A617C"/>
    <w:rsid w:val="008A72AE"/>
    <w:rsid w:val="008B2D34"/>
    <w:rsid w:val="008B368F"/>
    <w:rsid w:val="008B5DC9"/>
    <w:rsid w:val="008B6D43"/>
    <w:rsid w:val="008C1137"/>
    <w:rsid w:val="008D4A12"/>
    <w:rsid w:val="008E0D74"/>
    <w:rsid w:val="008E41EC"/>
    <w:rsid w:val="008E652D"/>
    <w:rsid w:val="008E742A"/>
    <w:rsid w:val="008F2A64"/>
    <w:rsid w:val="008F67CD"/>
    <w:rsid w:val="008F7A01"/>
    <w:rsid w:val="0091543E"/>
    <w:rsid w:val="00930BCD"/>
    <w:rsid w:val="009342D8"/>
    <w:rsid w:val="00935B0B"/>
    <w:rsid w:val="009419B4"/>
    <w:rsid w:val="0094285C"/>
    <w:rsid w:val="00943CC7"/>
    <w:rsid w:val="00944D7D"/>
    <w:rsid w:val="00947826"/>
    <w:rsid w:val="00953276"/>
    <w:rsid w:val="009532BA"/>
    <w:rsid w:val="0095492D"/>
    <w:rsid w:val="009564FE"/>
    <w:rsid w:val="00963465"/>
    <w:rsid w:val="0097634C"/>
    <w:rsid w:val="00981348"/>
    <w:rsid w:val="009906F1"/>
    <w:rsid w:val="00992403"/>
    <w:rsid w:val="00992C10"/>
    <w:rsid w:val="009A2E6D"/>
    <w:rsid w:val="009B0BD9"/>
    <w:rsid w:val="009C24C1"/>
    <w:rsid w:val="009F3348"/>
    <w:rsid w:val="00A22143"/>
    <w:rsid w:val="00A252F3"/>
    <w:rsid w:val="00A40D7F"/>
    <w:rsid w:val="00A4382C"/>
    <w:rsid w:val="00A469E3"/>
    <w:rsid w:val="00A53088"/>
    <w:rsid w:val="00A62347"/>
    <w:rsid w:val="00A663DD"/>
    <w:rsid w:val="00A72182"/>
    <w:rsid w:val="00A731CB"/>
    <w:rsid w:val="00A73213"/>
    <w:rsid w:val="00A768BE"/>
    <w:rsid w:val="00A804F9"/>
    <w:rsid w:val="00A826CA"/>
    <w:rsid w:val="00A83D29"/>
    <w:rsid w:val="00A865D9"/>
    <w:rsid w:val="00A91134"/>
    <w:rsid w:val="00A95445"/>
    <w:rsid w:val="00AC42CE"/>
    <w:rsid w:val="00AC5482"/>
    <w:rsid w:val="00AC5CC9"/>
    <w:rsid w:val="00AD0559"/>
    <w:rsid w:val="00AE2B03"/>
    <w:rsid w:val="00AE3BCA"/>
    <w:rsid w:val="00AE4BE1"/>
    <w:rsid w:val="00AE6CF0"/>
    <w:rsid w:val="00AF7EAF"/>
    <w:rsid w:val="00B03621"/>
    <w:rsid w:val="00B135CC"/>
    <w:rsid w:val="00B22E79"/>
    <w:rsid w:val="00B313E3"/>
    <w:rsid w:val="00B4205B"/>
    <w:rsid w:val="00B456D7"/>
    <w:rsid w:val="00B45BCE"/>
    <w:rsid w:val="00B53131"/>
    <w:rsid w:val="00B5537F"/>
    <w:rsid w:val="00B80F37"/>
    <w:rsid w:val="00B87279"/>
    <w:rsid w:val="00B91539"/>
    <w:rsid w:val="00B96B1B"/>
    <w:rsid w:val="00BA1586"/>
    <w:rsid w:val="00BA2C3E"/>
    <w:rsid w:val="00BB241A"/>
    <w:rsid w:val="00BB3DE0"/>
    <w:rsid w:val="00BB6F4C"/>
    <w:rsid w:val="00BB7E0F"/>
    <w:rsid w:val="00BC0840"/>
    <w:rsid w:val="00BC5B97"/>
    <w:rsid w:val="00BC6FFA"/>
    <w:rsid w:val="00BC790D"/>
    <w:rsid w:val="00BD452D"/>
    <w:rsid w:val="00BD5469"/>
    <w:rsid w:val="00BD7FE2"/>
    <w:rsid w:val="00BE52B1"/>
    <w:rsid w:val="00BF4880"/>
    <w:rsid w:val="00BF4B4A"/>
    <w:rsid w:val="00C013CF"/>
    <w:rsid w:val="00C10B90"/>
    <w:rsid w:val="00C134ED"/>
    <w:rsid w:val="00C139BC"/>
    <w:rsid w:val="00C169C6"/>
    <w:rsid w:val="00C16D94"/>
    <w:rsid w:val="00C17C2B"/>
    <w:rsid w:val="00C21467"/>
    <w:rsid w:val="00C25CBB"/>
    <w:rsid w:val="00C27F88"/>
    <w:rsid w:val="00C3056C"/>
    <w:rsid w:val="00C323CA"/>
    <w:rsid w:val="00C34D41"/>
    <w:rsid w:val="00C423AB"/>
    <w:rsid w:val="00C424A4"/>
    <w:rsid w:val="00C4738B"/>
    <w:rsid w:val="00C524D8"/>
    <w:rsid w:val="00C65248"/>
    <w:rsid w:val="00C67B75"/>
    <w:rsid w:val="00C724A0"/>
    <w:rsid w:val="00C74436"/>
    <w:rsid w:val="00C851DC"/>
    <w:rsid w:val="00C85A7D"/>
    <w:rsid w:val="00C87B55"/>
    <w:rsid w:val="00C95C39"/>
    <w:rsid w:val="00C97A98"/>
    <w:rsid w:val="00C97E89"/>
    <w:rsid w:val="00CA4220"/>
    <w:rsid w:val="00CB0327"/>
    <w:rsid w:val="00CB079B"/>
    <w:rsid w:val="00CB5139"/>
    <w:rsid w:val="00CC01EB"/>
    <w:rsid w:val="00CC1A59"/>
    <w:rsid w:val="00CC388D"/>
    <w:rsid w:val="00CC416A"/>
    <w:rsid w:val="00CC4179"/>
    <w:rsid w:val="00CC4376"/>
    <w:rsid w:val="00CC43BA"/>
    <w:rsid w:val="00CC512A"/>
    <w:rsid w:val="00CC5FB3"/>
    <w:rsid w:val="00CD2008"/>
    <w:rsid w:val="00CD3552"/>
    <w:rsid w:val="00CF0FFA"/>
    <w:rsid w:val="00CF74C5"/>
    <w:rsid w:val="00D016D8"/>
    <w:rsid w:val="00D02109"/>
    <w:rsid w:val="00D02405"/>
    <w:rsid w:val="00D039F0"/>
    <w:rsid w:val="00D06849"/>
    <w:rsid w:val="00D0729F"/>
    <w:rsid w:val="00D10A70"/>
    <w:rsid w:val="00D14F87"/>
    <w:rsid w:val="00D17688"/>
    <w:rsid w:val="00D27E58"/>
    <w:rsid w:val="00D30431"/>
    <w:rsid w:val="00D32B35"/>
    <w:rsid w:val="00D33F15"/>
    <w:rsid w:val="00D35608"/>
    <w:rsid w:val="00D43849"/>
    <w:rsid w:val="00D5302E"/>
    <w:rsid w:val="00D615D2"/>
    <w:rsid w:val="00D618B5"/>
    <w:rsid w:val="00D6395F"/>
    <w:rsid w:val="00D71CF0"/>
    <w:rsid w:val="00D83284"/>
    <w:rsid w:val="00D86D38"/>
    <w:rsid w:val="00D8714A"/>
    <w:rsid w:val="00D9127D"/>
    <w:rsid w:val="00D921F4"/>
    <w:rsid w:val="00D9433B"/>
    <w:rsid w:val="00D977A8"/>
    <w:rsid w:val="00DA0B17"/>
    <w:rsid w:val="00DB3A52"/>
    <w:rsid w:val="00DB3B0A"/>
    <w:rsid w:val="00DB51B4"/>
    <w:rsid w:val="00DC07FF"/>
    <w:rsid w:val="00DC522F"/>
    <w:rsid w:val="00DD371C"/>
    <w:rsid w:val="00DE0A4C"/>
    <w:rsid w:val="00DE1369"/>
    <w:rsid w:val="00DE1BE5"/>
    <w:rsid w:val="00DE5B3B"/>
    <w:rsid w:val="00DF218C"/>
    <w:rsid w:val="00DF7BE7"/>
    <w:rsid w:val="00E03E1E"/>
    <w:rsid w:val="00E05056"/>
    <w:rsid w:val="00E1415A"/>
    <w:rsid w:val="00E21178"/>
    <w:rsid w:val="00E2333B"/>
    <w:rsid w:val="00E262D6"/>
    <w:rsid w:val="00E26320"/>
    <w:rsid w:val="00E26EED"/>
    <w:rsid w:val="00E30ABB"/>
    <w:rsid w:val="00E30BE5"/>
    <w:rsid w:val="00E335C1"/>
    <w:rsid w:val="00E44392"/>
    <w:rsid w:val="00E44E41"/>
    <w:rsid w:val="00E50209"/>
    <w:rsid w:val="00E800BA"/>
    <w:rsid w:val="00E82E91"/>
    <w:rsid w:val="00E87942"/>
    <w:rsid w:val="00E91447"/>
    <w:rsid w:val="00E91C47"/>
    <w:rsid w:val="00EB048B"/>
    <w:rsid w:val="00EB05EC"/>
    <w:rsid w:val="00EC095E"/>
    <w:rsid w:val="00EC15C1"/>
    <w:rsid w:val="00ED1F45"/>
    <w:rsid w:val="00EE7F3C"/>
    <w:rsid w:val="00EF0437"/>
    <w:rsid w:val="00F01F22"/>
    <w:rsid w:val="00F06689"/>
    <w:rsid w:val="00F07494"/>
    <w:rsid w:val="00F17A22"/>
    <w:rsid w:val="00F20985"/>
    <w:rsid w:val="00F234F8"/>
    <w:rsid w:val="00F31184"/>
    <w:rsid w:val="00F354CC"/>
    <w:rsid w:val="00F42B9C"/>
    <w:rsid w:val="00F466C1"/>
    <w:rsid w:val="00F47CE2"/>
    <w:rsid w:val="00F510D9"/>
    <w:rsid w:val="00F53BB2"/>
    <w:rsid w:val="00F54AED"/>
    <w:rsid w:val="00F65851"/>
    <w:rsid w:val="00F73A82"/>
    <w:rsid w:val="00F74B47"/>
    <w:rsid w:val="00F828D5"/>
    <w:rsid w:val="00F830D8"/>
    <w:rsid w:val="00FA164E"/>
    <w:rsid w:val="00FA3C5B"/>
    <w:rsid w:val="00FA74E0"/>
    <w:rsid w:val="00FC17A3"/>
    <w:rsid w:val="00FC62B8"/>
    <w:rsid w:val="00FD479F"/>
    <w:rsid w:val="00FD5004"/>
    <w:rsid w:val="00FE6C25"/>
    <w:rsid w:val="00FE78A3"/>
    <w:rsid w:val="00FF08A8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B3DC4"/>
  <w15:docId w15:val="{8486F968-7D11-4191-8BB0-E9C82F4A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D1"/>
    <w:pPr>
      <w:spacing w:after="0"/>
    </w:pPr>
    <w:rPr>
      <w:rFonts w:cs="Times New Roman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031513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151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8F67CD"/>
    <w:pPr>
      <w:tabs>
        <w:tab w:val="right" w:pos="9072"/>
      </w:tabs>
      <w:spacing w:line="240" w:lineRule="auto"/>
    </w:pPr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8F67CD"/>
    <w:rPr>
      <w:sz w:val="16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  <w:rPr>
      <w:rFonts w:cstheme="minorBidi"/>
    </w:r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  <w:rPr>
      <w:rFonts w:cstheme="minorBidi"/>
    </w:r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  <w:rPr>
      <w:rFonts w:cstheme="minorBidi"/>
    </w:r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  <w:rPr>
      <w:rFonts w:cstheme="minorBidi"/>
    </w:r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  <w:rPr>
      <w:rFonts w:cstheme="minorBidi"/>
    </w:r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  <w:rPr>
      <w:rFonts w:cstheme="minorBidi"/>
    </w:r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  <w:rPr>
      <w:rFonts w:cstheme="minorBidi"/>
    </w:r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  <w:rPr>
      <w:rFonts w:cstheme="minorBidi"/>
    </w:r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  <w:rPr>
      <w:rFonts w:cstheme="minorBidi"/>
    </w:r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  <w:rPr>
      <w:rFonts w:cstheme="minorBidi"/>
    </w:r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51B7D"/>
    <w:pPr>
      <w:spacing w:after="120" w:line="240" w:lineRule="auto"/>
    </w:pPr>
    <w:rPr>
      <w:rFonts w:cstheme="minorBidi"/>
      <w:color w:val="006B6E"/>
      <w:sz w:val="28"/>
    </w:rPr>
  </w:style>
  <w:style w:type="character" w:customStyle="1" w:styleId="HeaderChar">
    <w:name w:val="Header Char"/>
    <w:basedOn w:val="DefaultParagraphFont"/>
    <w:link w:val="Header"/>
    <w:rsid w:val="00251B7D"/>
    <w:rPr>
      <w:color w:val="006B6E"/>
      <w:sz w:val="28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rFonts w:cstheme="minorBidi"/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FF08A8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  <w:rPr>
      <w:rFonts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  <w:rPr>
      <w:rFonts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  <w:rPr>
      <w:rFonts w:cstheme="minorBidi"/>
    </w:r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  <w:rPr>
      <w:rFonts w:cstheme="minorBidi"/>
    </w:r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rFonts w:cstheme="minorBidi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 w:cstheme="minorBidi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rsid w:val="005823D1"/>
  </w:style>
  <w:style w:type="paragraph" w:customStyle="1" w:styleId="NormalBN">
    <w:name w:val="Normal BN"/>
    <w:basedOn w:val="Normal"/>
    <w:uiPriority w:val="99"/>
    <w:rsid w:val="0025001B"/>
    <w:pPr>
      <w:autoSpaceDE w:val="0"/>
      <w:autoSpaceDN w:val="0"/>
      <w:spacing w:line="240" w:lineRule="auto"/>
      <w:jc w:val="both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67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B7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B75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6F57"/>
    <w:pPr>
      <w:spacing w:after="0" w:line="240" w:lineRule="auto"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E6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a.gov.au/government/publications/review-of-the-architects-act-200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afetycomms@dmirs.wa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A76651017</value>
    </field>
    <field name="Objective-Title">
      <value order="0">E-cigarettes regulatory change - Consultation - Submission sheet</value>
    </field>
    <field name="Objective-Description">
      <value order="0"/>
    </field>
    <field name="Objective-CreationStamp">
      <value order="0">2024-05-21T07:07:16Z</value>
    </field>
    <field name="Objective-IsApproved">
      <value order="0">false</value>
    </field>
    <field name="Objective-IsPublished">
      <value order="0">true</value>
    </field>
    <field name="Objective-DatePublished">
      <value order="0">2024-06-04T04:42:39Z</value>
    </field>
    <field name="Objective-ModificationStamp">
      <value order="0">2024-06-04T04:42:40Z</value>
    </field>
    <field name="Objective-Owner">
      <value order="0">GRAY, Tony</value>
    </field>
    <field name="Objective-Path">
      <value order="0">DEMIRS Global Folder:02 Corporate File Plan:WorkSafe Group:zWorkSafe:Policy &amp; Education Directorate:Policy Branch:Government Relations:Policy:Work Health and Safety (WHS) Act 2020 - Amendments:E-cigarettes and vaping (Division 7A Part 3.2)</value>
    </field>
    <field name="Objective-Parent">
      <value order="0">E-cigarettes and vaping (Division 7A Part 3.2)</value>
    </field>
    <field name="Objective-State">
      <value order="0">Published</value>
    </field>
    <field name="Objective-VersionId">
      <value order="0">vA82579931</value>
    </field>
    <field name="Objective-Version">
      <value order="0">7.0</value>
    </field>
    <field name="Objective-VersionNumber">
      <value order="0">7</value>
    </field>
    <field name="Objective-VersionComment">
      <value order="0">adding date</value>
    </field>
    <field name="Objective-FileNumber">
      <value order="0">DMS12815/2023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Warning">
        <value order="0"/>
      </field>
      <field name="Objective-Graphic Content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>003596.safety.comms</OurDocsDocId>
    <OurDocsVersionCreatedBy xmlns="dce3ed02-b0cd-470d-9119-e5f1a2533a21">MIFJOUB</OurDocsVersionCreatedBy>
    <OurDocsIsLocked xmlns="dce3ed02-b0cd-470d-9119-e5f1a2533a21">false</OurDocsIsLocked>
    <OurDocsDocumentType xmlns="dce3ed02-b0cd-470d-9119-e5f1a2533a21">Document</OurDocsDocumentType>
    <OurDocsFileNumbers xmlns="dce3ed02-b0cd-470d-9119-e5f1a2533a21" xsi:nil="true"/>
    <OurDocsLockedOnBehalfOf xmlns="dce3ed02-b0cd-470d-9119-e5f1a2533a21" xsi:nil="true"/>
    <OurDocsDocumentDate xmlns="dce3ed02-b0cd-470d-9119-e5f1a2533a21">2019-11-17T16:00:00+00:00</OurDocsDocumentDate>
    <OurDocsVersionCreatedAt xmlns="dce3ed02-b0cd-470d-9119-e5f1a2533a21">2019-11-18T01:55:56+00:00</OurDocsVersionCreatedAt>
    <OurDocsReleaseClassification xmlns="dce3ed02-b0cd-470d-9119-e5f1a2533a21">For Public Release</OurDocsReleaseClassification>
    <OurDocsTitle xmlns="dce3ed02-b0cd-470d-9119-e5f1a2533a21">Submission template - CoP -Occupational diving in WA - WS</OurDocsTitle>
    <OurDocsLocation xmlns="dce3ed02-b0cd-470d-9119-e5f1a2533a21">Perth</OurDocsLocation>
    <OurDocsDescription xmlns="dce3ed02-b0cd-470d-9119-e5f1a2533a21">Cover sheet and feedback template
CoP Occupational diving COSH WS</OurDocsDescription>
    <OurDocsVersionReason xmlns="dce3ed02-b0cd-470d-9119-e5f1a2533a21" xsi:nil="true"/>
    <OurDocsAuthor xmlns="dce3ed02-b0cd-470d-9119-e5f1a2533a21">Joubert, Fran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CAC10570-AA75-4744-A3A4-817B4F4D7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CF23F6-D1A3-4B2C-B1E9-6143F830A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90948-E65D-4150-B9AC-9D93F6D57B5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template - CoP -Occupational diving in WA - WS</vt:lpstr>
    </vt:vector>
  </TitlesOfParts>
  <Company>Department of Mines, Industry Regulation and Safety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template - CoP -Occupational diving in WA - WS</dc:title>
  <dc:subject>Cover sheet and feedback template
CoP Occupational diving COSH WS</dc:subject>
  <dc:creator>Joubert, Fran</dc:creator>
  <cp:keywords/>
  <dc:description>FileNo=&lt;!&gt;</dc:description>
  <cp:lastModifiedBy>DA COSTA, Joshua</cp:lastModifiedBy>
  <cp:revision>3</cp:revision>
  <cp:lastPrinted>2025-05-12T05:41:00Z</cp:lastPrinted>
  <dcterms:created xsi:type="dcterms:W3CDTF">2025-05-16T07:22:00Z</dcterms:created>
  <dcterms:modified xsi:type="dcterms:W3CDTF">2025-05-19T06:00:00Z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RecordsDocument">
    <vt:bool>true</vt:bool>
  </property>
  <property fmtid="{D5CDD505-2E9C-101B-9397-08002B2CF9AE}" pid="3" name="DocumentType">
    <vt:lpwstr>Report</vt:lpwstr>
  </property>
  <property fmtid="{D5CDD505-2E9C-101B-9397-08002B2CF9AE}" pid="4" name="ReleaseClassification">
    <vt:lpwstr>For Public Release</vt:lpwstr>
  </property>
  <property fmtid="{D5CDD505-2E9C-101B-9397-08002B2CF9AE}" pid="5" name="DepartmentalTemplatesBranding_NoCover">
    <vt:lpwstr>Agency</vt:lpwstr>
  </property>
  <property fmtid="{D5CDD505-2E9C-101B-9397-08002B2CF9AE}" pid="6" name="DepartmentalTemplatesBranding">
    <vt:lpwstr>Agency</vt:lpwstr>
  </property>
  <property fmtid="{D5CDD505-2E9C-101B-9397-08002B2CF9AE}" pid="7" name="ContentTypeId">
    <vt:lpwstr>0x0101000AC6246A9CD2FC45B52DC6FEC0F0AAAA00BA93749351D2F843A36296955CF57A87</vt:lpwstr>
  </property>
  <property fmtid="{D5CDD505-2E9C-101B-9397-08002B2CF9AE}" pid="8" name="DataStore">
    <vt:lpwstr>Central</vt:lpwstr>
  </property>
  <property fmtid="{D5CDD505-2E9C-101B-9397-08002B2CF9AE}" pid="9" name="Objective-Id">
    <vt:lpwstr>A76651017</vt:lpwstr>
  </property>
  <property fmtid="{D5CDD505-2E9C-101B-9397-08002B2CF9AE}" pid="10" name="Objective-Title">
    <vt:lpwstr>E-cigarettes regulatory change - Consultation - Submission sheet</vt:lpwstr>
  </property>
  <property fmtid="{D5CDD505-2E9C-101B-9397-08002B2CF9AE}" pid="11" name="Objective-Description">
    <vt:lpwstr/>
  </property>
  <property fmtid="{D5CDD505-2E9C-101B-9397-08002B2CF9AE}" pid="12" name="Objective-CreationStamp">
    <vt:filetime>2024-05-21T07:07:16Z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2024-06-04T04:42:39Z</vt:filetime>
  </property>
  <property fmtid="{D5CDD505-2E9C-101B-9397-08002B2CF9AE}" pid="16" name="Objective-ModificationStamp">
    <vt:filetime>2024-06-04T04:42:40Z</vt:filetime>
  </property>
  <property fmtid="{D5CDD505-2E9C-101B-9397-08002B2CF9AE}" pid="17" name="Objective-Owner">
    <vt:lpwstr>GRAY, Tony</vt:lpwstr>
  </property>
  <property fmtid="{D5CDD505-2E9C-101B-9397-08002B2CF9AE}" pid="18" name="Objective-Path">
    <vt:lpwstr>DEMIRS Global Folder:02 Corporate File Plan:WorkSafe Group:zWorkSafe:Policy &amp; Education Directorate:Policy Branch:Government Relations:Policy:Work Health and Safety (WHS) Act 2020 - Amendments:E-cigarettes and vaping (Division 7A Part 3.2)</vt:lpwstr>
  </property>
  <property fmtid="{D5CDD505-2E9C-101B-9397-08002B2CF9AE}" pid="19" name="Objective-Parent">
    <vt:lpwstr>E-cigarettes and vaping (Division 7A Part 3.2)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vA82579931</vt:lpwstr>
  </property>
  <property fmtid="{D5CDD505-2E9C-101B-9397-08002B2CF9AE}" pid="22" name="Objective-Version">
    <vt:lpwstr>7.0</vt:lpwstr>
  </property>
  <property fmtid="{D5CDD505-2E9C-101B-9397-08002B2CF9AE}" pid="23" name="Objective-VersionNumber">
    <vt:r8>7</vt:r8>
  </property>
  <property fmtid="{D5CDD505-2E9C-101B-9397-08002B2CF9AE}" pid="24" name="Objective-VersionComment">
    <vt:lpwstr>adding date</vt:lpwstr>
  </property>
  <property fmtid="{D5CDD505-2E9C-101B-9397-08002B2CF9AE}" pid="25" name="Objective-FileNumber">
    <vt:lpwstr>DMS12815/2023</vt:lpwstr>
  </property>
  <property fmtid="{D5CDD505-2E9C-101B-9397-08002B2CF9AE}" pid="26" name="Objective-Classification">
    <vt:lpwstr>OFFICIAL</vt:lpwstr>
  </property>
  <property fmtid="{D5CDD505-2E9C-101B-9397-08002B2CF9AE}" pid="27" name="Objective-Caveats">
    <vt:lpwstr/>
  </property>
  <property fmtid="{D5CDD505-2E9C-101B-9397-08002B2CF9AE}" pid="28" name="Objective-Divisional Document Types">
    <vt:lpwstr/>
  </property>
  <property fmtid="{D5CDD505-2E9C-101B-9397-08002B2CF9AE}" pid="29" name="Objective-Author">
    <vt:lpwstr/>
  </property>
  <property fmtid="{D5CDD505-2E9C-101B-9397-08002B2CF9AE}" pid="30" name="Objective-Date of Document">
    <vt:lpwstr/>
  </property>
  <property fmtid="{D5CDD505-2E9C-101B-9397-08002B2CF9AE}" pid="31" name="Objective-External Reference">
    <vt:lpwstr/>
  </property>
  <property fmtid="{D5CDD505-2E9C-101B-9397-08002B2CF9AE}" pid="32" name="Objective-Internal Reference">
    <vt:lpwstr/>
  </property>
  <property fmtid="{D5CDD505-2E9C-101B-9397-08002B2CF9AE}" pid="33" name="Objective-Archive Box">
    <vt:lpwstr/>
  </property>
  <property fmtid="{D5CDD505-2E9C-101B-9397-08002B2CF9AE}" pid="34" name="Objective-Migrated Id">
    <vt:lpwstr/>
  </property>
  <property fmtid="{D5CDD505-2E9C-101B-9397-08002B2CF9AE}" pid="35" name="Objective-Foreign Barcode">
    <vt:lpwstr/>
  </property>
  <property fmtid="{D5CDD505-2E9C-101B-9397-08002B2CF9AE}" pid="36" name="Objective-PCI DSS Checked">
    <vt:lpwstr/>
  </property>
  <property fmtid="{D5CDD505-2E9C-101B-9397-08002B2CF9AE}" pid="37" name="Objective-End User">
    <vt:lpwstr/>
  </property>
  <property fmtid="{D5CDD505-2E9C-101B-9397-08002B2CF9AE}" pid="38" name="Objective-Additional File Numbers">
    <vt:lpwstr/>
  </property>
  <property fmtid="{D5CDD505-2E9C-101B-9397-08002B2CF9AE}" pid="39" name="Objective-Record Number">
    <vt:lpwstr/>
  </property>
  <property fmtid="{D5CDD505-2E9C-101B-9397-08002B2CF9AE}" pid="40" name="Objective-Warning">
    <vt:lpwstr/>
  </property>
  <property fmtid="{D5CDD505-2E9C-101B-9397-08002B2CF9AE}" pid="41" name="Objective-Graphic Content">
    <vt:lpwstr/>
  </property>
</Properties>
</file>