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491" w:rsidRPr="00AB01DF" w:rsidRDefault="002D634D" w:rsidP="00AB01DF">
      <w:pPr>
        <w:pStyle w:val="Heading1-Formblue"/>
        <w:spacing w:before="120" w:after="120"/>
        <w:rPr>
          <w:sz w:val="44"/>
          <w:szCs w:val="44"/>
        </w:rPr>
      </w:pPr>
      <w:bookmarkStart w:id="0" w:name="_Toc481740667"/>
      <w:bookmarkStart w:id="1" w:name="_GoBack"/>
      <w:bookmarkEnd w:id="1"/>
      <w:r w:rsidRPr="00AB01DF">
        <w:rPr>
          <w:sz w:val="44"/>
          <w:szCs w:val="44"/>
        </w:rPr>
        <w:t>Guiding</w:t>
      </w:r>
      <w:r w:rsidR="00FB3491" w:rsidRPr="00AB01DF">
        <w:rPr>
          <w:sz w:val="44"/>
          <w:szCs w:val="44"/>
        </w:rPr>
        <w:t xml:space="preserve"> </w:t>
      </w:r>
      <w:r w:rsidR="00FD2C2A" w:rsidRPr="00AB01DF">
        <w:rPr>
          <w:sz w:val="44"/>
          <w:szCs w:val="44"/>
        </w:rPr>
        <w:t>P</w:t>
      </w:r>
      <w:r w:rsidRPr="00AB01DF">
        <w:rPr>
          <w:sz w:val="44"/>
          <w:szCs w:val="44"/>
        </w:rPr>
        <w:t>rinciples</w:t>
      </w:r>
    </w:p>
    <w:p w:rsidR="00AB01DF" w:rsidRPr="00AB01DF" w:rsidRDefault="00AB01DF" w:rsidP="00AB01DF">
      <w:pPr>
        <w:pStyle w:val="Heading1-Formblue"/>
        <w:spacing w:before="120" w:after="120"/>
        <w:rPr>
          <w:sz w:val="36"/>
          <w:szCs w:val="36"/>
        </w:rPr>
      </w:pPr>
      <w:r w:rsidRPr="00AB01DF">
        <w:rPr>
          <w:sz w:val="36"/>
          <w:szCs w:val="36"/>
        </w:rPr>
        <w:t>Proposal to create, change the boundaries of, or abolish a local government district</w:t>
      </w:r>
    </w:p>
    <w:p w:rsidR="00FB3491" w:rsidRPr="00FB3491" w:rsidRDefault="00FB3491" w:rsidP="00FB3491">
      <w:pPr>
        <w:spacing w:before="120" w:after="120" w:line="240" w:lineRule="auto"/>
      </w:pPr>
      <w:r w:rsidRPr="00FB3491">
        <w:t xml:space="preserve">The </w:t>
      </w:r>
      <w:r w:rsidR="00AB01DF">
        <w:t>Local Government Advisory Board</w:t>
      </w:r>
      <w:r w:rsidRPr="00FB3491">
        <w:t xml:space="preserve">’s </w:t>
      </w:r>
      <w:r w:rsidR="00FD2C2A" w:rsidRPr="00FB3491">
        <w:t xml:space="preserve">guiding principles </w:t>
      </w:r>
      <w:r w:rsidRPr="00FB3491">
        <w:t>form the basis for considering changes to local government</w:t>
      </w:r>
      <w:r>
        <w:t xml:space="preserve"> </w:t>
      </w:r>
      <w:r w:rsidRPr="00FB3491">
        <w:t>boundaries and take into account the factors set out in the Act.</w:t>
      </w:r>
    </w:p>
    <w:p w:rsidR="002D634D" w:rsidRPr="00045D7E" w:rsidRDefault="00FF2C74" w:rsidP="00FB3491">
      <w:pPr>
        <w:pStyle w:val="Heading2"/>
        <w:spacing w:before="360"/>
        <w:rPr>
          <w:rFonts w:ascii="Arial" w:hAnsi="Arial" w:cs="Arial"/>
          <w:b w:val="0"/>
          <w:color w:val="2C5C86"/>
          <w:sz w:val="28"/>
          <w:szCs w:val="28"/>
          <w:lang w:eastAsia="en-AU"/>
        </w:rPr>
      </w:pPr>
      <w:r w:rsidRPr="00045D7E">
        <w:rPr>
          <w:rFonts w:ascii="Arial" w:hAnsi="Arial" w:cs="Arial"/>
          <w:b w:val="0"/>
          <w:color w:val="2C5C86"/>
          <w:sz w:val="28"/>
          <w:szCs w:val="28"/>
          <w:lang w:eastAsia="en-AU"/>
        </w:rPr>
        <w:t>1</w:t>
      </w:r>
      <w:r w:rsidR="00FB3491" w:rsidRPr="00045D7E">
        <w:rPr>
          <w:rFonts w:ascii="Arial" w:hAnsi="Arial" w:cs="Arial"/>
          <w:b w:val="0"/>
          <w:color w:val="2C5C86"/>
          <w:sz w:val="28"/>
          <w:szCs w:val="28"/>
          <w:lang w:eastAsia="en-AU"/>
        </w:rPr>
        <w:t>.</w:t>
      </w:r>
      <w:r w:rsidR="002D634D" w:rsidRPr="00045D7E">
        <w:rPr>
          <w:rFonts w:ascii="Arial" w:hAnsi="Arial" w:cs="Arial"/>
          <w:b w:val="0"/>
          <w:color w:val="2C5C86"/>
          <w:sz w:val="28"/>
          <w:szCs w:val="28"/>
          <w:lang w:eastAsia="en-AU"/>
        </w:rPr>
        <w:tab/>
        <w:t>Community of Interests</w:t>
      </w:r>
      <w:bookmarkEnd w:id="0"/>
    </w:p>
    <w:p w:rsidR="00FB3491" w:rsidRDefault="002D634D" w:rsidP="00FF186A">
      <w:pPr>
        <w:spacing w:before="120" w:after="120" w:line="240" w:lineRule="auto"/>
        <w:jc w:val="both"/>
      </w:pPr>
      <w:r>
        <w:t>Community of interests include part</w:t>
      </w:r>
      <w:r w:rsidR="00FD2C2A">
        <w:t>s</w:t>
      </w:r>
      <w:r>
        <w:t xml:space="preserve"> of a district that share common interests, values, characteristics and issues</w:t>
      </w:r>
      <w:r w:rsidR="00FD2C2A">
        <w:t>,</w:t>
      </w:r>
      <w:r>
        <w:t xml:space="preserve"> giving rise to a separate sense of identity or community. </w:t>
      </w:r>
    </w:p>
    <w:p w:rsidR="002D634D" w:rsidRDefault="002D634D" w:rsidP="00FF186A">
      <w:pPr>
        <w:spacing w:before="120" w:after="120" w:line="240" w:lineRule="auto"/>
        <w:jc w:val="both"/>
      </w:pPr>
      <w:r>
        <w:t>Factors contributing to a sense of identity or community include shared interests and shared use of community facilities. For example sporting, leisure, religious and library facilities create a focus for the community.</w:t>
      </w:r>
    </w:p>
    <w:p w:rsidR="00FB3491" w:rsidRDefault="002D634D" w:rsidP="00FF186A">
      <w:pPr>
        <w:spacing w:before="120" w:after="120" w:line="240" w:lineRule="auto"/>
        <w:jc w:val="both"/>
      </w:pPr>
      <w:r>
        <w:t xml:space="preserve">The use of shopping areas and the location of schools also act to draw people together with similar interests. This can also give indications about the direction that people travel to access services and facilities. </w:t>
      </w:r>
    </w:p>
    <w:p w:rsidR="002D634D" w:rsidRDefault="002D634D" w:rsidP="00FF186A">
      <w:pPr>
        <w:spacing w:before="120" w:after="120" w:line="240" w:lineRule="auto"/>
        <w:jc w:val="both"/>
      </w:pPr>
      <w:r>
        <w:t>The external boundaries of a local government need to reflect distinct communities of interest wherever possible.</w:t>
      </w:r>
    </w:p>
    <w:p w:rsidR="002D634D" w:rsidRDefault="002D634D" w:rsidP="00FF186A">
      <w:pPr>
        <w:spacing w:before="120" w:after="120" w:line="240" w:lineRule="auto"/>
        <w:jc w:val="both"/>
      </w:pPr>
      <w:r>
        <w:t>Neighbourhoods, suburbs and towns are important units in the physical, historical and social infrastructure and often generate a feeling of community and belonging. The Board believes that wherever possible, it is inappropriate to divide these units between local governments.</w:t>
      </w:r>
    </w:p>
    <w:p w:rsidR="002D634D" w:rsidRPr="00045D7E" w:rsidRDefault="00FF2C74" w:rsidP="00FB3491">
      <w:pPr>
        <w:pStyle w:val="Heading2"/>
        <w:spacing w:before="360"/>
        <w:rPr>
          <w:rFonts w:ascii="Arial" w:hAnsi="Arial" w:cs="Arial"/>
          <w:b w:val="0"/>
          <w:color w:val="2C5C86"/>
          <w:sz w:val="28"/>
          <w:szCs w:val="28"/>
          <w:lang w:eastAsia="en-AU"/>
        </w:rPr>
      </w:pPr>
      <w:bookmarkStart w:id="2" w:name="_Toc481740668"/>
      <w:r w:rsidRPr="00045D7E">
        <w:rPr>
          <w:rFonts w:ascii="Arial" w:hAnsi="Arial" w:cs="Arial"/>
          <w:b w:val="0"/>
          <w:color w:val="2C5C86"/>
          <w:sz w:val="28"/>
          <w:szCs w:val="28"/>
          <w:lang w:eastAsia="en-AU"/>
        </w:rPr>
        <w:t>2</w:t>
      </w:r>
      <w:r w:rsidR="00FB3491" w:rsidRPr="00045D7E">
        <w:rPr>
          <w:rFonts w:ascii="Arial" w:hAnsi="Arial" w:cs="Arial"/>
          <w:b w:val="0"/>
          <w:color w:val="2C5C86"/>
          <w:sz w:val="28"/>
          <w:szCs w:val="28"/>
          <w:lang w:eastAsia="en-AU"/>
        </w:rPr>
        <w:t>.</w:t>
      </w:r>
      <w:r w:rsidR="002D634D" w:rsidRPr="00045D7E">
        <w:rPr>
          <w:rFonts w:ascii="Arial" w:hAnsi="Arial" w:cs="Arial"/>
          <w:b w:val="0"/>
          <w:color w:val="2C5C86"/>
          <w:sz w:val="28"/>
          <w:szCs w:val="28"/>
          <w:lang w:eastAsia="en-AU"/>
        </w:rPr>
        <w:tab/>
        <w:t>Physical and Topographic Features</w:t>
      </w:r>
      <w:bookmarkEnd w:id="2"/>
    </w:p>
    <w:p w:rsidR="002D634D" w:rsidRDefault="002D634D" w:rsidP="00FB3491">
      <w:pPr>
        <w:spacing w:before="120" w:after="120" w:line="240" w:lineRule="auto"/>
        <w:jc w:val="both"/>
      </w:pPr>
      <w:r>
        <w:t>Physical and topographic features may be natural or man-made and will vary from area to area. They may include:</w:t>
      </w:r>
    </w:p>
    <w:p w:rsidR="002D634D" w:rsidRDefault="002D634D" w:rsidP="00FB3491">
      <w:pPr>
        <w:pStyle w:val="ListParagraph"/>
        <w:numPr>
          <w:ilvl w:val="0"/>
          <w:numId w:val="1"/>
        </w:numPr>
        <w:spacing w:before="120" w:after="120" w:line="240" w:lineRule="auto"/>
        <w:ind w:left="851" w:hanging="567"/>
        <w:jc w:val="both"/>
      </w:pPr>
      <w:r>
        <w:t>Water features (such as rivers)</w:t>
      </w:r>
    </w:p>
    <w:p w:rsidR="002D634D" w:rsidRDefault="002D634D" w:rsidP="00FB3491">
      <w:pPr>
        <w:pStyle w:val="ListParagraph"/>
        <w:numPr>
          <w:ilvl w:val="0"/>
          <w:numId w:val="1"/>
        </w:numPr>
        <w:spacing w:before="120" w:after="120" w:line="240" w:lineRule="auto"/>
        <w:ind w:left="851" w:hanging="567"/>
        <w:jc w:val="both"/>
      </w:pPr>
      <w:r>
        <w:t>Catchment boundaries</w:t>
      </w:r>
    </w:p>
    <w:p w:rsidR="002D634D" w:rsidRDefault="002D634D" w:rsidP="00FB3491">
      <w:pPr>
        <w:pStyle w:val="ListParagraph"/>
        <w:numPr>
          <w:ilvl w:val="0"/>
          <w:numId w:val="1"/>
        </w:numPr>
        <w:spacing w:before="120" w:after="120" w:line="240" w:lineRule="auto"/>
        <w:ind w:left="851" w:hanging="567"/>
        <w:jc w:val="both"/>
      </w:pPr>
      <w:r>
        <w:t>Coastal plains and foothills</w:t>
      </w:r>
    </w:p>
    <w:p w:rsidR="002D634D" w:rsidRDefault="002D634D" w:rsidP="00FB3491">
      <w:pPr>
        <w:pStyle w:val="ListParagraph"/>
        <w:numPr>
          <w:ilvl w:val="0"/>
          <w:numId w:val="1"/>
        </w:numPr>
        <w:spacing w:before="120" w:after="120" w:line="240" w:lineRule="auto"/>
        <w:ind w:left="851" w:hanging="567"/>
        <w:jc w:val="both"/>
      </w:pPr>
      <w:r>
        <w:t>Parks and reserves</w:t>
      </w:r>
    </w:p>
    <w:p w:rsidR="002D634D" w:rsidRDefault="002D634D" w:rsidP="00FB3491">
      <w:pPr>
        <w:pStyle w:val="ListParagraph"/>
        <w:numPr>
          <w:ilvl w:val="0"/>
          <w:numId w:val="1"/>
        </w:numPr>
        <w:spacing w:before="120" w:after="120" w:line="240" w:lineRule="auto"/>
        <w:ind w:left="851" w:hanging="567"/>
        <w:jc w:val="both"/>
      </w:pPr>
      <w:r>
        <w:t>Man</w:t>
      </w:r>
      <w:r w:rsidR="00FB3491">
        <w:t>-</w:t>
      </w:r>
      <w:r>
        <w:t>made features (such as railway lines or freeways).</w:t>
      </w:r>
    </w:p>
    <w:p w:rsidR="00FB3491" w:rsidRDefault="002D634D" w:rsidP="00FB3491">
      <w:pPr>
        <w:spacing w:before="120" w:after="120" w:line="240" w:lineRule="auto"/>
        <w:jc w:val="both"/>
      </w:pPr>
      <w:r>
        <w:t xml:space="preserve">These features can form identifiable boundaries and can also act as barriers to movement between adjoining areas. In many cases physical and topographic features are appropriate district and ward boundaries. </w:t>
      </w:r>
    </w:p>
    <w:p w:rsidR="002D634D" w:rsidRDefault="002D634D" w:rsidP="00FB3491">
      <w:pPr>
        <w:spacing w:before="120" w:after="120" w:line="240" w:lineRule="auto"/>
        <w:jc w:val="both"/>
      </w:pPr>
      <w:r>
        <w:t>The Board supports local government structures and boundaries that facilitate the integration of human activity and land use.</w:t>
      </w:r>
    </w:p>
    <w:p w:rsidR="002D634D" w:rsidRPr="00045D7E" w:rsidRDefault="00FF2C74" w:rsidP="00FB3491">
      <w:pPr>
        <w:pStyle w:val="Heading2"/>
        <w:spacing w:before="360"/>
        <w:rPr>
          <w:rFonts w:ascii="Arial" w:hAnsi="Arial" w:cs="Arial"/>
          <w:b w:val="0"/>
          <w:color w:val="2C5C86"/>
          <w:sz w:val="28"/>
          <w:szCs w:val="28"/>
          <w:lang w:eastAsia="en-AU"/>
        </w:rPr>
      </w:pPr>
      <w:bookmarkStart w:id="3" w:name="_Toc481740669"/>
      <w:r w:rsidRPr="00045D7E">
        <w:rPr>
          <w:rFonts w:ascii="Arial" w:hAnsi="Arial" w:cs="Arial"/>
          <w:b w:val="0"/>
          <w:color w:val="2C5C86"/>
          <w:sz w:val="28"/>
          <w:szCs w:val="28"/>
          <w:lang w:eastAsia="en-AU"/>
        </w:rPr>
        <w:lastRenderedPageBreak/>
        <w:t>3</w:t>
      </w:r>
      <w:r w:rsidR="00FB3491" w:rsidRPr="00045D7E">
        <w:rPr>
          <w:rFonts w:ascii="Arial" w:hAnsi="Arial" w:cs="Arial"/>
          <w:b w:val="0"/>
          <w:color w:val="2C5C86"/>
          <w:sz w:val="28"/>
          <w:szCs w:val="28"/>
          <w:lang w:eastAsia="en-AU"/>
        </w:rPr>
        <w:t>.</w:t>
      </w:r>
      <w:r w:rsidR="002D634D" w:rsidRPr="00045D7E">
        <w:rPr>
          <w:rFonts w:ascii="Arial" w:hAnsi="Arial" w:cs="Arial"/>
          <w:b w:val="0"/>
          <w:color w:val="2C5C86"/>
          <w:sz w:val="28"/>
          <w:szCs w:val="28"/>
          <w:lang w:eastAsia="en-AU"/>
        </w:rPr>
        <w:tab/>
        <w:t>Demographic Trends</w:t>
      </w:r>
      <w:bookmarkEnd w:id="3"/>
    </w:p>
    <w:p w:rsidR="002D634D" w:rsidRDefault="002D634D" w:rsidP="00FB3491">
      <w:pPr>
        <w:spacing w:before="120" w:after="120" w:line="240" w:lineRule="auto"/>
        <w:jc w:val="both"/>
      </w:pPr>
      <w:r>
        <w:t xml:space="preserve">Local governments should consider the following characteristics when determining the demographics within </w:t>
      </w:r>
      <w:r w:rsidR="00FB3491">
        <w:t>their</w:t>
      </w:r>
      <w:r>
        <w:t xml:space="preserve"> locality:</w:t>
      </w:r>
    </w:p>
    <w:p w:rsidR="002D634D" w:rsidRDefault="002D634D" w:rsidP="00FB3491">
      <w:pPr>
        <w:pStyle w:val="ListParagraph"/>
        <w:numPr>
          <w:ilvl w:val="0"/>
          <w:numId w:val="1"/>
        </w:numPr>
        <w:spacing w:before="120" w:after="120" w:line="240" w:lineRule="auto"/>
        <w:ind w:left="851" w:hanging="567"/>
        <w:jc w:val="both"/>
      </w:pPr>
      <w:r>
        <w:t>Population size</w:t>
      </w:r>
    </w:p>
    <w:p w:rsidR="002D634D" w:rsidRDefault="002D634D" w:rsidP="00FB3491">
      <w:pPr>
        <w:pStyle w:val="ListParagraph"/>
        <w:numPr>
          <w:ilvl w:val="0"/>
          <w:numId w:val="1"/>
        </w:numPr>
        <w:spacing w:before="120" w:after="120" w:line="240" w:lineRule="auto"/>
        <w:ind w:left="851" w:hanging="567"/>
        <w:jc w:val="both"/>
      </w:pPr>
      <w:r>
        <w:t>Population trends</w:t>
      </w:r>
    </w:p>
    <w:p w:rsidR="002D634D" w:rsidRDefault="002D634D" w:rsidP="00FB3491">
      <w:pPr>
        <w:pStyle w:val="ListParagraph"/>
        <w:numPr>
          <w:ilvl w:val="0"/>
          <w:numId w:val="1"/>
        </w:numPr>
        <w:spacing w:before="120" w:after="120" w:line="240" w:lineRule="auto"/>
        <w:ind w:left="851" w:hanging="567"/>
        <w:jc w:val="both"/>
      </w:pPr>
      <w:r>
        <w:t>Distribution by age</w:t>
      </w:r>
    </w:p>
    <w:p w:rsidR="002D634D" w:rsidRDefault="002D634D" w:rsidP="00FB3491">
      <w:pPr>
        <w:pStyle w:val="ListParagraph"/>
        <w:numPr>
          <w:ilvl w:val="0"/>
          <w:numId w:val="1"/>
        </w:numPr>
        <w:spacing w:before="120" w:after="120" w:line="240" w:lineRule="auto"/>
        <w:ind w:left="851" w:hanging="567"/>
        <w:jc w:val="both"/>
      </w:pPr>
      <w:r>
        <w:t>Gender</w:t>
      </w:r>
    </w:p>
    <w:p w:rsidR="002D634D" w:rsidRDefault="002D634D" w:rsidP="00FB3491">
      <w:pPr>
        <w:pStyle w:val="ListParagraph"/>
        <w:numPr>
          <w:ilvl w:val="0"/>
          <w:numId w:val="1"/>
        </w:numPr>
        <w:spacing w:before="120" w:after="120" w:line="240" w:lineRule="auto"/>
        <w:ind w:left="851" w:hanging="567"/>
        <w:jc w:val="both"/>
      </w:pPr>
      <w:r>
        <w:t>Occupation.</w:t>
      </w:r>
    </w:p>
    <w:p w:rsidR="002D634D" w:rsidRDefault="002D634D" w:rsidP="00FB3491">
      <w:pPr>
        <w:spacing w:before="120" w:after="120" w:line="240" w:lineRule="auto"/>
        <w:jc w:val="both"/>
      </w:pPr>
      <w:r>
        <w:t>Current and projected population factors will be relevant as well as similarities and differences between areas within the local government.</w:t>
      </w:r>
    </w:p>
    <w:p w:rsidR="002D634D" w:rsidRPr="00045D7E" w:rsidRDefault="00FF2C74" w:rsidP="00FB3491">
      <w:pPr>
        <w:pStyle w:val="Heading2"/>
        <w:spacing w:before="360"/>
        <w:rPr>
          <w:rFonts w:ascii="Arial" w:hAnsi="Arial" w:cs="Arial"/>
          <w:b w:val="0"/>
          <w:color w:val="2C5C86"/>
          <w:sz w:val="28"/>
          <w:szCs w:val="28"/>
          <w:lang w:eastAsia="en-AU"/>
        </w:rPr>
      </w:pPr>
      <w:bookmarkStart w:id="4" w:name="_Toc481740670"/>
      <w:r w:rsidRPr="00045D7E">
        <w:rPr>
          <w:rFonts w:ascii="Arial" w:hAnsi="Arial" w:cs="Arial"/>
          <w:b w:val="0"/>
          <w:color w:val="2C5C86"/>
          <w:sz w:val="28"/>
          <w:szCs w:val="28"/>
          <w:lang w:eastAsia="en-AU"/>
        </w:rPr>
        <w:t>4</w:t>
      </w:r>
      <w:r w:rsidR="00FB3491" w:rsidRPr="00045D7E">
        <w:rPr>
          <w:rFonts w:ascii="Arial" w:hAnsi="Arial" w:cs="Arial"/>
          <w:b w:val="0"/>
          <w:color w:val="2C5C86"/>
          <w:sz w:val="28"/>
          <w:szCs w:val="28"/>
          <w:lang w:eastAsia="en-AU"/>
        </w:rPr>
        <w:t>.</w:t>
      </w:r>
      <w:r w:rsidR="002D634D" w:rsidRPr="00045D7E">
        <w:rPr>
          <w:rFonts w:ascii="Arial" w:hAnsi="Arial" w:cs="Arial"/>
          <w:b w:val="0"/>
          <w:color w:val="2C5C86"/>
          <w:sz w:val="28"/>
          <w:szCs w:val="28"/>
          <w:lang w:eastAsia="en-AU"/>
        </w:rPr>
        <w:tab/>
        <w:t>Economic Factors</w:t>
      </w:r>
      <w:bookmarkEnd w:id="4"/>
    </w:p>
    <w:p w:rsidR="002D634D" w:rsidRDefault="002D634D" w:rsidP="00FB3491">
      <w:pPr>
        <w:spacing w:before="120" w:after="120" w:line="240" w:lineRule="auto"/>
        <w:jc w:val="both"/>
      </w:pPr>
      <w:r>
        <w:t>Economic factors can include any factor that reflects the character of economic activities and resources in the area including:</w:t>
      </w:r>
    </w:p>
    <w:p w:rsidR="002D634D" w:rsidRDefault="002D634D" w:rsidP="00FB3491">
      <w:pPr>
        <w:pStyle w:val="ListParagraph"/>
        <w:numPr>
          <w:ilvl w:val="0"/>
          <w:numId w:val="1"/>
        </w:numPr>
        <w:spacing w:before="120" w:after="120" w:line="240" w:lineRule="auto"/>
        <w:ind w:left="851" w:hanging="567"/>
        <w:jc w:val="both"/>
      </w:pPr>
      <w:r>
        <w:t>Industries within the local area</w:t>
      </w:r>
    </w:p>
    <w:p w:rsidR="002D634D" w:rsidRDefault="002D634D" w:rsidP="00FB3491">
      <w:pPr>
        <w:pStyle w:val="ListParagraph"/>
        <w:numPr>
          <w:ilvl w:val="0"/>
          <w:numId w:val="1"/>
        </w:numPr>
        <w:spacing w:before="120" w:after="120" w:line="240" w:lineRule="auto"/>
        <w:ind w:left="851" w:hanging="567"/>
        <w:jc w:val="both"/>
      </w:pPr>
      <w:r>
        <w:t>D</w:t>
      </w:r>
      <w:r w:rsidR="00FB3491">
        <w:t>istribution of community assets</w:t>
      </w:r>
    </w:p>
    <w:p w:rsidR="002D634D" w:rsidRDefault="002D634D" w:rsidP="00FB3491">
      <w:pPr>
        <w:pStyle w:val="ListParagraph"/>
        <w:numPr>
          <w:ilvl w:val="0"/>
          <w:numId w:val="1"/>
        </w:numPr>
        <w:spacing w:before="120" w:after="120" w:line="240" w:lineRule="auto"/>
        <w:ind w:left="851" w:hanging="567"/>
        <w:jc w:val="both"/>
      </w:pPr>
      <w:r>
        <w:t>Infrastructure.</w:t>
      </w:r>
    </w:p>
    <w:p w:rsidR="002D634D" w:rsidRPr="00045D7E" w:rsidRDefault="00FF2C74" w:rsidP="00FB3491">
      <w:pPr>
        <w:pStyle w:val="Heading2"/>
        <w:spacing w:before="360"/>
        <w:rPr>
          <w:rFonts w:ascii="Arial" w:hAnsi="Arial" w:cs="Arial"/>
          <w:b w:val="0"/>
          <w:color w:val="2C5C86"/>
          <w:sz w:val="28"/>
          <w:szCs w:val="28"/>
          <w:lang w:eastAsia="en-AU"/>
        </w:rPr>
      </w:pPr>
      <w:bookmarkStart w:id="5" w:name="_Toc481740671"/>
      <w:r w:rsidRPr="00045D7E">
        <w:rPr>
          <w:rFonts w:ascii="Arial" w:hAnsi="Arial" w:cs="Arial"/>
          <w:b w:val="0"/>
          <w:color w:val="2C5C86"/>
          <w:sz w:val="28"/>
          <w:szCs w:val="28"/>
          <w:lang w:eastAsia="en-AU"/>
        </w:rPr>
        <w:t>5</w:t>
      </w:r>
      <w:r w:rsidR="00FB3491" w:rsidRPr="00045D7E">
        <w:rPr>
          <w:rFonts w:ascii="Arial" w:hAnsi="Arial" w:cs="Arial"/>
          <w:b w:val="0"/>
          <w:color w:val="2C5C86"/>
          <w:sz w:val="28"/>
          <w:szCs w:val="28"/>
          <w:lang w:eastAsia="en-AU"/>
        </w:rPr>
        <w:t>.</w:t>
      </w:r>
      <w:r w:rsidR="002D634D" w:rsidRPr="00045D7E">
        <w:rPr>
          <w:rFonts w:ascii="Arial" w:hAnsi="Arial" w:cs="Arial"/>
          <w:b w:val="0"/>
          <w:color w:val="2C5C86"/>
          <w:sz w:val="28"/>
          <w:szCs w:val="28"/>
          <w:lang w:eastAsia="en-AU"/>
        </w:rPr>
        <w:tab/>
        <w:t>History of the Area</w:t>
      </w:r>
      <w:bookmarkEnd w:id="5"/>
    </w:p>
    <w:p w:rsidR="002D634D" w:rsidRDefault="002D634D" w:rsidP="00FF186A">
      <w:pPr>
        <w:spacing w:before="120" w:after="120" w:line="240" w:lineRule="auto"/>
        <w:jc w:val="both"/>
      </w:pPr>
      <w:r>
        <w:t>The history of an area can be a relevant consideration, although the Board believes that in the majority of cases this will not be a primary justification for changing or retaining local governments and local government boundaries. The nature of historical ties between communities is important to understand, irrespective of where the local government boundaries lie.</w:t>
      </w:r>
    </w:p>
    <w:p w:rsidR="002D634D" w:rsidRDefault="002D634D" w:rsidP="00FF186A">
      <w:pPr>
        <w:spacing w:before="120" w:after="120" w:line="240" w:lineRule="auto"/>
        <w:jc w:val="both"/>
      </w:pPr>
      <w:r>
        <w:t>A community within a local government may have a strong historical identity; alternatively there may be strong historical links between two or more communities in adjacent local governments. It is important to note that historical identity is not lessened if an area does not have its own local government.</w:t>
      </w:r>
    </w:p>
    <w:p w:rsidR="002D634D" w:rsidRPr="00045D7E" w:rsidRDefault="00FF2C74" w:rsidP="00FB3491">
      <w:pPr>
        <w:pStyle w:val="Heading2"/>
        <w:spacing w:before="360"/>
        <w:rPr>
          <w:rFonts w:ascii="Arial" w:hAnsi="Arial" w:cs="Arial"/>
          <w:b w:val="0"/>
          <w:color w:val="2C5C86"/>
          <w:sz w:val="28"/>
          <w:szCs w:val="28"/>
          <w:lang w:eastAsia="en-AU"/>
        </w:rPr>
      </w:pPr>
      <w:bookmarkStart w:id="6" w:name="_Toc481740672"/>
      <w:r w:rsidRPr="00045D7E">
        <w:rPr>
          <w:rFonts w:ascii="Arial" w:hAnsi="Arial" w:cs="Arial"/>
          <w:b w:val="0"/>
          <w:color w:val="2C5C86"/>
          <w:sz w:val="28"/>
          <w:szCs w:val="28"/>
          <w:lang w:eastAsia="en-AU"/>
        </w:rPr>
        <w:t>6</w:t>
      </w:r>
      <w:r w:rsidR="00FB3491" w:rsidRPr="00045D7E">
        <w:rPr>
          <w:rFonts w:ascii="Arial" w:hAnsi="Arial" w:cs="Arial"/>
          <w:b w:val="0"/>
          <w:color w:val="2C5C86"/>
          <w:sz w:val="28"/>
          <w:szCs w:val="28"/>
          <w:lang w:eastAsia="en-AU"/>
        </w:rPr>
        <w:t>.</w:t>
      </w:r>
      <w:r w:rsidR="002D634D" w:rsidRPr="00045D7E">
        <w:rPr>
          <w:rFonts w:ascii="Arial" w:hAnsi="Arial" w:cs="Arial"/>
          <w:b w:val="0"/>
          <w:color w:val="2C5C86"/>
          <w:sz w:val="28"/>
          <w:szCs w:val="28"/>
          <w:lang w:eastAsia="en-AU"/>
        </w:rPr>
        <w:tab/>
        <w:t>Transport and Communication</w:t>
      </w:r>
      <w:bookmarkEnd w:id="6"/>
    </w:p>
    <w:p w:rsidR="002D634D" w:rsidRDefault="002D634D" w:rsidP="00FB3491">
      <w:pPr>
        <w:spacing w:before="120" w:after="120" w:line="240" w:lineRule="auto"/>
        <w:jc w:val="both"/>
      </w:pPr>
      <w:r>
        <w:t>The transport and communication linkages between towns and other areas may be a significant barrier to movement and therefore an appropriate boundary between local governments.</w:t>
      </w:r>
    </w:p>
    <w:p w:rsidR="002D634D" w:rsidRDefault="002D634D" w:rsidP="00FB3491">
      <w:pPr>
        <w:spacing w:before="120" w:after="120" w:line="240" w:lineRule="auto"/>
        <w:jc w:val="both"/>
      </w:pPr>
      <w:r>
        <w:t>Consideration of the following factors is important in any assessment of local government boundaries:</w:t>
      </w:r>
    </w:p>
    <w:p w:rsidR="002D634D" w:rsidRDefault="002D634D" w:rsidP="00FB3491">
      <w:pPr>
        <w:pStyle w:val="ListParagraph"/>
        <w:numPr>
          <w:ilvl w:val="0"/>
          <w:numId w:val="1"/>
        </w:numPr>
        <w:spacing w:before="120" w:after="120" w:line="240" w:lineRule="auto"/>
        <w:ind w:left="851" w:hanging="567"/>
        <w:jc w:val="both"/>
      </w:pPr>
      <w:r>
        <w:t>Port access</w:t>
      </w:r>
    </w:p>
    <w:p w:rsidR="002D634D" w:rsidRDefault="002D634D" w:rsidP="00FB3491">
      <w:pPr>
        <w:pStyle w:val="ListParagraph"/>
        <w:numPr>
          <w:ilvl w:val="0"/>
          <w:numId w:val="1"/>
        </w:numPr>
        <w:spacing w:before="120" w:after="120" w:line="240" w:lineRule="auto"/>
        <w:ind w:left="851" w:hanging="567"/>
        <w:jc w:val="both"/>
      </w:pPr>
      <w:r>
        <w:t>Neighbouring towns</w:t>
      </w:r>
    </w:p>
    <w:p w:rsidR="002D634D" w:rsidRDefault="002D634D" w:rsidP="00FB3491">
      <w:pPr>
        <w:pStyle w:val="ListParagraph"/>
        <w:numPr>
          <w:ilvl w:val="0"/>
          <w:numId w:val="1"/>
        </w:numPr>
        <w:spacing w:before="120" w:after="120" w:line="240" w:lineRule="auto"/>
        <w:ind w:left="851" w:hanging="567"/>
        <w:jc w:val="both"/>
      </w:pPr>
      <w:r>
        <w:t>Railways</w:t>
      </w:r>
    </w:p>
    <w:p w:rsidR="002D634D" w:rsidRDefault="002D634D" w:rsidP="00FB3491">
      <w:pPr>
        <w:pStyle w:val="ListParagraph"/>
        <w:numPr>
          <w:ilvl w:val="0"/>
          <w:numId w:val="1"/>
        </w:numPr>
        <w:spacing w:before="120" w:after="120" w:line="240" w:lineRule="auto"/>
        <w:ind w:left="851" w:hanging="567"/>
        <w:jc w:val="both"/>
      </w:pPr>
      <w:r>
        <w:t>Major roads.</w:t>
      </w:r>
    </w:p>
    <w:p w:rsidR="002D634D" w:rsidRPr="00045D7E" w:rsidRDefault="00FF2C74" w:rsidP="00FB3491">
      <w:pPr>
        <w:pStyle w:val="Heading2"/>
        <w:spacing w:before="360"/>
        <w:rPr>
          <w:rFonts w:ascii="Arial" w:hAnsi="Arial" w:cs="Arial"/>
          <w:b w:val="0"/>
          <w:color w:val="2C5C86"/>
          <w:sz w:val="28"/>
          <w:szCs w:val="28"/>
          <w:lang w:eastAsia="en-AU"/>
        </w:rPr>
      </w:pPr>
      <w:bookmarkStart w:id="7" w:name="_Toc481740673"/>
      <w:r w:rsidRPr="00045D7E">
        <w:rPr>
          <w:rFonts w:ascii="Arial" w:hAnsi="Arial" w:cs="Arial"/>
          <w:b w:val="0"/>
          <w:color w:val="2C5C86"/>
          <w:sz w:val="28"/>
          <w:szCs w:val="28"/>
          <w:lang w:eastAsia="en-AU"/>
        </w:rPr>
        <w:lastRenderedPageBreak/>
        <w:t>7</w:t>
      </w:r>
      <w:r w:rsidR="00FB3491" w:rsidRPr="00045D7E">
        <w:rPr>
          <w:rFonts w:ascii="Arial" w:hAnsi="Arial" w:cs="Arial"/>
          <w:b w:val="0"/>
          <w:color w:val="2C5C86"/>
          <w:sz w:val="28"/>
          <w:szCs w:val="28"/>
          <w:lang w:eastAsia="en-AU"/>
        </w:rPr>
        <w:t>.</w:t>
      </w:r>
      <w:r w:rsidR="002D634D" w:rsidRPr="00045D7E">
        <w:rPr>
          <w:rFonts w:ascii="Arial" w:hAnsi="Arial" w:cs="Arial"/>
          <w:b w:val="0"/>
          <w:color w:val="2C5C86"/>
          <w:sz w:val="28"/>
          <w:szCs w:val="28"/>
          <w:lang w:eastAsia="en-AU"/>
        </w:rPr>
        <w:tab/>
        <w:t>Matters Affecting the Viability of Local Governments</w:t>
      </w:r>
      <w:bookmarkEnd w:id="7"/>
    </w:p>
    <w:p w:rsidR="002D634D" w:rsidRDefault="002D634D" w:rsidP="00FB3491">
      <w:pPr>
        <w:spacing w:before="120" w:after="120" w:line="240" w:lineRule="auto"/>
        <w:jc w:val="both"/>
      </w:pPr>
      <w:r>
        <w:t>Local governments should have a significant resource base:</w:t>
      </w:r>
    </w:p>
    <w:p w:rsidR="002D634D" w:rsidRDefault="002D634D" w:rsidP="00FB3491">
      <w:pPr>
        <w:pStyle w:val="ListParagraph"/>
        <w:numPr>
          <w:ilvl w:val="0"/>
          <w:numId w:val="1"/>
        </w:numPr>
        <w:spacing w:before="120" w:after="120" w:line="240" w:lineRule="auto"/>
        <w:ind w:left="851" w:hanging="567"/>
        <w:jc w:val="both"/>
      </w:pPr>
      <w:r>
        <w:t>To be able to efficiently and effectively exercise its proper functions and delegated powers and operate facilities and services</w:t>
      </w:r>
    </w:p>
    <w:p w:rsidR="002D634D" w:rsidRDefault="002D634D" w:rsidP="00FB3491">
      <w:pPr>
        <w:pStyle w:val="ListParagraph"/>
        <w:numPr>
          <w:ilvl w:val="0"/>
          <w:numId w:val="1"/>
        </w:numPr>
        <w:spacing w:before="120" w:after="120" w:line="240" w:lineRule="auto"/>
        <w:ind w:left="851" w:hanging="567"/>
        <w:jc w:val="both"/>
      </w:pPr>
      <w:r>
        <w:t>To be flexible and responsive in the exercise of its functions and powers and operation of its facilities and services</w:t>
      </w:r>
    </w:p>
    <w:p w:rsidR="002D634D" w:rsidRDefault="002D634D" w:rsidP="00FB3491">
      <w:pPr>
        <w:pStyle w:val="ListParagraph"/>
        <w:numPr>
          <w:ilvl w:val="0"/>
          <w:numId w:val="1"/>
        </w:numPr>
        <w:spacing w:before="120" w:after="120" w:line="240" w:lineRule="auto"/>
        <w:ind w:left="851" w:hanging="567"/>
        <w:jc w:val="both"/>
      </w:pPr>
      <w:r>
        <w:t>To employ appropriate professional expertise and skills</w:t>
      </w:r>
    </w:p>
    <w:p w:rsidR="002D634D" w:rsidRDefault="002D634D" w:rsidP="00FB3491">
      <w:pPr>
        <w:pStyle w:val="ListParagraph"/>
        <w:numPr>
          <w:ilvl w:val="0"/>
          <w:numId w:val="1"/>
        </w:numPr>
        <w:spacing w:before="120" w:after="120" w:line="240" w:lineRule="auto"/>
        <w:ind w:left="851" w:hanging="567"/>
        <w:jc w:val="both"/>
      </w:pPr>
      <w:r>
        <w:t>To be capable of embracing micro-economic reform.</w:t>
      </w:r>
    </w:p>
    <w:p w:rsidR="002D634D" w:rsidRDefault="002D634D" w:rsidP="00FB3491">
      <w:pPr>
        <w:spacing w:before="120" w:after="120" w:line="240" w:lineRule="auto"/>
        <w:jc w:val="both"/>
      </w:pPr>
      <w:r>
        <w:t>Each local government should have a diverse and sufficient rate base to ensure that general purpose grants do not represent the major revenue source.</w:t>
      </w:r>
    </w:p>
    <w:p w:rsidR="002D634D" w:rsidRPr="00045D7E" w:rsidRDefault="00FF2C74" w:rsidP="00FB3491">
      <w:pPr>
        <w:pStyle w:val="Heading2"/>
        <w:spacing w:before="360"/>
        <w:rPr>
          <w:rFonts w:ascii="Arial" w:hAnsi="Arial" w:cs="Arial"/>
          <w:b w:val="0"/>
          <w:color w:val="2C5C86"/>
          <w:sz w:val="28"/>
          <w:szCs w:val="28"/>
          <w:lang w:eastAsia="en-AU"/>
        </w:rPr>
      </w:pPr>
      <w:bookmarkStart w:id="8" w:name="_Toc481740674"/>
      <w:r w:rsidRPr="00045D7E">
        <w:rPr>
          <w:rFonts w:ascii="Arial" w:hAnsi="Arial" w:cs="Arial"/>
          <w:b w:val="0"/>
          <w:color w:val="2C5C86"/>
          <w:sz w:val="28"/>
          <w:szCs w:val="28"/>
          <w:lang w:eastAsia="en-AU"/>
        </w:rPr>
        <w:t>8</w:t>
      </w:r>
      <w:r w:rsidR="00FB3491" w:rsidRPr="00045D7E">
        <w:rPr>
          <w:rFonts w:ascii="Arial" w:hAnsi="Arial" w:cs="Arial"/>
          <w:b w:val="0"/>
          <w:color w:val="2C5C86"/>
          <w:sz w:val="28"/>
          <w:szCs w:val="28"/>
          <w:lang w:eastAsia="en-AU"/>
        </w:rPr>
        <w:t>.</w:t>
      </w:r>
      <w:r w:rsidR="002D634D" w:rsidRPr="00045D7E">
        <w:rPr>
          <w:rFonts w:ascii="Arial" w:hAnsi="Arial" w:cs="Arial"/>
          <w:b w:val="0"/>
          <w:color w:val="2C5C86"/>
          <w:sz w:val="28"/>
          <w:szCs w:val="28"/>
          <w:lang w:eastAsia="en-AU"/>
        </w:rPr>
        <w:tab/>
        <w:t>The Effective Delivery of Local Government Services</w:t>
      </w:r>
      <w:bookmarkEnd w:id="8"/>
    </w:p>
    <w:p w:rsidR="002D634D" w:rsidRDefault="002D634D" w:rsidP="00FB3491">
      <w:pPr>
        <w:spacing w:before="120" w:after="120" w:line="240" w:lineRule="auto"/>
        <w:jc w:val="both"/>
      </w:pPr>
      <w:r>
        <w:t>A broad range of factors can be relevant to the effective delivery of local government services and these are often directly relevant to those that also affect the viability of local governments. They include:</w:t>
      </w:r>
    </w:p>
    <w:p w:rsidR="002D634D" w:rsidRDefault="002D634D" w:rsidP="00FB3491">
      <w:pPr>
        <w:pStyle w:val="ListParagraph"/>
        <w:numPr>
          <w:ilvl w:val="0"/>
          <w:numId w:val="1"/>
        </w:numPr>
        <w:spacing w:before="120" w:after="120" w:line="240" w:lineRule="auto"/>
        <w:ind w:left="851" w:hanging="567"/>
        <w:jc w:val="both"/>
      </w:pPr>
      <w:r>
        <w:t>The size and geographical spread of the population</w:t>
      </w:r>
    </w:p>
    <w:p w:rsidR="002D634D" w:rsidRDefault="002D634D" w:rsidP="00FB3491">
      <w:pPr>
        <w:pStyle w:val="ListParagraph"/>
        <w:numPr>
          <w:ilvl w:val="0"/>
          <w:numId w:val="1"/>
        </w:numPr>
        <w:spacing w:before="120" w:after="120" w:line="240" w:lineRule="auto"/>
        <w:ind w:left="851" w:hanging="567"/>
        <w:jc w:val="both"/>
      </w:pPr>
      <w:r>
        <w:t>Management effectiveness and efficiency</w:t>
      </w:r>
    </w:p>
    <w:p w:rsidR="002D634D" w:rsidRDefault="002D634D" w:rsidP="00FB3491">
      <w:pPr>
        <w:pStyle w:val="ListParagraph"/>
        <w:numPr>
          <w:ilvl w:val="0"/>
          <w:numId w:val="1"/>
        </w:numPr>
        <w:spacing w:before="120" w:after="120" w:line="240" w:lineRule="auto"/>
        <w:ind w:left="851" w:hanging="567"/>
        <w:jc w:val="both"/>
      </w:pPr>
      <w:r>
        <w:t>The availability of staff expertise</w:t>
      </w:r>
    </w:p>
    <w:p w:rsidR="002D634D" w:rsidRDefault="002D634D" w:rsidP="00FB3491">
      <w:pPr>
        <w:pStyle w:val="ListParagraph"/>
        <w:numPr>
          <w:ilvl w:val="0"/>
          <w:numId w:val="1"/>
        </w:numPr>
        <w:spacing w:before="120" w:after="120" w:line="240" w:lineRule="auto"/>
        <w:ind w:left="851" w:hanging="567"/>
        <w:jc w:val="both"/>
      </w:pPr>
      <w:r>
        <w:t>Appropriate infrastructure and equipment</w:t>
      </w:r>
    </w:p>
    <w:p w:rsidR="002D634D" w:rsidRDefault="002D634D" w:rsidP="00FB3491">
      <w:pPr>
        <w:pStyle w:val="ListParagraph"/>
        <w:numPr>
          <w:ilvl w:val="0"/>
          <w:numId w:val="1"/>
        </w:numPr>
        <w:spacing w:before="120" w:after="120" w:line="240" w:lineRule="auto"/>
        <w:ind w:left="851" w:hanging="567"/>
        <w:jc w:val="both"/>
      </w:pPr>
      <w:r>
        <w:t>Customer satisfaction and feedback.</w:t>
      </w:r>
    </w:p>
    <w:p w:rsidR="007F5A4A" w:rsidRDefault="007F5A4A" w:rsidP="00FF186A">
      <w:pPr>
        <w:spacing w:line="240" w:lineRule="auto"/>
      </w:pPr>
    </w:p>
    <w:sectPr w:rsidR="007F5A4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C87" w:rsidRDefault="00A67C87" w:rsidP="002D634D">
      <w:pPr>
        <w:spacing w:after="0" w:line="240" w:lineRule="auto"/>
      </w:pPr>
      <w:r>
        <w:separator/>
      </w:r>
    </w:p>
  </w:endnote>
  <w:endnote w:type="continuationSeparator" w:id="0">
    <w:p w:rsidR="00A67C87" w:rsidRDefault="00A67C87" w:rsidP="002D6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4AD" w:rsidRPr="005F34AD" w:rsidRDefault="005F34AD">
    <w:pPr>
      <w:pStyle w:val="Footer"/>
      <w:jc w:val="right"/>
      <w:rPr>
        <w:sz w:val="20"/>
        <w:szCs w:val="20"/>
      </w:rPr>
    </w:pPr>
    <w:r w:rsidRPr="005F34AD">
      <w:rPr>
        <w:sz w:val="20"/>
        <w:szCs w:val="20"/>
      </w:rPr>
      <w:t xml:space="preserve"> E1717654</w:t>
    </w:r>
    <w:r w:rsidRPr="005F34AD">
      <w:rPr>
        <w:sz w:val="20"/>
        <w:szCs w:val="20"/>
      </w:rPr>
      <w:tab/>
    </w:r>
    <w:r w:rsidRPr="005F34AD">
      <w:rPr>
        <w:sz w:val="20"/>
        <w:szCs w:val="20"/>
      </w:rPr>
      <w:tab/>
    </w:r>
    <w:sdt>
      <w:sdtPr>
        <w:rPr>
          <w:sz w:val="20"/>
          <w:szCs w:val="20"/>
        </w:rPr>
        <w:id w:val="-41994100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Pr="005F34AD">
              <w:rPr>
                <w:sz w:val="20"/>
                <w:szCs w:val="20"/>
              </w:rPr>
              <w:t xml:space="preserve">Page </w:t>
            </w:r>
            <w:r w:rsidRPr="005F34AD">
              <w:rPr>
                <w:bCs/>
                <w:sz w:val="20"/>
                <w:szCs w:val="20"/>
              </w:rPr>
              <w:fldChar w:fldCharType="begin"/>
            </w:r>
            <w:r w:rsidRPr="005F34AD">
              <w:rPr>
                <w:bCs/>
                <w:sz w:val="20"/>
                <w:szCs w:val="20"/>
              </w:rPr>
              <w:instrText xml:space="preserve"> PAGE </w:instrText>
            </w:r>
            <w:r w:rsidRPr="005F34AD">
              <w:rPr>
                <w:bCs/>
                <w:sz w:val="20"/>
                <w:szCs w:val="20"/>
              </w:rPr>
              <w:fldChar w:fldCharType="separate"/>
            </w:r>
            <w:r w:rsidR="008F50AC">
              <w:rPr>
                <w:bCs/>
                <w:noProof/>
                <w:sz w:val="20"/>
                <w:szCs w:val="20"/>
              </w:rPr>
              <w:t>1</w:t>
            </w:r>
            <w:r w:rsidRPr="005F34AD">
              <w:rPr>
                <w:bCs/>
                <w:sz w:val="20"/>
                <w:szCs w:val="20"/>
              </w:rPr>
              <w:fldChar w:fldCharType="end"/>
            </w:r>
            <w:r w:rsidRPr="005F34AD">
              <w:rPr>
                <w:sz w:val="20"/>
                <w:szCs w:val="20"/>
              </w:rPr>
              <w:t xml:space="preserve"> of </w:t>
            </w:r>
            <w:r w:rsidRPr="005F34AD">
              <w:rPr>
                <w:bCs/>
                <w:sz w:val="20"/>
                <w:szCs w:val="20"/>
              </w:rPr>
              <w:fldChar w:fldCharType="begin"/>
            </w:r>
            <w:r w:rsidRPr="005F34AD">
              <w:rPr>
                <w:bCs/>
                <w:sz w:val="20"/>
                <w:szCs w:val="20"/>
              </w:rPr>
              <w:instrText xml:space="preserve"> NUMPAGES  </w:instrText>
            </w:r>
            <w:r w:rsidRPr="005F34AD">
              <w:rPr>
                <w:bCs/>
                <w:sz w:val="20"/>
                <w:szCs w:val="20"/>
              </w:rPr>
              <w:fldChar w:fldCharType="separate"/>
            </w:r>
            <w:r w:rsidR="008F50AC">
              <w:rPr>
                <w:bCs/>
                <w:noProof/>
                <w:sz w:val="20"/>
                <w:szCs w:val="20"/>
              </w:rPr>
              <w:t>3</w:t>
            </w:r>
            <w:r w:rsidRPr="005F34AD">
              <w:rPr>
                <w:bCs/>
                <w:sz w:val="20"/>
                <w:szCs w:val="20"/>
              </w:rPr>
              <w:fldChar w:fldCharType="end"/>
            </w:r>
          </w:sdtContent>
        </w:sdt>
      </w:sdtContent>
    </w:sdt>
  </w:p>
  <w:p w:rsidR="002D634D" w:rsidRDefault="002D63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C87" w:rsidRDefault="00A67C87" w:rsidP="002D634D">
      <w:pPr>
        <w:spacing w:after="0" w:line="240" w:lineRule="auto"/>
      </w:pPr>
      <w:r>
        <w:separator/>
      </w:r>
    </w:p>
  </w:footnote>
  <w:footnote w:type="continuationSeparator" w:id="0">
    <w:p w:rsidR="00A67C87" w:rsidRDefault="00A67C87" w:rsidP="002D6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B41F35"/>
    <w:multiLevelType w:val="hybridMultilevel"/>
    <w:tmpl w:val="BB6EF72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34D"/>
    <w:rsid w:val="00045D7E"/>
    <w:rsid w:val="000B133D"/>
    <w:rsid w:val="0020438A"/>
    <w:rsid w:val="00212C0F"/>
    <w:rsid w:val="002D634D"/>
    <w:rsid w:val="003F0C5C"/>
    <w:rsid w:val="00467624"/>
    <w:rsid w:val="005F34AD"/>
    <w:rsid w:val="005F59BE"/>
    <w:rsid w:val="006943D2"/>
    <w:rsid w:val="0077539C"/>
    <w:rsid w:val="007C4FA6"/>
    <w:rsid w:val="007F5A4A"/>
    <w:rsid w:val="008F50AC"/>
    <w:rsid w:val="00A546D2"/>
    <w:rsid w:val="00A67C87"/>
    <w:rsid w:val="00AB01DF"/>
    <w:rsid w:val="00FB3491"/>
    <w:rsid w:val="00FD2C2A"/>
    <w:rsid w:val="00FF186A"/>
    <w:rsid w:val="00FF2C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011F8-0B28-4A2A-B49B-766EA55A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34D"/>
    <w:pPr>
      <w:spacing w:after="200" w:line="276" w:lineRule="auto"/>
    </w:pPr>
    <w:rPr>
      <w:rFonts w:ascii="Arial" w:hAnsi="Arial"/>
      <w:color w:val="3C3C3C"/>
      <w:sz w:val="24"/>
    </w:rPr>
  </w:style>
  <w:style w:type="paragraph" w:styleId="Heading1">
    <w:name w:val="heading 1"/>
    <w:basedOn w:val="Normal"/>
    <w:next w:val="Normal"/>
    <w:link w:val="Heading1Char"/>
    <w:uiPriority w:val="9"/>
    <w:qFormat/>
    <w:rsid w:val="002D63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634D"/>
    <w:pPr>
      <w:keepNext/>
      <w:keepLines/>
      <w:spacing w:before="640"/>
      <w:outlineLvl w:val="1"/>
    </w:pPr>
    <w:rPr>
      <w:rFonts w:ascii="Trebuchet MS" w:eastAsiaTheme="majorEastAsia" w:hAnsi="Trebuchet MS" w:cstheme="majorBidi"/>
      <w:b/>
      <w:bCs/>
      <w:color w:val="007DBA"/>
      <w:sz w:val="32"/>
      <w:szCs w:val="26"/>
    </w:rPr>
  </w:style>
  <w:style w:type="paragraph" w:styleId="Heading3">
    <w:name w:val="heading 3"/>
    <w:basedOn w:val="Normal"/>
    <w:next w:val="Normal"/>
    <w:link w:val="Heading3Char"/>
    <w:uiPriority w:val="9"/>
    <w:unhideWhenUsed/>
    <w:qFormat/>
    <w:rsid w:val="00212C0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634D"/>
    <w:rPr>
      <w:rFonts w:ascii="Trebuchet MS" w:eastAsiaTheme="majorEastAsia" w:hAnsi="Trebuchet MS" w:cstheme="majorBidi"/>
      <w:b/>
      <w:bCs/>
      <w:color w:val="007DBA"/>
      <w:sz w:val="32"/>
      <w:szCs w:val="26"/>
    </w:rPr>
  </w:style>
  <w:style w:type="paragraph" w:styleId="ListParagraph">
    <w:name w:val="List Paragraph"/>
    <w:basedOn w:val="Normal"/>
    <w:uiPriority w:val="34"/>
    <w:qFormat/>
    <w:rsid w:val="002D634D"/>
    <w:pPr>
      <w:ind w:left="720"/>
      <w:contextualSpacing/>
    </w:pPr>
  </w:style>
  <w:style w:type="character" w:styleId="BookTitle">
    <w:name w:val="Book Title"/>
    <w:basedOn w:val="DefaultParagraphFont"/>
    <w:uiPriority w:val="33"/>
    <w:qFormat/>
    <w:rsid w:val="002D634D"/>
    <w:rPr>
      <w:b/>
      <w:bCs/>
      <w:i/>
      <w:iCs/>
      <w:spacing w:val="5"/>
    </w:rPr>
  </w:style>
  <w:style w:type="character" w:styleId="Strong">
    <w:name w:val="Strong"/>
    <w:basedOn w:val="DefaultParagraphFont"/>
    <w:uiPriority w:val="22"/>
    <w:qFormat/>
    <w:rsid w:val="002D634D"/>
    <w:rPr>
      <w:b/>
      <w:bCs/>
    </w:rPr>
  </w:style>
  <w:style w:type="paragraph" w:styleId="Title">
    <w:name w:val="Title"/>
    <w:basedOn w:val="Normal"/>
    <w:next w:val="Normal"/>
    <w:link w:val="TitleChar"/>
    <w:uiPriority w:val="10"/>
    <w:qFormat/>
    <w:rsid w:val="002D634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D634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D634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D6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34D"/>
    <w:rPr>
      <w:rFonts w:ascii="Arial" w:hAnsi="Arial"/>
      <w:color w:val="3C3C3C"/>
      <w:sz w:val="24"/>
    </w:rPr>
  </w:style>
  <w:style w:type="paragraph" w:styleId="Footer">
    <w:name w:val="footer"/>
    <w:basedOn w:val="Normal"/>
    <w:link w:val="FooterChar"/>
    <w:uiPriority w:val="99"/>
    <w:unhideWhenUsed/>
    <w:rsid w:val="002D6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34D"/>
    <w:rPr>
      <w:rFonts w:ascii="Arial" w:hAnsi="Arial"/>
      <w:color w:val="3C3C3C"/>
      <w:sz w:val="24"/>
    </w:rPr>
  </w:style>
  <w:style w:type="character" w:customStyle="1" w:styleId="Heading3Char">
    <w:name w:val="Heading 3 Char"/>
    <w:basedOn w:val="DefaultParagraphFont"/>
    <w:link w:val="Heading3"/>
    <w:uiPriority w:val="9"/>
    <w:rsid w:val="00212C0F"/>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FF1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86A"/>
    <w:rPr>
      <w:rFonts w:ascii="Segoe UI" w:hAnsi="Segoe UI" w:cs="Segoe UI"/>
      <w:color w:val="3C3C3C"/>
      <w:sz w:val="18"/>
      <w:szCs w:val="18"/>
    </w:rPr>
  </w:style>
  <w:style w:type="paragraph" w:customStyle="1" w:styleId="Heading1-Formblue">
    <w:name w:val="Heading 1 - Form blue"/>
    <w:basedOn w:val="Heading1"/>
    <w:qFormat/>
    <w:rsid w:val="00FB3491"/>
    <w:pPr>
      <w:pBdr>
        <w:bottom w:val="single" w:sz="4" w:space="1" w:color="007DBA"/>
      </w:pBdr>
      <w:spacing w:before="480" w:after="240" w:line="264" w:lineRule="auto"/>
    </w:pPr>
    <w:rPr>
      <w:rFonts w:ascii="Arial" w:hAnsi="Arial" w:cs="Arial"/>
      <w:color w:val="2C5C86"/>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1511900982A249A70FE8B187BDD1DD" ma:contentTypeVersion="9" ma:contentTypeDescription="Create a new document." ma:contentTypeScope="" ma:versionID="7c8c45d3cebce19ce82865d9207dd6a7">
  <xsd:schema xmlns:xsd="http://www.w3.org/2001/XMLSchema" xmlns:xs="http://www.w3.org/2001/XMLSchema" xmlns:p="http://schemas.microsoft.com/office/2006/metadata/properties" xmlns:ns2="65828862-ae87-457f-b884-efeaea2d65b5" xmlns:ns3="bc072e10-870d-460a-9f37-b3eac4f10863" targetNamespace="http://schemas.microsoft.com/office/2006/metadata/properties" ma:root="true" ma:fieldsID="9a55826df581af488df08a8fcde6fef0" ns2:_="" ns3:_="">
    <xsd:import namespace="65828862-ae87-457f-b884-efeaea2d65b5"/>
    <xsd:import namespace="bc072e10-870d-460a-9f37-b3eac4f108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28862-ae87-457f-b884-efeaea2d65b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72e10-870d-460a-9f37-b3eac4f1086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55EE31-2603-40D6-9252-F962018C7D75}"/>
</file>

<file path=customXml/itemProps2.xml><?xml version="1.0" encoding="utf-8"?>
<ds:datastoreItem xmlns:ds="http://schemas.openxmlformats.org/officeDocument/2006/customXml" ds:itemID="{09E16128-920E-4057-85BB-B885C33AA579}"/>
</file>

<file path=customXml/itemProps3.xml><?xml version="1.0" encoding="utf-8"?>
<ds:datastoreItem xmlns:ds="http://schemas.openxmlformats.org/officeDocument/2006/customXml" ds:itemID="{76BC74E0-14E7-4903-8297-33B415D4CB37}"/>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 LGAB Guiding Principles</dc:title>
  <dc:subject/>
  <dc:creator>Renata Mlinar</dc:creator>
  <cp:keywords/>
  <dc:description/>
  <cp:lastModifiedBy>Julie Craig</cp:lastModifiedBy>
  <cp:revision>2</cp:revision>
  <cp:lastPrinted>2017-05-09T01:50:00Z</cp:lastPrinted>
  <dcterms:created xsi:type="dcterms:W3CDTF">2018-04-11T04:14:00Z</dcterms:created>
  <dcterms:modified xsi:type="dcterms:W3CDTF">2018-04-11T04:14:00Z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0x010100B91511900982A249A70FE8B187BDD1DD</vt:lpwstr>
  </property>
</Properties>
</file>