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94AFC" w14:textId="2B24D7DE" w:rsidR="00146739" w:rsidRPr="00EA7EAC" w:rsidRDefault="00C91009" w:rsidP="0014448C">
      <w:pPr>
        <w:pStyle w:val="Title"/>
        <w:tabs>
          <w:tab w:val="left" w:pos="5955"/>
        </w:tabs>
      </w:pPr>
      <w:r>
        <w:t xml:space="preserve">COPP </w:t>
      </w:r>
      <w:r w:rsidR="00B53815">
        <w:t>6.</w:t>
      </w:r>
      <w:r w:rsidR="00555C0A">
        <w:t>8</w:t>
      </w:r>
      <w:r w:rsidR="006F323C">
        <w:t xml:space="preserve"> Population Counts</w:t>
      </w:r>
    </w:p>
    <w:p w14:paraId="05BE8157" w14:textId="585F75F1" w:rsidR="000D69A3" w:rsidRPr="00EA7EAC" w:rsidRDefault="00E42695" w:rsidP="00EA7EAC">
      <w:pPr>
        <w:pStyle w:val="Subtitle"/>
      </w:pPr>
      <w:r>
        <w:t xml:space="preserve">Youth </w:t>
      </w:r>
      <w:r w:rsidR="007C7440">
        <w:t>Detention Centre</w:t>
      </w:r>
    </w:p>
    <w:tbl>
      <w:tblPr>
        <w:tblpPr w:leftFromText="180" w:rightFromText="180" w:vertAnchor="page" w:horzAnchor="margin" w:tblpY="5461"/>
        <w:tblW w:w="0" w:type="auto"/>
        <w:tblBorders>
          <w:top w:val="single" w:sz="12" w:space="0" w:color="565A5C"/>
          <w:left w:val="single" w:sz="12" w:space="0" w:color="565A5C"/>
          <w:bottom w:val="single" w:sz="12" w:space="0" w:color="565A5C"/>
          <w:right w:val="single" w:sz="12" w:space="0" w:color="565A5C"/>
          <w:insideH w:val="single" w:sz="12" w:space="0" w:color="565A5C"/>
        </w:tblBorders>
        <w:tblCellMar>
          <w:top w:w="57" w:type="dxa"/>
          <w:bottom w:w="57" w:type="dxa"/>
        </w:tblCellMar>
        <w:tblLook w:val="04A0" w:firstRow="1" w:lastRow="0" w:firstColumn="1" w:lastColumn="0" w:noHBand="0" w:noVBand="1"/>
      </w:tblPr>
      <w:tblGrid>
        <w:gridCol w:w="9010"/>
      </w:tblGrid>
      <w:tr w:rsidR="0053444E" w14:paraId="00A18E9C" w14:textId="77777777" w:rsidTr="009769BA">
        <w:trPr>
          <w:trHeight w:val="4465"/>
        </w:trPr>
        <w:tc>
          <w:tcPr>
            <w:tcW w:w="9010" w:type="dxa"/>
            <w:tcBorders>
              <w:top w:val="single" w:sz="6" w:space="0" w:color="565A5C"/>
              <w:left w:val="single" w:sz="6" w:space="0" w:color="565A5C"/>
              <w:right w:val="single" w:sz="6" w:space="0" w:color="565A5C"/>
            </w:tcBorders>
            <w:shd w:val="clear" w:color="auto" w:fill="FCFCFA"/>
          </w:tcPr>
          <w:p w14:paraId="4275CCEA" w14:textId="77777777" w:rsidR="0053444E" w:rsidRPr="00365E34" w:rsidRDefault="0053444E" w:rsidP="0053444E">
            <w:pPr>
              <w:pStyle w:val="Heading"/>
            </w:pPr>
            <w:r>
              <w:t>Principles</w:t>
            </w:r>
          </w:p>
          <w:p w14:paraId="3C43074C" w14:textId="77777777" w:rsidR="0053444E" w:rsidRDefault="0053444E" w:rsidP="0053444E">
            <w:bookmarkStart w:id="0" w:name="_Toc2082062"/>
            <w:bookmarkStart w:id="1" w:name="_Toc2082168"/>
            <w:r w:rsidRPr="00B1621E">
              <w:t xml:space="preserve">In context of </w:t>
            </w:r>
            <w:r>
              <w:t>t</w:t>
            </w:r>
            <w:r w:rsidRPr="00B1621E">
              <w:t xml:space="preserve">he </w:t>
            </w:r>
            <w:bookmarkEnd w:id="0"/>
            <w:bookmarkEnd w:id="1"/>
          </w:p>
          <w:p w14:paraId="727BC3BA" w14:textId="77777777" w:rsidR="0053444E" w:rsidRPr="00F50993" w:rsidRDefault="0053444E" w:rsidP="00F50993"/>
          <w:p w14:paraId="11109D9A" w14:textId="2B3CD787" w:rsidR="0053444E" w:rsidRDefault="00000000" w:rsidP="0053444E">
            <w:pPr>
              <w:rPr>
                <w:u w:val="single"/>
              </w:rPr>
            </w:pPr>
            <w:hyperlink r:id="rId12" w:history="1">
              <w:r w:rsidR="0053444E" w:rsidRPr="00E2529A">
                <w:rPr>
                  <w:rStyle w:val="Hyperlink"/>
                  <w:iCs/>
                </w:rPr>
                <w:t>Australasian Youth Justice Administrators Standards, 2009</w:t>
              </w:r>
            </w:hyperlink>
            <w:r w:rsidR="0053444E" w:rsidRPr="00567DC7">
              <w:rPr>
                <w:u w:val="single"/>
              </w:rPr>
              <w:t>:</w:t>
            </w:r>
          </w:p>
          <w:p w14:paraId="457AC721" w14:textId="77777777" w:rsidR="0053444E" w:rsidRDefault="0053444E" w:rsidP="0053444E"/>
          <w:p w14:paraId="123620F2" w14:textId="77777777" w:rsidR="0053444E" w:rsidRDefault="0053444E" w:rsidP="0053444E">
            <w:pPr>
              <w:rPr>
                <w:lang w:val="en-US"/>
              </w:rPr>
            </w:pPr>
            <w:r w:rsidRPr="00567DC7">
              <w:rPr>
                <w:lang w:val="en-US"/>
              </w:rPr>
              <w:t>Custodial environments are safe and secure.</w:t>
            </w:r>
          </w:p>
          <w:p w14:paraId="419AA33B" w14:textId="77777777" w:rsidR="0053444E" w:rsidRDefault="0053444E" w:rsidP="0053444E">
            <w:pPr>
              <w:rPr>
                <w:lang w:val="en-US"/>
              </w:rPr>
            </w:pPr>
          </w:p>
          <w:p w14:paraId="6474D491" w14:textId="77777777" w:rsidR="0053444E" w:rsidRDefault="0053444E" w:rsidP="0053444E">
            <w:pPr>
              <w:rPr>
                <w:lang w:val="en-US"/>
              </w:rPr>
            </w:pPr>
            <w:r>
              <w:rPr>
                <w:lang w:val="en-US"/>
              </w:rPr>
              <w:t>Continuity of service is provided.</w:t>
            </w:r>
          </w:p>
          <w:p w14:paraId="710B991D" w14:textId="77777777" w:rsidR="0053444E" w:rsidRDefault="0053444E" w:rsidP="0053444E"/>
          <w:p w14:paraId="64FDD097" w14:textId="2C2E0258" w:rsidR="0053444E" w:rsidRPr="009769BA" w:rsidRDefault="00000000" w:rsidP="009769BA">
            <w:hyperlink r:id="rId13" w:history="1">
              <w:r w:rsidR="0053444E" w:rsidRPr="00E2529A">
                <w:rPr>
                  <w:rStyle w:val="Hyperlink"/>
                </w:rPr>
                <w:t>Australian Human Rights Commission National Principles for Child Safe Organisations, 2018:</w:t>
              </w:r>
            </w:hyperlink>
            <w:r w:rsidR="0053444E" w:rsidRPr="009769BA">
              <w:t xml:space="preserve"> </w:t>
            </w:r>
          </w:p>
          <w:p w14:paraId="78380FC9" w14:textId="77777777" w:rsidR="0053444E" w:rsidRDefault="0053444E" w:rsidP="009769BA"/>
          <w:p w14:paraId="593C7D58" w14:textId="0C27E56D" w:rsidR="0053444E" w:rsidRPr="00126611" w:rsidRDefault="0053444E" w:rsidP="009769BA">
            <w:r w:rsidRPr="00D23B39">
              <w:t>Risk management strategies focus on preventing, identifying and mitigating risks to children and young people.</w:t>
            </w:r>
          </w:p>
        </w:tc>
      </w:tr>
    </w:tbl>
    <w:p w14:paraId="4E9894E5" w14:textId="77777777" w:rsidR="00803710" w:rsidRPr="009769BA" w:rsidRDefault="00803710" w:rsidP="009769BA"/>
    <w:p w14:paraId="4E950356" w14:textId="77777777" w:rsidR="00803710" w:rsidRDefault="00803710" w:rsidP="00803710">
      <w:pPr>
        <w:sectPr w:rsidR="00803710" w:rsidSect="008D51C1">
          <w:headerReference w:type="default" r:id="rId14"/>
          <w:headerReference w:type="first" r:id="rId15"/>
          <w:pgSz w:w="11900" w:h="16840"/>
          <w:pgMar w:top="-2410" w:right="1418" w:bottom="1440" w:left="1304" w:header="567" w:footer="706" w:gutter="0"/>
          <w:cols w:space="708"/>
          <w:titlePg/>
          <w:docGrid w:linePitch="360"/>
        </w:sectPr>
      </w:pPr>
    </w:p>
    <w:p w14:paraId="45ADD488" w14:textId="77777777" w:rsidR="00FA1D8B" w:rsidRPr="00AF7DDC" w:rsidRDefault="00FA1D8B" w:rsidP="00AF7DDC">
      <w:pPr>
        <w:pStyle w:val="Heading"/>
      </w:pPr>
      <w:r w:rsidRPr="00AF7DDC">
        <w:lastRenderedPageBreak/>
        <w:t>Contents</w:t>
      </w:r>
    </w:p>
    <w:p w14:paraId="5FE823DB" w14:textId="50A96B4E" w:rsidR="008270E3" w:rsidRDefault="003F2F1D">
      <w:pPr>
        <w:pStyle w:val="TOC1"/>
        <w:tabs>
          <w:tab w:val="left" w:pos="480"/>
          <w:tab w:val="right" w:leader="dot" w:pos="9168"/>
        </w:tabs>
        <w:rPr>
          <w:rFonts w:asciiTheme="minorHAnsi" w:eastAsiaTheme="minorEastAsia" w:hAnsiTheme="minorHAnsi" w:cstheme="minorBidi"/>
          <w:noProof/>
          <w:sz w:val="22"/>
          <w:szCs w:val="22"/>
          <w:lang w:eastAsia="en-AU"/>
        </w:rPr>
      </w:pPr>
      <w:r>
        <w:fldChar w:fldCharType="begin"/>
      </w:r>
      <w:r>
        <w:instrText xml:space="preserve"> TOC \o "1-2" \h \z \u </w:instrText>
      </w:r>
      <w:r>
        <w:fldChar w:fldCharType="separate"/>
      </w:r>
      <w:hyperlink w:anchor="_Toc153193753" w:history="1">
        <w:r w:rsidR="008270E3" w:rsidRPr="00B74328">
          <w:rPr>
            <w:rStyle w:val="Hyperlink"/>
            <w:noProof/>
          </w:rPr>
          <w:t>1</w:t>
        </w:r>
        <w:r w:rsidR="008270E3">
          <w:rPr>
            <w:rFonts w:asciiTheme="minorHAnsi" w:eastAsiaTheme="minorEastAsia" w:hAnsiTheme="minorHAnsi" w:cstheme="minorBidi"/>
            <w:noProof/>
            <w:sz w:val="22"/>
            <w:szCs w:val="22"/>
            <w:lang w:eastAsia="en-AU"/>
          </w:rPr>
          <w:tab/>
        </w:r>
        <w:r w:rsidR="008270E3" w:rsidRPr="00B74328">
          <w:rPr>
            <w:rStyle w:val="Hyperlink"/>
            <w:noProof/>
          </w:rPr>
          <w:t>Scope</w:t>
        </w:r>
        <w:r w:rsidR="008270E3">
          <w:rPr>
            <w:noProof/>
            <w:webHidden/>
          </w:rPr>
          <w:tab/>
        </w:r>
        <w:r w:rsidR="008270E3">
          <w:rPr>
            <w:noProof/>
            <w:webHidden/>
          </w:rPr>
          <w:fldChar w:fldCharType="begin"/>
        </w:r>
        <w:r w:rsidR="008270E3">
          <w:rPr>
            <w:noProof/>
            <w:webHidden/>
          </w:rPr>
          <w:instrText xml:space="preserve"> PAGEREF _Toc153193753 \h </w:instrText>
        </w:r>
        <w:r w:rsidR="008270E3">
          <w:rPr>
            <w:noProof/>
            <w:webHidden/>
          </w:rPr>
        </w:r>
        <w:r w:rsidR="008270E3">
          <w:rPr>
            <w:noProof/>
            <w:webHidden/>
          </w:rPr>
          <w:fldChar w:fldCharType="separate"/>
        </w:r>
        <w:r w:rsidR="008270E3">
          <w:rPr>
            <w:noProof/>
            <w:webHidden/>
          </w:rPr>
          <w:t>3</w:t>
        </w:r>
        <w:r w:rsidR="008270E3">
          <w:rPr>
            <w:noProof/>
            <w:webHidden/>
          </w:rPr>
          <w:fldChar w:fldCharType="end"/>
        </w:r>
      </w:hyperlink>
    </w:p>
    <w:p w14:paraId="67B47AF9" w14:textId="11E12264" w:rsidR="008270E3" w:rsidRDefault="00000000">
      <w:pPr>
        <w:pStyle w:val="TOC1"/>
        <w:tabs>
          <w:tab w:val="left" w:pos="480"/>
          <w:tab w:val="right" w:leader="dot" w:pos="9168"/>
        </w:tabs>
        <w:rPr>
          <w:rFonts w:asciiTheme="minorHAnsi" w:eastAsiaTheme="minorEastAsia" w:hAnsiTheme="minorHAnsi" w:cstheme="minorBidi"/>
          <w:noProof/>
          <w:sz w:val="22"/>
          <w:szCs w:val="22"/>
          <w:lang w:eastAsia="en-AU"/>
        </w:rPr>
      </w:pPr>
      <w:hyperlink w:anchor="_Toc153193754" w:history="1">
        <w:r w:rsidR="008270E3" w:rsidRPr="00B74328">
          <w:rPr>
            <w:rStyle w:val="Hyperlink"/>
            <w:noProof/>
          </w:rPr>
          <w:t>2</w:t>
        </w:r>
        <w:r w:rsidR="008270E3">
          <w:rPr>
            <w:rFonts w:asciiTheme="minorHAnsi" w:eastAsiaTheme="minorEastAsia" w:hAnsiTheme="minorHAnsi" w:cstheme="minorBidi"/>
            <w:noProof/>
            <w:sz w:val="22"/>
            <w:szCs w:val="22"/>
            <w:lang w:eastAsia="en-AU"/>
          </w:rPr>
          <w:tab/>
        </w:r>
        <w:r w:rsidR="008270E3" w:rsidRPr="00B74328">
          <w:rPr>
            <w:rStyle w:val="Hyperlink"/>
            <w:noProof/>
          </w:rPr>
          <w:t>Policy</w:t>
        </w:r>
        <w:r w:rsidR="008270E3">
          <w:rPr>
            <w:noProof/>
            <w:webHidden/>
          </w:rPr>
          <w:tab/>
        </w:r>
        <w:r w:rsidR="008270E3">
          <w:rPr>
            <w:noProof/>
            <w:webHidden/>
          </w:rPr>
          <w:fldChar w:fldCharType="begin"/>
        </w:r>
        <w:r w:rsidR="008270E3">
          <w:rPr>
            <w:noProof/>
            <w:webHidden/>
          </w:rPr>
          <w:instrText xml:space="preserve"> PAGEREF _Toc153193754 \h </w:instrText>
        </w:r>
        <w:r w:rsidR="008270E3">
          <w:rPr>
            <w:noProof/>
            <w:webHidden/>
          </w:rPr>
        </w:r>
        <w:r w:rsidR="008270E3">
          <w:rPr>
            <w:noProof/>
            <w:webHidden/>
          </w:rPr>
          <w:fldChar w:fldCharType="separate"/>
        </w:r>
        <w:r w:rsidR="008270E3">
          <w:rPr>
            <w:noProof/>
            <w:webHidden/>
          </w:rPr>
          <w:t>3</w:t>
        </w:r>
        <w:r w:rsidR="008270E3">
          <w:rPr>
            <w:noProof/>
            <w:webHidden/>
          </w:rPr>
          <w:fldChar w:fldCharType="end"/>
        </w:r>
      </w:hyperlink>
    </w:p>
    <w:p w14:paraId="11DE8A50" w14:textId="137FB184" w:rsidR="008270E3" w:rsidRDefault="00000000">
      <w:pPr>
        <w:pStyle w:val="TOC1"/>
        <w:tabs>
          <w:tab w:val="left" w:pos="480"/>
          <w:tab w:val="right" w:leader="dot" w:pos="9168"/>
        </w:tabs>
        <w:rPr>
          <w:rFonts w:asciiTheme="minorHAnsi" w:eastAsiaTheme="minorEastAsia" w:hAnsiTheme="minorHAnsi" w:cstheme="minorBidi"/>
          <w:noProof/>
          <w:sz w:val="22"/>
          <w:szCs w:val="22"/>
          <w:lang w:eastAsia="en-AU"/>
        </w:rPr>
      </w:pPr>
      <w:hyperlink w:anchor="_Toc153193755" w:history="1">
        <w:r w:rsidR="008270E3" w:rsidRPr="00B74328">
          <w:rPr>
            <w:rStyle w:val="Hyperlink"/>
            <w:noProof/>
          </w:rPr>
          <w:t>3</w:t>
        </w:r>
        <w:r w:rsidR="008270E3">
          <w:rPr>
            <w:rFonts w:asciiTheme="minorHAnsi" w:eastAsiaTheme="minorEastAsia" w:hAnsiTheme="minorHAnsi" w:cstheme="minorBidi"/>
            <w:noProof/>
            <w:sz w:val="22"/>
            <w:szCs w:val="22"/>
            <w:lang w:eastAsia="en-AU"/>
          </w:rPr>
          <w:tab/>
        </w:r>
        <w:r w:rsidR="008270E3" w:rsidRPr="00B74328">
          <w:rPr>
            <w:rStyle w:val="Hyperlink"/>
            <w:noProof/>
          </w:rPr>
          <w:t>Counts</w:t>
        </w:r>
        <w:r w:rsidR="008270E3">
          <w:rPr>
            <w:noProof/>
            <w:webHidden/>
          </w:rPr>
          <w:tab/>
        </w:r>
        <w:r w:rsidR="008270E3">
          <w:rPr>
            <w:noProof/>
            <w:webHidden/>
          </w:rPr>
          <w:fldChar w:fldCharType="begin"/>
        </w:r>
        <w:r w:rsidR="008270E3">
          <w:rPr>
            <w:noProof/>
            <w:webHidden/>
          </w:rPr>
          <w:instrText xml:space="preserve"> PAGEREF _Toc153193755 \h </w:instrText>
        </w:r>
        <w:r w:rsidR="008270E3">
          <w:rPr>
            <w:noProof/>
            <w:webHidden/>
          </w:rPr>
        </w:r>
        <w:r w:rsidR="008270E3">
          <w:rPr>
            <w:noProof/>
            <w:webHidden/>
          </w:rPr>
          <w:fldChar w:fldCharType="separate"/>
        </w:r>
        <w:r w:rsidR="008270E3">
          <w:rPr>
            <w:noProof/>
            <w:webHidden/>
          </w:rPr>
          <w:t>3</w:t>
        </w:r>
        <w:r w:rsidR="008270E3">
          <w:rPr>
            <w:noProof/>
            <w:webHidden/>
          </w:rPr>
          <w:fldChar w:fldCharType="end"/>
        </w:r>
      </w:hyperlink>
    </w:p>
    <w:p w14:paraId="216CC919" w14:textId="674107A5" w:rsidR="008270E3" w:rsidRDefault="00000000">
      <w:pPr>
        <w:pStyle w:val="TOC2"/>
        <w:rPr>
          <w:rFonts w:asciiTheme="minorHAnsi" w:eastAsiaTheme="minorEastAsia" w:hAnsiTheme="minorHAnsi" w:cstheme="minorBidi"/>
          <w:noProof/>
          <w:sz w:val="22"/>
          <w:szCs w:val="22"/>
          <w:lang w:eastAsia="en-AU"/>
        </w:rPr>
      </w:pPr>
      <w:hyperlink w:anchor="_Toc153193756" w:history="1">
        <w:r w:rsidR="008270E3" w:rsidRPr="00B74328">
          <w:rPr>
            <w:rStyle w:val="Hyperlink"/>
            <w:noProof/>
          </w:rPr>
          <w:t>3.1</w:t>
        </w:r>
        <w:r w:rsidR="008270E3">
          <w:rPr>
            <w:rFonts w:asciiTheme="minorHAnsi" w:eastAsiaTheme="minorEastAsia" w:hAnsiTheme="minorHAnsi" w:cstheme="minorBidi"/>
            <w:noProof/>
            <w:sz w:val="22"/>
            <w:szCs w:val="22"/>
            <w:lang w:eastAsia="en-AU"/>
          </w:rPr>
          <w:tab/>
        </w:r>
        <w:r w:rsidR="008270E3" w:rsidRPr="00B74328">
          <w:rPr>
            <w:rStyle w:val="Hyperlink"/>
            <w:noProof/>
          </w:rPr>
          <w:t>Informal counts</w:t>
        </w:r>
        <w:r w:rsidR="008270E3">
          <w:rPr>
            <w:noProof/>
            <w:webHidden/>
          </w:rPr>
          <w:tab/>
        </w:r>
        <w:r w:rsidR="008270E3">
          <w:rPr>
            <w:noProof/>
            <w:webHidden/>
          </w:rPr>
          <w:fldChar w:fldCharType="begin"/>
        </w:r>
        <w:r w:rsidR="008270E3">
          <w:rPr>
            <w:noProof/>
            <w:webHidden/>
          </w:rPr>
          <w:instrText xml:space="preserve"> PAGEREF _Toc153193756 \h </w:instrText>
        </w:r>
        <w:r w:rsidR="008270E3">
          <w:rPr>
            <w:noProof/>
            <w:webHidden/>
          </w:rPr>
        </w:r>
        <w:r w:rsidR="008270E3">
          <w:rPr>
            <w:noProof/>
            <w:webHidden/>
          </w:rPr>
          <w:fldChar w:fldCharType="separate"/>
        </w:r>
        <w:r w:rsidR="008270E3">
          <w:rPr>
            <w:noProof/>
            <w:webHidden/>
          </w:rPr>
          <w:t>3</w:t>
        </w:r>
        <w:r w:rsidR="008270E3">
          <w:rPr>
            <w:noProof/>
            <w:webHidden/>
          </w:rPr>
          <w:fldChar w:fldCharType="end"/>
        </w:r>
      </w:hyperlink>
    </w:p>
    <w:p w14:paraId="656B9A19" w14:textId="799BF4C9" w:rsidR="008270E3" w:rsidRDefault="00000000">
      <w:pPr>
        <w:pStyle w:val="TOC2"/>
        <w:rPr>
          <w:rFonts w:asciiTheme="minorHAnsi" w:eastAsiaTheme="minorEastAsia" w:hAnsiTheme="minorHAnsi" w:cstheme="minorBidi"/>
          <w:noProof/>
          <w:sz w:val="22"/>
          <w:szCs w:val="22"/>
          <w:lang w:eastAsia="en-AU"/>
        </w:rPr>
      </w:pPr>
      <w:hyperlink w:anchor="_Toc153193757" w:history="1">
        <w:r w:rsidR="008270E3" w:rsidRPr="00B74328">
          <w:rPr>
            <w:rStyle w:val="Hyperlink"/>
            <w:noProof/>
          </w:rPr>
          <w:t>3.2</w:t>
        </w:r>
        <w:r w:rsidR="008270E3">
          <w:rPr>
            <w:rFonts w:asciiTheme="minorHAnsi" w:eastAsiaTheme="minorEastAsia" w:hAnsiTheme="minorHAnsi" w:cstheme="minorBidi"/>
            <w:noProof/>
            <w:sz w:val="22"/>
            <w:szCs w:val="22"/>
            <w:lang w:eastAsia="en-AU"/>
          </w:rPr>
          <w:tab/>
        </w:r>
        <w:r w:rsidR="008270E3" w:rsidRPr="00B74328">
          <w:rPr>
            <w:rStyle w:val="Hyperlink"/>
            <w:noProof/>
          </w:rPr>
          <w:t>Formal counts</w:t>
        </w:r>
        <w:r w:rsidR="008270E3">
          <w:rPr>
            <w:noProof/>
            <w:webHidden/>
          </w:rPr>
          <w:tab/>
        </w:r>
        <w:r w:rsidR="008270E3">
          <w:rPr>
            <w:noProof/>
            <w:webHidden/>
          </w:rPr>
          <w:fldChar w:fldCharType="begin"/>
        </w:r>
        <w:r w:rsidR="008270E3">
          <w:rPr>
            <w:noProof/>
            <w:webHidden/>
          </w:rPr>
          <w:instrText xml:space="preserve"> PAGEREF _Toc153193757 \h </w:instrText>
        </w:r>
        <w:r w:rsidR="008270E3">
          <w:rPr>
            <w:noProof/>
            <w:webHidden/>
          </w:rPr>
        </w:r>
        <w:r w:rsidR="008270E3">
          <w:rPr>
            <w:noProof/>
            <w:webHidden/>
          </w:rPr>
          <w:fldChar w:fldCharType="separate"/>
        </w:r>
        <w:r w:rsidR="008270E3">
          <w:rPr>
            <w:noProof/>
            <w:webHidden/>
          </w:rPr>
          <w:t>3</w:t>
        </w:r>
        <w:r w:rsidR="008270E3">
          <w:rPr>
            <w:noProof/>
            <w:webHidden/>
          </w:rPr>
          <w:fldChar w:fldCharType="end"/>
        </w:r>
      </w:hyperlink>
    </w:p>
    <w:p w14:paraId="6C039F00" w14:textId="02B7250A" w:rsidR="008270E3" w:rsidRDefault="00000000">
      <w:pPr>
        <w:pStyle w:val="TOC2"/>
        <w:rPr>
          <w:rFonts w:asciiTheme="minorHAnsi" w:eastAsiaTheme="minorEastAsia" w:hAnsiTheme="minorHAnsi" w:cstheme="minorBidi"/>
          <w:noProof/>
          <w:sz w:val="22"/>
          <w:szCs w:val="22"/>
          <w:lang w:eastAsia="en-AU"/>
        </w:rPr>
      </w:pPr>
      <w:hyperlink w:anchor="_Toc153193758" w:history="1">
        <w:r w:rsidR="008270E3" w:rsidRPr="00B74328">
          <w:rPr>
            <w:rStyle w:val="Hyperlink"/>
            <w:noProof/>
          </w:rPr>
          <w:t>3.3</w:t>
        </w:r>
        <w:r w:rsidR="008270E3">
          <w:rPr>
            <w:rFonts w:asciiTheme="minorHAnsi" w:eastAsiaTheme="minorEastAsia" w:hAnsiTheme="minorHAnsi" w:cstheme="minorBidi"/>
            <w:noProof/>
            <w:sz w:val="22"/>
            <w:szCs w:val="22"/>
            <w:lang w:eastAsia="en-AU"/>
          </w:rPr>
          <w:tab/>
        </w:r>
        <w:r w:rsidR="008270E3" w:rsidRPr="00B74328">
          <w:rPr>
            <w:rStyle w:val="Hyperlink"/>
            <w:noProof/>
          </w:rPr>
          <w:t>Incorrect counts</w:t>
        </w:r>
        <w:r w:rsidR="008270E3">
          <w:rPr>
            <w:noProof/>
            <w:webHidden/>
          </w:rPr>
          <w:tab/>
        </w:r>
        <w:r w:rsidR="008270E3">
          <w:rPr>
            <w:noProof/>
            <w:webHidden/>
          </w:rPr>
          <w:fldChar w:fldCharType="begin"/>
        </w:r>
        <w:r w:rsidR="008270E3">
          <w:rPr>
            <w:noProof/>
            <w:webHidden/>
          </w:rPr>
          <w:instrText xml:space="preserve"> PAGEREF _Toc153193758 \h </w:instrText>
        </w:r>
        <w:r w:rsidR="008270E3">
          <w:rPr>
            <w:noProof/>
            <w:webHidden/>
          </w:rPr>
        </w:r>
        <w:r w:rsidR="008270E3">
          <w:rPr>
            <w:noProof/>
            <w:webHidden/>
          </w:rPr>
          <w:fldChar w:fldCharType="separate"/>
        </w:r>
        <w:r w:rsidR="008270E3">
          <w:rPr>
            <w:noProof/>
            <w:webHidden/>
          </w:rPr>
          <w:t>4</w:t>
        </w:r>
        <w:r w:rsidR="008270E3">
          <w:rPr>
            <w:noProof/>
            <w:webHidden/>
          </w:rPr>
          <w:fldChar w:fldCharType="end"/>
        </w:r>
      </w:hyperlink>
    </w:p>
    <w:p w14:paraId="61F7AEBF" w14:textId="7F18E545" w:rsidR="008270E3" w:rsidRDefault="00000000">
      <w:pPr>
        <w:pStyle w:val="TOC2"/>
        <w:rPr>
          <w:rFonts w:asciiTheme="minorHAnsi" w:eastAsiaTheme="minorEastAsia" w:hAnsiTheme="minorHAnsi" w:cstheme="minorBidi"/>
          <w:noProof/>
          <w:sz w:val="22"/>
          <w:szCs w:val="22"/>
          <w:lang w:eastAsia="en-AU"/>
        </w:rPr>
      </w:pPr>
      <w:hyperlink w:anchor="_Toc153193759" w:history="1">
        <w:r w:rsidR="008270E3" w:rsidRPr="00B74328">
          <w:rPr>
            <w:rStyle w:val="Hyperlink"/>
            <w:noProof/>
          </w:rPr>
          <w:t>3.4</w:t>
        </w:r>
        <w:r w:rsidR="008270E3">
          <w:rPr>
            <w:rFonts w:asciiTheme="minorHAnsi" w:eastAsiaTheme="minorEastAsia" w:hAnsiTheme="minorHAnsi" w:cstheme="minorBidi"/>
            <w:noProof/>
            <w:sz w:val="22"/>
            <w:szCs w:val="22"/>
            <w:lang w:eastAsia="en-AU"/>
          </w:rPr>
          <w:tab/>
        </w:r>
        <w:r w:rsidR="008270E3" w:rsidRPr="00B74328">
          <w:rPr>
            <w:rStyle w:val="Hyperlink"/>
            <w:noProof/>
          </w:rPr>
          <w:t>Emergency counts</w:t>
        </w:r>
        <w:r w:rsidR="008270E3">
          <w:rPr>
            <w:noProof/>
            <w:webHidden/>
          </w:rPr>
          <w:tab/>
        </w:r>
        <w:r w:rsidR="008270E3">
          <w:rPr>
            <w:noProof/>
            <w:webHidden/>
          </w:rPr>
          <w:fldChar w:fldCharType="begin"/>
        </w:r>
        <w:r w:rsidR="008270E3">
          <w:rPr>
            <w:noProof/>
            <w:webHidden/>
          </w:rPr>
          <w:instrText xml:space="preserve"> PAGEREF _Toc153193759 \h </w:instrText>
        </w:r>
        <w:r w:rsidR="008270E3">
          <w:rPr>
            <w:noProof/>
            <w:webHidden/>
          </w:rPr>
        </w:r>
        <w:r w:rsidR="008270E3">
          <w:rPr>
            <w:noProof/>
            <w:webHidden/>
          </w:rPr>
          <w:fldChar w:fldCharType="separate"/>
        </w:r>
        <w:r w:rsidR="008270E3">
          <w:rPr>
            <w:noProof/>
            <w:webHidden/>
          </w:rPr>
          <w:t>5</w:t>
        </w:r>
        <w:r w:rsidR="008270E3">
          <w:rPr>
            <w:noProof/>
            <w:webHidden/>
          </w:rPr>
          <w:fldChar w:fldCharType="end"/>
        </w:r>
      </w:hyperlink>
    </w:p>
    <w:p w14:paraId="75F7B704" w14:textId="4A5D9D2E" w:rsidR="008270E3" w:rsidRDefault="00000000">
      <w:pPr>
        <w:pStyle w:val="TOC2"/>
        <w:rPr>
          <w:rFonts w:asciiTheme="minorHAnsi" w:eastAsiaTheme="minorEastAsia" w:hAnsiTheme="minorHAnsi" w:cstheme="minorBidi"/>
          <w:noProof/>
          <w:sz w:val="22"/>
          <w:szCs w:val="22"/>
          <w:lang w:eastAsia="en-AU"/>
        </w:rPr>
      </w:pPr>
      <w:hyperlink w:anchor="_Toc153193760" w:history="1">
        <w:r w:rsidR="008270E3" w:rsidRPr="00B74328">
          <w:rPr>
            <w:rStyle w:val="Hyperlink"/>
            <w:noProof/>
          </w:rPr>
          <w:t>3.5</w:t>
        </w:r>
        <w:r w:rsidR="008270E3">
          <w:rPr>
            <w:rFonts w:asciiTheme="minorHAnsi" w:eastAsiaTheme="minorEastAsia" w:hAnsiTheme="minorHAnsi" w:cstheme="minorBidi"/>
            <w:noProof/>
            <w:sz w:val="22"/>
            <w:szCs w:val="22"/>
            <w:lang w:eastAsia="en-AU"/>
          </w:rPr>
          <w:tab/>
        </w:r>
        <w:r w:rsidR="008270E3" w:rsidRPr="00B74328">
          <w:rPr>
            <w:rStyle w:val="Hyperlink"/>
            <w:noProof/>
          </w:rPr>
          <w:t>Perth Children’s Court Custody Centre</w:t>
        </w:r>
        <w:r w:rsidR="008270E3">
          <w:rPr>
            <w:noProof/>
            <w:webHidden/>
          </w:rPr>
          <w:tab/>
        </w:r>
        <w:r w:rsidR="008270E3">
          <w:rPr>
            <w:noProof/>
            <w:webHidden/>
          </w:rPr>
          <w:fldChar w:fldCharType="begin"/>
        </w:r>
        <w:r w:rsidR="008270E3">
          <w:rPr>
            <w:noProof/>
            <w:webHidden/>
          </w:rPr>
          <w:instrText xml:space="preserve"> PAGEREF _Toc153193760 \h </w:instrText>
        </w:r>
        <w:r w:rsidR="008270E3">
          <w:rPr>
            <w:noProof/>
            <w:webHidden/>
          </w:rPr>
        </w:r>
        <w:r w:rsidR="008270E3">
          <w:rPr>
            <w:noProof/>
            <w:webHidden/>
          </w:rPr>
          <w:fldChar w:fldCharType="separate"/>
        </w:r>
        <w:r w:rsidR="008270E3">
          <w:rPr>
            <w:noProof/>
            <w:webHidden/>
          </w:rPr>
          <w:t>5</w:t>
        </w:r>
        <w:r w:rsidR="008270E3">
          <w:rPr>
            <w:noProof/>
            <w:webHidden/>
          </w:rPr>
          <w:fldChar w:fldCharType="end"/>
        </w:r>
      </w:hyperlink>
    </w:p>
    <w:p w14:paraId="3B35084B" w14:textId="3F186635" w:rsidR="008270E3" w:rsidRDefault="00000000">
      <w:pPr>
        <w:pStyle w:val="TOC1"/>
        <w:tabs>
          <w:tab w:val="left" w:pos="480"/>
          <w:tab w:val="right" w:leader="dot" w:pos="9168"/>
        </w:tabs>
        <w:rPr>
          <w:rFonts w:asciiTheme="minorHAnsi" w:eastAsiaTheme="minorEastAsia" w:hAnsiTheme="minorHAnsi" w:cstheme="minorBidi"/>
          <w:noProof/>
          <w:sz w:val="22"/>
          <w:szCs w:val="22"/>
          <w:lang w:eastAsia="en-AU"/>
        </w:rPr>
      </w:pPr>
      <w:hyperlink w:anchor="_Toc153193761" w:history="1">
        <w:r w:rsidR="008270E3" w:rsidRPr="00B74328">
          <w:rPr>
            <w:rStyle w:val="Hyperlink"/>
            <w:noProof/>
          </w:rPr>
          <w:t>4</w:t>
        </w:r>
        <w:r w:rsidR="008270E3">
          <w:rPr>
            <w:rFonts w:asciiTheme="minorHAnsi" w:eastAsiaTheme="minorEastAsia" w:hAnsiTheme="minorHAnsi" w:cstheme="minorBidi"/>
            <w:noProof/>
            <w:sz w:val="22"/>
            <w:szCs w:val="22"/>
            <w:lang w:eastAsia="en-AU"/>
          </w:rPr>
          <w:tab/>
        </w:r>
        <w:r w:rsidR="008270E3" w:rsidRPr="00B74328">
          <w:rPr>
            <w:rStyle w:val="Hyperlink"/>
            <w:noProof/>
          </w:rPr>
          <w:t>Annexures</w:t>
        </w:r>
        <w:r w:rsidR="008270E3">
          <w:rPr>
            <w:noProof/>
            <w:webHidden/>
          </w:rPr>
          <w:tab/>
        </w:r>
        <w:r w:rsidR="008270E3">
          <w:rPr>
            <w:noProof/>
            <w:webHidden/>
          </w:rPr>
          <w:fldChar w:fldCharType="begin"/>
        </w:r>
        <w:r w:rsidR="008270E3">
          <w:rPr>
            <w:noProof/>
            <w:webHidden/>
          </w:rPr>
          <w:instrText xml:space="preserve"> PAGEREF _Toc153193761 \h </w:instrText>
        </w:r>
        <w:r w:rsidR="008270E3">
          <w:rPr>
            <w:noProof/>
            <w:webHidden/>
          </w:rPr>
        </w:r>
        <w:r w:rsidR="008270E3">
          <w:rPr>
            <w:noProof/>
            <w:webHidden/>
          </w:rPr>
          <w:fldChar w:fldCharType="separate"/>
        </w:r>
        <w:r w:rsidR="008270E3">
          <w:rPr>
            <w:noProof/>
            <w:webHidden/>
          </w:rPr>
          <w:t>6</w:t>
        </w:r>
        <w:r w:rsidR="008270E3">
          <w:rPr>
            <w:noProof/>
            <w:webHidden/>
          </w:rPr>
          <w:fldChar w:fldCharType="end"/>
        </w:r>
      </w:hyperlink>
    </w:p>
    <w:p w14:paraId="7C8BF830" w14:textId="5CF97115" w:rsidR="008270E3" w:rsidRDefault="00000000">
      <w:pPr>
        <w:pStyle w:val="TOC2"/>
        <w:rPr>
          <w:rFonts w:asciiTheme="minorHAnsi" w:eastAsiaTheme="minorEastAsia" w:hAnsiTheme="minorHAnsi" w:cstheme="minorBidi"/>
          <w:noProof/>
          <w:sz w:val="22"/>
          <w:szCs w:val="22"/>
          <w:lang w:eastAsia="en-AU"/>
        </w:rPr>
      </w:pPr>
      <w:hyperlink w:anchor="_Toc153193762" w:history="1">
        <w:r w:rsidR="008270E3" w:rsidRPr="00B74328">
          <w:rPr>
            <w:rStyle w:val="Hyperlink"/>
            <w:noProof/>
          </w:rPr>
          <w:t>4.1</w:t>
        </w:r>
        <w:r w:rsidR="008270E3">
          <w:rPr>
            <w:rFonts w:asciiTheme="minorHAnsi" w:eastAsiaTheme="minorEastAsia" w:hAnsiTheme="minorHAnsi" w:cstheme="minorBidi"/>
            <w:noProof/>
            <w:sz w:val="22"/>
            <w:szCs w:val="22"/>
            <w:lang w:eastAsia="en-AU"/>
          </w:rPr>
          <w:tab/>
        </w:r>
        <w:r w:rsidR="008270E3" w:rsidRPr="00B74328">
          <w:rPr>
            <w:rStyle w:val="Hyperlink"/>
            <w:noProof/>
          </w:rPr>
          <w:t>Related COPPs and documents</w:t>
        </w:r>
        <w:r w:rsidR="008270E3">
          <w:rPr>
            <w:noProof/>
            <w:webHidden/>
          </w:rPr>
          <w:tab/>
        </w:r>
        <w:r w:rsidR="008270E3">
          <w:rPr>
            <w:noProof/>
            <w:webHidden/>
          </w:rPr>
          <w:fldChar w:fldCharType="begin"/>
        </w:r>
        <w:r w:rsidR="008270E3">
          <w:rPr>
            <w:noProof/>
            <w:webHidden/>
          </w:rPr>
          <w:instrText xml:space="preserve"> PAGEREF _Toc153193762 \h </w:instrText>
        </w:r>
        <w:r w:rsidR="008270E3">
          <w:rPr>
            <w:noProof/>
            <w:webHidden/>
          </w:rPr>
        </w:r>
        <w:r w:rsidR="008270E3">
          <w:rPr>
            <w:noProof/>
            <w:webHidden/>
          </w:rPr>
          <w:fldChar w:fldCharType="separate"/>
        </w:r>
        <w:r w:rsidR="008270E3">
          <w:rPr>
            <w:noProof/>
            <w:webHidden/>
          </w:rPr>
          <w:t>6</w:t>
        </w:r>
        <w:r w:rsidR="008270E3">
          <w:rPr>
            <w:noProof/>
            <w:webHidden/>
          </w:rPr>
          <w:fldChar w:fldCharType="end"/>
        </w:r>
      </w:hyperlink>
    </w:p>
    <w:p w14:paraId="20BD4C90" w14:textId="7E5BF73B" w:rsidR="008270E3" w:rsidRDefault="00000000">
      <w:pPr>
        <w:pStyle w:val="TOC2"/>
        <w:rPr>
          <w:rFonts w:asciiTheme="minorHAnsi" w:eastAsiaTheme="minorEastAsia" w:hAnsiTheme="minorHAnsi" w:cstheme="minorBidi"/>
          <w:noProof/>
          <w:sz w:val="22"/>
          <w:szCs w:val="22"/>
          <w:lang w:eastAsia="en-AU"/>
        </w:rPr>
      </w:pPr>
      <w:hyperlink w:anchor="_Toc153193763" w:history="1">
        <w:r w:rsidR="008270E3" w:rsidRPr="00B74328">
          <w:rPr>
            <w:rStyle w:val="Hyperlink"/>
            <w:noProof/>
          </w:rPr>
          <w:t>4.2</w:t>
        </w:r>
        <w:r w:rsidR="008270E3">
          <w:rPr>
            <w:rFonts w:asciiTheme="minorHAnsi" w:eastAsiaTheme="minorEastAsia" w:hAnsiTheme="minorHAnsi" w:cstheme="minorBidi"/>
            <w:noProof/>
            <w:sz w:val="22"/>
            <w:szCs w:val="22"/>
            <w:lang w:eastAsia="en-AU"/>
          </w:rPr>
          <w:tab/>
        </w:r>
        <w:r w:rsidR="008270E3" w:rsidRPr="00B74328">
          <w:rPr>
            <w:rStyle w:val="Hyperlink"/>
            <w:noProof/>
          </w:rPr>
          <w:t>Definitions</w:t>
        </w:r>
        <w:r w:rsidR="008270E3">
          <w:rPr>
            <w:noProof/>
            <w:webHidden/>
          </w:rPr>
          <w:tab/>
        </w:r>
        <w:r w:rsidR="008270E3">
          <w:rPr>
            <w:noProof/>
            <w:webHidden/>
          </w:rPr>
          <w:fldChar w:fldCharType="begin"/>
        </w:r>
        <w:r w:rsidR="008270E3">
          <w:rPr>
            <w:noProof/>
            <w:webHidden/>
          </w:rPr>
          <w:instrText xml:space="preserve"> PAGEREF _Toc153193763 \h </w:instrText>
        </w:r>
        <w:r w:rsidR="008270E3">
          <w:rPr>
            <w:noProof/>
            <w:webHidden/>
          </w:rPr>
        </w:r>
        <w:r w:rsidR="008270E3">
          <w:rPr>
            <w:noProof/>
            <w:webHidden/>
          </w:rPr>
          <w:fldChar w:fldCharType="separate"/>
        </w:r>
        <w:r w:rsidR="008270E3">
          <w:rPr>
            <w:noProof/>
            <w:webHidden/>
          </w:rPr>
          <w:t>6</w:t>
        </w:r>
        <w:r w:rsidR="008270E3">
          <w:rPr>
            <w:noProof/>
            <w:webHidden/>
          </w:rPr>
          <w:fldChar w:fldCharType="end"/>
        </w:r>
      </w:hyperlink>
    </w:p>
    <w:p w14:paraId="192F055C" w14:textId="0A50F162" w:rsidR="008270E3" w:rsidRDefault="00000000">
      <w:pPr>
        <w:pStyle w:val="TOC2"/>
        <w:rPr>
          <w:rFonts w:asciiTheme="minorHAnsi" w:eastAsiaTheme="minorEastAsia" w:hAnsiTheme="minorHAnsi" w:cstheme="minorBidi"/>
          <w:noProof/>
          <w:sz w:val="22"/>
          <w:szCs w:val="22"/>
          <w:lang w:eastAsia="en-AU"/>
        </w:rPr>
      </w:pPr>
      <w:hyperlink w:anchor="_Toc153193764" w:history="1">
        <w:r w:rsidR="008270E3" w:rsidRPr="00B74328">
          <w:rPr>
            <w:rStyle w:val="Hyperlink"/>
            <w:noProof/>
          </w:rPr>
          <w:t>4.3</w:t>
        </w:r>
        <w:r w:rsidR="008270E3">
          <w:rPr>
            <w:rFonts w:asciiTheme="minorHAnsi" w:eastAsiaTheme="minorEastAsia" w:hAnsiTheme="minorHAnsi" w:cstheme="minorBidi"/>
            <w:noProof/>
            <w:sz w:val="22"/>
            <w:szCs w:val="22"/>
            <w:lang w:eastAsia="en-AU"/>
          </w:rPr>
          <w:tab/>
        </w:r>
        <w:r w:rsidR="008270E3" w:rsidRPr="00B74328">
          <w:rPr>
            <w:rStyle w:val="Hyperlink"/>
            <w:noProof/>
          </w:rPr>
          <w:t>Related legislation</w:t>
        </w:r>
        <w:r w:rsidR="008270E3">
          <w:rPr>
            <w:noProof/>
            <w:webHidden/>
          </w:rPr>
          <w:tab/>
        </w:r>
        <w:r w:rsidR="008270E3">
          <w:rPr>
            <w:noProof/>
            <w:webHidden/>
          </w:rPr>
          <w:fldChar w:fldCharType="begin"/>
        </w:r>
        <w:r w:rsidR="008270E3">
          <w:rPr>
            <w:noProof/>
            <w:webHidden/>
          </w:rPr>
          <w:instrText xml:space="preserve"> PAGEREF _Toc153193764 \h </w:instrText>
        </w:r>
        <w:r w:rsidR="008270E3">
          <w:rPr>
            <w:noProof/>
            <w:webHidden/>
          </w:rPr>
        </w:r>
        <w:r w:rsidR="008270E3">
          <w:rPr>
            <w:noProof/>
            <w:webHidden/>
          </w:rPr>
          <w:fldChar w:fldCharType="separate"/>
        </w:r>
        <w:r w:rsidR="008270E3">
          <w:rPr>
            <w:noProof/>
            <w:webHidden/>
          </w:rPr>
          <w:t>7</w:t>
        </w:r>
        <w:r w:rsidR="008270E3">
          <w:rPr>
            <w:noProof/>
            <w:webHidden/>
          </w:rPr>
          <w:fldChar w:fldCharType="end"/>
        </w:r>
      </w:hyperlink>
    </w:p>
    <w:p w14:paraId="3BED541E" w14:textId="0C0FF5D4" w:rsidR="008270E3" w:rsidRDefault="00000000">
      <w:pPr>
        <w:pStyle w:val="TOC1"/>
        <w:tabs>
          <w:tab w:val="left" w:pos="480"/>
          <w:tab w:val="right" w:leader="dot" w:pos="9168"/>
        </w:tabs>
        <w:rPr>
          <w:rFonts w:asciiTheme="minorHAnsi" w:eastAsiaTheme="minorEastAsia" w:hAnsiTheme="minorHAnsi" w:cstheme="minorBidi"/>
          <w:noProof/>
          <w:sz w:val="22"/>
          <w:szCs w:val="22"/>
          <w:lang w:eastAsia="en-AU"/>
        </w:rPr>
      </w:pPr>
      <w:hyperlink w:anchor="_Toc153193765" w:history="1">
        <w:r w:rsidR="008270E3" w:rsidRPr="00B74328">
          <w:rPr>
            <w:rStyle w:val="Hyperlink"/>
            <w:noProof/>
          </w:rPr>
          <w:t>5</w:t>
        </w:r>
        <w:r w:rsidR="008270E3">
          <w:rPr>
            <w:rFonts w:asciiTheme="minorHAnsi" w:eastAsiaTheme="minorEastAsia" w:hAnsiTheme="minorHAnsi" w:cstheme="minorBidi"/>
            <w:noProof/>
            <w:sz w:val="22"/>
            <w:szCs w:val="22"/>
            <w:lang w:eastAsia="en-AU"/>
          </w:rPr>
          <w:tab/>
        </w:r>
        <w:r w:rsidR="008270E3" w:rsidRPr="00B74328">
          <w:rPr>
            <w:rStyle w:val="Hyperlink"/>
            <w:noProof/>
          </w:rPr>
          <w:t>Assurance</w:t>
        </w:r>
        <w:r w:rsidR="008270E3">
          <w:rPr>
            <w:noProof/>
            <w:webHidden/>
          </w:rPr>
          <w:tab/>
        </w:r>
        <w:r w:rsidR="008270E3">
          <w:rPr>
            <w:noProof/>
            <w:webHidden/>
          </w:rPr>
          <w:fldChar w:fldCharType="begin"/>
        </w:r>
        <w:r w:rsidR="008270E3">
          <w:rPr>
            <w:noProof/>
            <w:webHidden/>
          </w:rPr>
          <w:instrText xml:space="preserve"> PAGEREF _Toc153193765 \h </w:instrText>
        </w:r>
        <w:r w:rsidR="008270E3">
          <w:rPr>
            <w:noProof/>
            <w:webHidden/>
          </w:rPr>
        </w:r>
        <w:r w:rsidR="008270E3">
          <w:rPr>
            <w:noProof/>
            <w:webHidden/>
          </w:rPr>
          <w:fldChar w:fldCharType="separate"/>
        </w:r>
        <w:r w:rsidR="008270E3">
          <w:rPr>
            <w:noProof/>
            <w:webHidden/>
          </w:rPr>
          <w:t>8</w:t>
        </w:r>
        <w:r w:rsidR="008270E3">
          <w:rPr>
            <w:noProof/>
            <w:webHidden/>
          </w:rPr>
          <w:fldChar w:fldCharType="end"/>
        </w:r>
      </w:hyperlink>
    </w:p>
    <w:p w14:paraId="1AC0D77F" w14:textId="659C5C02" w:rsidR="008270E3" w:rsidRDefault="00000000">
      <w:pPr>
        <w:pStyle w:val="TOC1"/>
        <w:tabs>
          <w:tab w:val="left" w:pos="480"/>
          <w:tab w:val="right" w:leader="dot" w:pos="9168"/>
        </w:tabs>
        <w:rPr>
          <w:rFonts w:asciiTheme="minorHAnsi" w:eastAsiaTheme="minorEastAsia" w:hAnsiTheme="minorHAnsi" w:cstheme="minorBidi"/>
          <w:noProof/>
          <w:sz w:val="22"/>
          <w:szCs w:val="22"/>
          <w:lang w:eastAsia="en-AU"/>
        </w:rPr>
      </w:pPr>
      <w:hyperlink w:anchor="_Toc153193766" w:history="1">
        <w:r w:rsidR="008270E3" w:rsidRPr="00B74328">
          <w:rPr>
            <w:rStyle w:val="Hyperlink"/>
            <w:noProof/>
          </w:rPr>
          <w:t>6</w:t>
        </w:r>
        <w:r w:rsidR="008270E3">
          <w:rPr>
            <w:rFonts w:asciiTheme="minorHAnsi" w:eastAsiaTheme="minorEastAsia" w:hAnsiTheme="minorHAnsi" w:cstheme="minorBidi"/>
            <w:noProof/>
            <w:sz w:val="22"/>
            <w:szCs w:val="22"/>
            <w:lang w:eastAsia="en-AU"/>
          </w:rPr>
          <w:tab/>
        </w:r>
        <w:r w:rsidR="008270E3" w:rsidRPr="00B74328">
          <w:rPr>
            <w:rStyle w:val="Hyperlink"/>
            <w:noProof/>
          </w:rPr>
          <w:t>Document Version History</w:t>
        </w:r>
        <w:r w:rsidR="008270E3">
          <w:rPr>
            <w:noProof/>
            <w:webHidden/>
          </w:rPr>
          <w:tab/>
        </w:r>
        <w:r w:rsidR="008270E3">
          <w:rPr>
            <w:noProof/>
            <w:webHidden/>
          </w:rPr>
          <w:fldChar w:fldCharType="begin"/>
        </w:r>
        <w:r w:rsidR="008270E3">
          <w:rPr>
            <w:noProof/>
            <w:webHidden/>
          </w:rPr>
          <w:instrText xml:space="preserve"> PAGEREF _Toc153193766 \h </w:instrText>
        </w:r>
        <w:r w:rsidR="008270E3">
          <w:rPr>
            <w:noProof/>
            <w:webHidden/>
          </w:rPr>
        </w:r>
        <w:r w:rsidR="008270E3">
          <w:rPr>
            <w:noProof/>
            <w:webHidden/>
          </w:rPr>
          <w:fldChar w:fldCharType="separate"/>
        </w:r>
        <w:r w:rsidR="008270E3">
          <w:rPr>
            <w:noProof/>
            <w:webHidden/>
          </w:rPr>
          <w:t>8</w:t>
        </w:r>
        <w:r w:rsidR="008270E3">
          <w:rPr>
            <w:noProof/>
            <w:webHidden/>
          </w:rPr>
          <w:fldChar w:fldCharType="end"/>
        </w:r>
      </w:hyperlink>
    </w:p>
    <w:p w14:paraId="765376A8" w14:textId="7317D962" w:rsidR="00634C54" w:rsidRDefault="003F2F1D" w:rsidP="004E571B">
      <w:r>
        <w:fldChar w:fldCharType="end"/>
      </w:r>
    </w:p>
    <w:p w14:paraId="7AFC1259" w14:textId="77777777" w:rsidR="00634C54" w:rsidRDefault="00634C54">
      <w:r>
        <w:br w:type="page"/>
      </w:r>
    </w:p>
    <w:p w14:paraId="3358E255" w14:textId="77777777" w:rsidR="00C8272F" w:rsidRDefault="00C8272F" w:rsidP="007658CA">
      <w:pPr>
        <w:pStyle w:val="Heading1"/>
        <w:spacing w:before="360" w:after="240"/>
      </w:pPr>
      <w:bookmarkStart w:id="2" w:name="_Toc153193753"/>
      <w:r>
        <w:lastRenderedPageBreak/>
        <w:t>Scope</w:t>
      </w:r>
      <w:bookmarkEnd w:id="2"/>
    </w:p>
    <w:p w14:paraId="6D0F249B" w14:textId="3F078FA8" w:rsidR="001D733B" w:rsidRPr="00C2678B" w:rsidRDefault="001D733B" w:rsidP="001D733B">
      <w:pPr>
        <w:spacing w:before="200" w:after="120"/>
      </w:pPr>
      <w:r w:rsidRPr="0064309D">
        <w:t xml:space="preserve">This Commissioner’s Operating Policy and Procedure (COPP) applies to all </w:t>
      </w:r>
      <w:r w:rsidRPr="00440BF8">
        <w:t>Custodial Officers and staff employed to work at a Youth Detention Centre</w:t>
      </w:r>
      <w:r>
        <w:t xml:space="preserve"> (YDC)</w:t>
      </w:r>
      <w:r w:rsidRPr="00440BF8">
        <w:t xml:space="preserve"> and the Perth Children’s Court Custody Centre</w:t>
      </w:r>
      <w:r w:rsidR="00A011AA">
        <w:t xml:space="preserve"> (PCC).</w:t>
      </w:r>
    </w:p>
    <w:p w14:paraId="4E35CAB0" w14:textId="77777777" w:rsidR="00EC5AF1" w:rsidRDefault="00EC5AF1" w:rsidP="007658CA">
      <w:pPr>
        <w:pStyle w:val="Heading1"/>
        <w:spacing w:before="360" w:after="240"/>
      </w:pPr>
      <w:bookmarkStart w:id="3" w:name="_Toc153193754"/>
      <w:r>
        <w:t>Policy</w:t>
      </w:r>
      <w:bookmarkEnd w:id="3"/>
      <w:r>
        <w:t xml:space="preserve"> </w:t>
      </w:r>
    </w:p>
    <w:p w14:paraId="1E40FE59" w14:textId="1E474051" w:rsidR="00A662FC" w:rsidRPr="009769BA" w:rsidRDefault="00023247" w:rsidP="007658CA">
      <w:pPr>
        <w:spacing w:before="360" w:after="240"/>
      </w:pPr>
      <w:bookmarkStart w:id="4" w:name="_Toc12451801"/>
      <w:bookmarkStart w:id="5" w:name="_Toc14159551"/>
      <w:bookmarkStart w:id="6" w:name="_Toc14688329"/>
      <w:bookmarkStart w:id="7" w:name="_Toc15908528"/>
      <w:r w:rsidRPr="00023247">
        <w:t xml:space="preserve">The purpose of this document is to establish clear standards and procedures </w:t>
      </w:r>
      <w:r>
        <w:t xml:space="preserve">for the management of </w:t>
      </w:r>
      <w:r w:rsidR="003E718A">
        <w:t>population counts</w:t>
      </w:r>
      <w:r w:rsidRPr="00023247">
        <w:t xml:space="preserve"> at </w:t>
      </w:r>
      <w:r w:rsidR="00A011AA">
        <w:t xml:space="preserve">a </w:t>
      </w:r>
      <w:r w:rsidR="00E42695">
        <w:t>Y</w:t>
      </w:r>
      <w:r w:rsidRPr="00023247">
        <w:t>D</w:t>
      </w:r>
      <w:r w:rsidR="000E5EFC">
        <w:t>C</w:t>
      </w:r>
      <w:r w:rsidR="00A011AA">
        <w:t xml:space="preserve"> and PCC</w:t>
      </w:r>
      <w:r w:rsidR="00E42695">
        <w:t>.</w:t>
      </w:r>
      <w:bookmarkEnd w:id="4"/>
      <w:bookmarkEnd w:id="5"/>
      <w:bookmarkEnd w:id="6"/>
      <w:bookmarkEnd w:id="7"/>
    </w:p>
    <w:p w14:paraId="2C6B3F8F" w14:textId="77777777" w:rsidR="00D337BE" w:rsidRDefault="00D4674C" w:rsidP="00EC032D">
      <w:r>
        <w:t xml:space="preserve">The effective accountability of all detainees and persons in custody protects the public and contributes to a more secure and safe detention centre and custody centre. </w:t>
      </w:r>
    </w:p>
    <w:p w14:paraId="40F88A05" w14:textId="77777777" w:rsidR="00E42695" w:rsidRDefault="00E42695" w:rsidP="00EC032D"/>
    <w:p w14:paraId="3E6A60BE" w14:textId="5695525E" w:rsidR="00D4674C" w:rsidRDefault="00A011AA" w:rsidP="00EC032D">
      <w:r>
        <w:t xml:space="preserve">The </w:t>
      </w:r>
      <w:r w:rsidR="00E42695">
        <w:t>Y</w:t>
      </w:r>
      <w:r w:rsidR="00D4674C">
        <w:t>DC</w:t>
      </w:r>
      <w:r>
        <w:t xml:space="preserve"> and PCC</w:t>
      </w:r>
      <w:r w:rsidR="00D4674C">
        <w:t xml:space="preserve"> shall conduct population counts as a matter of routine to effectively account for, manage and control detainees and persons in custody. </w:t>
      </w:r>
    </w:p>
    <w:p w14:paraId="120E3826" w14:textId="77777777" w:rsidR="00D4674C" w:rsidRDefault="00D4674C" w:rsidP="00EC032D"/>
    <w:p w14:paraId="468CC0CD" w14:textId="2A6B612F" w:rsidR="00D4674C" w:rsidRDefault="00107172" w:rsidP="00EC032D">
      <w:r>
        <w:t>C</w:t>
      </w:r>
      <w:r w:rsidR="00617CFB">
        <w:t xml:space="preserve">ustodial </w:t>
      </w:r>
      <w:r>
        <w:t>O</w:t>
      </w:r>
      <w:r w:rsidR="00617CFB">
        <w:t>fficer</w:t>
      </w:r>
      <w:r>
        <w:t>s</w:t>
      </w:r>
      <w:r w:rsidR="00D4674C">
        <w:t xml:space="preserve"> shall know the location of all detainees and persons in custody u</w:t>
      </w:r>
      <w:r>
        <w:t>nder their control at all times.</w:t>
      </w:r>
    </w:p>
    <w:p w14:paraId="20CD5EC1" w14:textId="77777777" w:rsidR="00D8313C" w:rsidRDefault="00D8313C" w:rsidP="00EC032D"/>
    <w:p w14:paraId="01B8C345" w14:textId="7354101B" w:rsidR="003E718A" w:rsidRDefault="003E584F" w:rsidP="00EC032D">
      <w:r>
        <w:t>Population</w:t>
      </w:r>
      <w:r w:rsidR="00003D16">
        <w:t xml:space="preserve"> counts are </w:t>
      </w:r>
      <w:r w:rsidR="002B16B8">
        <w:t xml:space="preserve">conducted under </w:t>
      </w:r>
      <w:r w:rsidR="00617CFB">
        <w:t xml:space="preserve">three </w:t>
      </w:r>
      <w:r w:rsidR="00003D16">
        <w:t>categorie</w:t>
      </w:r>
      <w:r w:rsidR="00107172">
        <w:t>s which</w:t>
      </w:r>
      <w:r w:rsidR="00003D16">
        <w:t xml:space="preserve"> </w:t>
      </w:r>
      <w:r w:rsidR="00ED4DFA">
        <w:t>includ</w:t>
      </w:r>
      <w:r w:rsidR="00107172">
        <w:t>e</w:t>
      </w:r>
      <w:r w:rsidR="00003D16">
        <w:t xml:space="preserve"> informal, formal and emergency</w:t>
      </w:r>
      <w:r w:rsidR="00107172">
        <w:t xml:space="preserve"> counts</w:t>
      </w:r>
      <w:r w:rsidR="000F4F55">
        <w:t>.</w:t>
      </w:r>
    </w:p>
    <w:p w14:paraId="2827E78A" w14:textId="77777777" w:rsidR="00FE62EC" w:rsidRDefault="00FE62EC" w:rsidP="00EC032D"/>
    <w:p w14:paraId="1DEA58D4" w14:textId="279EF035" w:rsidR="00EC032D" w:rsidRDefault="00EC032D" w:rsidP="00EC032D">
      <w:r>
        <w:t xml:space="preserve">The management of </w:t>
      </w:r>
      <w:r w:rsidR="003B670B">
        <w:t>population counts</w:t>
      </w:r>
      <w:r>
        <w:t xml:space="preserve"> is governed</w:t>
      </w:r>
      <w:r w:rsidR="00EF5F7E">
        <w:t xml:space="preserve"> </w:t>
      </w:r>
      <w:r w:rsidR="00107172">
        <w:t xml:space="preserve">by </w:t>
      </w:r>
      <w:r w:rsidR="00EF5F7E">
        <w:t>senior staff and</w:t>
      </w:r>
      <w:r>
        <w:t xml:space="preserve"> </w:t>
      </w:r>
      <w:r w:rsidR="00EF5F7E">
        <w:t xml:space="preserve">includes a </w:t>
      </w:r>
      <w:r>
        <w:t xml:space="preserve">structured recording and reporting regime which provides transparency and accountability. </w:t>
      </w:r>
    </w:p>
    <w:p w14:paraId="1771D6FB" w14:textId="2F9C08DE" w:rsidR="000E5EFC" w:rsidRDefault="000E5EFC" w:rsidP="00EC032D"/>
    <w:p w14:paraId="425E7044" w14:textId="77777777" w:rsidR="00B22CFC" w:rsidRDefault="00FE62EC" w:rsidP="007658CA">
      <w:pPr>
        <w:pStyle w:val="Heading1"/>
        <w:spacing w:before="360" w:after="240"/>
      </w:pPr>
      <w:bookmarkStart w:id="8" w:name="_Toc153193755"/>
      <w:r>
        <w:t>Counts</w:t>
      </w:r>
      <w:bookmarkEnd w:id="8"/>
      <w:r>
        <w:t xml:space="preserve"> </w:t>
      </w:r>
    </w:p>
    <w:p w14:paraId="3C05C3D5" w14:textId="77777777" w:rsidR="00B22CFC" w:rsidRPr="00B22CFC" w:rsidRDefault="00B22CFC" w:rsidP="007658CA">
      <w:pPr>
        <w:pStyle w:val="Heading2"/>
      </w:pPr>
      <w:bookmarkStart w:id="9" w:name="_Toc153193756"/>
      <w:r>
        <w:t>Informal counts</w:t>
      </w:r>
      <w:bookmarkEnd w:id="9"/>
      <w:r>
        <w:t xml:space="preserve"> </w:t>
      </w:r>
    </w:p>
    <w:p w14:paraId="4436A822" w14:textId="7AFAD94F" w:rsidR="00B22CFC" w:rsidRPr="00B22CFC" w:rsidRDefault="00B22CFC" w:rsidP="007658CA">
      <w:pPr>
        <w:pStyle w:val="Heading3"/>
        <w:spacing w:before="240"/>
        <w:ind w:left="709"/>
      </w:pPr>
      <w:r>
        <w:t>Informal counts shall be conducted at regular intervals by supervising C</w:t>
      </w:r>
      <w:r w:rsidR="00617CFB">
        <w:t xml:space="preserve">ustodial </w:t>
      </w:r>
      <w:r>
        <w:t>O</w:t>
      </w:r>
      <w:r w:rsidR="00617CFB">
        <w:t>fficer</w:t>
      </w:r>
      <w:r>
        <w:t xml:space="preserve">s to ensure that each detainee in their care remains accounted for. </w:t>
      </w:r>
    </w:p>
    <w:p w14:paraId="7FDCED73" w14:textId="046FB57F" w:rsidR="004C2F43" w:rsidRDefault="00107172" w:rsidP="00B22CFC">
      <w:pPr>
        <w:pStyle w:val="Heading3"/>
        <w:ind w:left="709" w:hanging="709"/>
      </w:pPr>
      <w:r>
        <w:t>If</w:t>
      </w:r>
      <w:r w:rsidR="00B22CFC">
        <w:t xml:space="preserve"> any detainee cannot be accounted for, the supervising C</w:t>
      </w:r>
      <w:r w:rsidR="00617CFB">
        <w:t xml:space="preserve">ustodial </w:t>
      </w:r>
      <w:r w:rsidR="00B22CFC">
        <w:t>O</w:t>
      </w:r>
      <w:r w:rsidR="00617CFB">
        <w:t>fficer</w:t>
      </w:r>
      <w:r w:rsidR="00B22CFC">
        <w:t xml:space="preserve"> shall immediat</w:t>
      </w:r>
      <w:r w:rsidR="004C2F43">
        <w:t xml:space="preserve">ely endeavour to locate </w:t>
      </w:r>
      <w:r>
        <w:t>the detainee</w:t>
      </w:r>
      <w:r w:rsidR="004C2F43">
        <w:t xml:space="preserve"> and notify the Unit Manager.</w:t>
      </w:r>
    </w:p>
    <w:p w14:paraId="3F0926A3" w14:textId="6B464504" w:rsidR="0049081C" w:rsidRPr="0049081C" w:rsidRDefault="004C2F43" w:rsidP="0049081C">
      <w:pPr>
        <w:pStyle w:val="Heading3"/>
        <w:ind w:left="709" w:hanging="709"/>
      </w:pPr>
      <w:r>
        <w:t>In the event</w:t>
      </w:r>
      <w:r w:rsidR="000A7428">
        <w:t xml:space="preserve"> the detainee cannot be located, t</w:t>
      </w:r>
      <w:r>
        <w:t xml:space="preserve">he Unit Manager will notify the </w:t>
      </w:r>
      <w:r w:rsidR="00107172">
        <w:t xml:space="preserve">Senior Officer </w:t>
      </w:r>
      <w:r>
        <w:t xml:space="preserve">Operations and an emergency count </w:t>
      </w:r>
      <w:r w:rsidR="00107172">
        <w:t>must</w:t>
      </w:r>
      <w:r>
        <w:t xml:space="preserve"> occur, refer to </w:t>
      </w:r>
      <w:hyperlink w:anchor="_Emergency_counts" w:history="1">
        <w:r w:rsidR="00107172" w:rsidRPr="00FA2771">
          <w:rPr>
            <w:rStyle w:val="Hyperlink"/>
            <w:color w:val="auto"/>
            <w:u w:val="none"/>
          </w:rPr>
          <w:t>section 3.4 ‘Emergency Counts’</w:t>
        </w:r>
      </w:hyperlink>
      <w:r w:rsidRPr="00F50993">
        <w:t>.</w:t>
      </w:r>
    </w:p>
    <w:p w14:paraId="43D7D8EF" w14:textId="77777777" w:rsidR="00FE62EC" w:rsidRPr="00FE62EC" w:rsidRDefault="00FE62EC" w:rsidP="007658CA">
      <w:pPr>
        <w:pStyle w:val="Heading2"/>
      </w:pPr>
      <w:bookmarkStart w:id="10" w:name="_Toc153193757"/>
      <w:r>
        <w:t>Formal counts</w:t>
      </w:r>
      <w:bookmarkEnd w:id="10"/>
      <w:r>
        <w:t xml:space="preserve"> </w:t>
      </w:r>
    </w:p>
    <w:p w14:paraId="4AAA2416" w14:textId="32C00941" w:rsidR="00FE62EC" w:rsidRDefault="00FE62EC" w:rsidP="007658CA">
      <w:pPr>
        <w:pStyle w:val="Heading3"/>
        <w:spacing w:before="240"/>
        <w:ind w:left="709"/>
      </w:pPr>
      <w:r>
        <w:t>C</w:t>
      </w:r>
      <w:r w:rsidR="00617CFB">
        <w:t xml:space="preserve">ustodial </w:t>
      </w:r>
      <w:r>
        <w:t>O</w:t>
      </w:r>
      <w:r w:rsidR="00617CFB">
        <w:t>fficer</w:t>
      </w:r>
      <w:r w:rsidRPr="00FE62EC">
        <w:t>s shall physically sight (in person, not via cameras</w:t>
      </w:r>
      <w:r>
        <w:t>)</w:t>
      </w:r>
      <w:r w:rsidRPr="00FE62EC">
        <w:t xml:space="preserve"> and identify each </w:t>
      </w:r>
      <w:r>
        <w:t>detainee</w:t>
      </w:r>
      <w:r w:rsidRPr="00FE62EC">
        <w:t xml:space="preserve"> under their supervision when conducting formal population counts. </w:t>
      </w:r>
    </w:p>
    <w:p w14:paraId="4D3A3C03" w14:textId="77777777" w:rsidR="0049081C" w:rsidRPr="0049081C" w:rsidRDefault="0049081C" w:rsidP="0049081C"/>
    <w:p w14:paraId="7868FF40" w14:textId="51EDFE49" w:rsidR="00BB11B1" w:rsidRPr="003D5FAC" w:rsidRDefault="00DA595C" w:rsidP="003D5FAC">
      <w:pPr>
        <w:pStyle w:val="Heading3"/>
      </w:pPr>
      <w:r w:rsidRPr="003D5FAC">
        <w:lastRenderedPageBreak/>
        <w:t>When conducting detainee night checks, Custodial Officers shall ensure a part of the detainees body is visible or movement by the detainee is observed to confirm the detainees physical presence.</w:t>
      </w:r>
    </w:p>
    <w:p w14:paraId="27360C8E" w14:textId="766FA0D4" w:rsidR="00D337BE" w:rsidRDefault="00FE62EC" w:rsidP="00FE62EC">
      <w:pPr>
        <w:pStyle w:val="Heading3"/>
        <w:ind w:left="720"/>
      </w:pPr>
      <w:r w:rsidRPr="00FE62EC">
        <w:t xml:space="preserve">All formal counts shall be called by the </w:t>
      </w:r>
      <w:r w:rsidR="00D24B04">
        <w:t>S</w:t>
      </w:r>
      <w:r w:rsidR="00617CFB">
        <w:t xml:space="preserve">enior </w:t>
      </w:r>
      <w:r w:rsidR="00D24B04">
        <w:t>O</w:t>
      </w:r>
      <w:r w:rsidR="00617CFB">
        <w:t>fficer</w:t>
      </w:r>
      <w:r w:rsidR="00D24B04">
        <w:t xml:space="preserve"> Operations</w:t>
      </w:r>
      <w:r w:rsidRPr="00FE62EC">
        <w:t xml:space="preserve">. All </w:t>
      </w:r>
      <w:r w:rsidR="00E42695">
        <w:t>Y</w:t>
      </w:r>
      <w:r w:rsidR="00545E09">
        <w:t xml:space="preserve">DC </w:t>
      </w:r>
      <w:r w:rsidR="00A011AA">
        <w:t xml:space="preserve">and PCC </w:t>
      </w:r>
      <w:r w:rsidRPr="00FE62EC">
        <w:t xml:space="preserve">movement shall cease while all formal counts are being conducted. </w:t>
      </w:r>
    </w:p>
    <w:p w14:paraId="7C3742F8" w14:textId="6984D040" w:rsidR="00FE62EC" w:rsidRDefault="00FE62EC" w:rsidP="00FE62EC">
      <w:pPr>
        <w:pStyle w:val="Heading3"/>
        <w:ind w:left="720"/>
      </w:pPr>
      <w:r w:rsidRPr="00FE62EC">
        <w:t xml:space="preserve">During unlock hours, staff will be given a </w:t>
      </w:r>
      <w:r w:rsidR="00482CD5" w:rsidRPr="00FE62EC">
        <w:t>ten</w:t>
      </w:r>
      <w:r w:rsidR="00482CD5">
        <w:t>-minute</w:t>
      </w:r>
      <w:r w:rsidRPr="00FE62EC">
        <w:t xml:space="preserve"> warning prior to all formal counts being conducted to ensure movements cease. </w:t>
      </w:r>
    </w:p>
    <w:p w14:paraId="6F112245" w14:textId="77777777" w:rsidR="00FE62EC" w:rsidRPr="00FE62EC" w:rsidRDefault="00FE62EC" w:rsidP="00FE62EC">
      <w:pPr>
        <w:pStyle w:val="Heading3"/>
        <w:ind w:left="709" w:hanging="709"/>
      </w:pPr>
      <w:r w:rsidRPr="00FE62EC">
        <w:t xml:space="preserve">The </w:t>
      </w:r>
      <w:r w:rsidR="00D24B04">
        <w:t>S</w:t>
      </w:r>
      <w:r w:rsidR="00617CFB">
        <w:t xml:space="preserve">enior </w:t>
      </w:r>
      <w:r w:rsidR="00D24B04">
        <w:t>O</w:t>
      </w:r>
      <w:r w:rsidR="00617CFB">
        <w:t>fficer</w:t>
      </w:r>
      <w:r w:rsidR="00D24B04">
        <w:t xml:space="preserve"> Operations</w:t>
      </w:r>
      <w:r w:rsidRPr="00FE62EC">
        <w:t xml:space="preserve"> may call for a formal population count at any time to verify that all </w:t>
      </w:r>
      <w:r>
        <w:t>detainees</w:t>
      </w:r>
      <w:r w:rsidRPr="00FE62EC">
        <w:t xml:space="preserve"> are accounted for. </w:t>
      </w:r>
    </w:p>
    <w:p w14:paraId="7F5CACC5" w14:textId="5CF8975A" w:rsidR="00983B24" w:rsidRPr="00983B24" w:rsidRDefault="00FE62EC" w:rsidP="00983B24">
      <w:pPr>
        <w:pStyle w:val="Heading3"/>
        <w:ind w:left="720"/>
      </w:pPr>
      <w:r w:rsidRPr="00FE62EC">
        <w:t>All formal counts shall be recorded on the Total Offender Management Solution (TOMS). In the event staff are unable to submit a count on TOMS, the staff member shall forward their count to the Gatehouse Control</w:t>
      </w:r>
      <w:r w:rsidR="00617CFB">
        <w:t xml:space="preserve"> Officer</w:t>
      </w:r>
      <w:r w:rsidRPr="00FE62EC">
        <w:t xml:space="preserve">, who shall record the count on TOMS. Upon the count being recorded as correct on TOMS, the </w:t>
      </w:r>
      <w:r w:rsidR="00D24B04">
        <w:t>S</w:t>
      </w:r>
      <w:r w:rsidR="00617CFB">
        <w:t xml:space="preserve">enior </w:t>
      </w:r>
      <w:r w:rsidR="00D24B04">
        <w:t>O</w:t>
      </w:r>
      <w:r w:rsidR="00617CFB">
        <w:t>fficer</w:t>
      </w:r>
      <w:r w:rsidR="00D24B04">
        <w:t xml:space="preserve"> Operations</w:t>
      </w:r>
      <w:r w:rsidRPr="00FE62EC">
        <w:t xml:space="preserve"> is to be informed, who shall then call </w:t>
      </w:r>
      <w:r w:rsidR="00545E09">
        <w:t>the count correct via the radio. Movements can only recommence once a count is verified correct.</w:t>
      </w:r>
    </w:p>
    <w:p w14:paraId="215CFD93" w14:textId="6E78D421" w:rsidR="00983B24" w:rsidRDefault="00983B24" w:rsidP="00983B24">
      <w:pPr>
        <w:pStyle w:val="Heading3"/>
        <w:ind w:left="709" w:hanging="709"/>
      </w:pPr>
      <w:r>
        <w:t>Counts</w:t>
      </w:r>
      <w:r w:rsidR="000F6A54">
        <w:t xml:space="preserve"> at </w:t>
      </w:r>
      <w:r w:rsidR="00540AB6">
        <w:t>Banksia Hill Detention Centre (</w:t>
      </w:r>
      <w:r w:rsidR="000F6A54">
        <w:t>BH</w:t>
      </w:r>
      <w:r w:rsidR="00F47A9A">
        <w:t>Y</w:t>
      </w:r>
      <w:r w:rsidR="000F6A54">
        <w:t>DC</w:t>
      </w:r>
      <w:r w:rsidR="00540AB6">
        <w:t>)</w:t>
      </w:r>
      <w:r>
        <w:t xml:space="preserve"> shall be conducted </w:t>
      </w:r>
      <w:r w:rsidR="00545E09">
        <w:t>at</w:t>
      </w:r>
      <w:r>
        <w:t xml:space="preserve"> the following times</w:t>
      </w:r>
      <w:r w:rsidR="00545E09">
        <w:t xml:space="preserve"> as practicable or as </w:t>
      </w:r>
      <w:r>
        <w:t xml:space="preserve">determined by the </w:t>
      </w:r>
      <w:r w:rsidR="00D24B04">
        <w:t>S</w:t>
      </w:r>
      <w:r w:rsidR="00617CFB">
        <w:t xml:space="preserve">enior </w:t>
      </w:r>
      <w:r w:rsidR="00D24B04">
        <w:t>O</w:t>
      </w:r>
      <w:r w:rsidR="00617CFB">
        <w:t>fficer</w:t>
      </w:r>
      <w:r w:rsidR="00D24B04">
        <w:t xml:space="preserve"> Operations</w:t>
      </w:r>
      <w:r>
        <w:t xml:space="preserve">: </w:t>
      </w:r>
    </w:p>
    <w:p w14:paraId="0778BB8F" w14:textId="5F9AC69B" w:rsidR="00983B24" w:rsidRPr="00F50993" w:rsidRDefault="00DB15C0" w:rsidP="00F50993">
      <w:pPr>
        <w:pStyle w:val="ListNumber"/>
        <w:ind w:left="1418" w:hanging="681"/>
      </w:pPr>
      <w:r w:rsidRPr="00F50993">
        <w:t>e</w:t>
      </w:r>
      <w:r w:rsidR="00983B24" w:rsidRPr="00F50993">
        <w:t xml:space="preserve">very day except </w:t>
      </w:r>
      <w:r w:rsidR="00127E1F" w:rsidRPr="00F50993">
        <w:t xml:space="preserve">where </w:t>
      </w:r>
      <w:r w:rsidR="00953EE1" w:rsidRPr="00F50993">
        <w:t>an afternoon lockdown</w:t>
      </w:r>
      <w:r w:rsidR="00127E1F" w:rsidRPr="00F50993">
        <w:t xml:space="preserve"> occurs</w:t>
      </w:r>
      <w:r w:rsidR="00983B24" w:rsidRPr="00F50993">
        <w:t xml:space="preserve">: </w:t>
      </w:r>
      <w:r w:rsidR="00FA2771" w:rsidRPr="00F50993">
        <w:t>0</w:t>
      </w:r>
      <w:r w:rsidR="00983B24" w:rsidRPr="00F50993">
        <w:t>6</w:t>
      </w:r>
      <w:r w:rsidR="00E95952" w:rsidRPr="00F50993">
        <w:t>.</w:t>
      </w:r>
      <w:r w:rsidR="00983B24" w:rsidRPr="00F50993">
        <w:t>00</w:t>
      </w:r>
      <w:r w:rsidR="00FA2771" w:rsidRPr="00F50993">
        <w:t>hrs</w:t>
      </w:r>
      <w:r w:rsidR="00983B24" w:rsidRPr="00F50993">
        <w:t xml:space="preserve">, </w:t>
      </w:r>
      <w:r w:rsidR="00FA2771" w:rsidRPr="00F50993">
        <w:t>0</w:t>
      </w:r>
      <w:r w:rsidR="00983B24" w:rsidRPr="00F50993">
        <w:t>9</w:t>
      </w:r>
      <w:r w:rsidR="00E95952" w:rsidRPr="00F50993">
        <w:t>.</w:t>
      </w:r>
      <w:r w:rsidR="00983B24" w:rsidRPr="00F50993">
        <w:t>15</w:t>
      </w:r>
      <w:r w:rsidR="00FA2771" w:rsidRPr="00F50993">
        <w:t>hrs</w:t>
      </w:r>
      <w:r w:rsidR="00983B24" w:rsidRPr="00F50993">
        <w:t xml:space="preserve">, </w:t>
      </w:r>
      <w:r w:rsidR="00D24B04" w:rsidRPr="00F50993">
        <w:t>12</w:t>
      </w:r>
      <w:r w:rsidR="00E95952" w:rsidRPr="00F50993">
        <w:t>.</w:t>
      </w:r>
      <w:r w:rsidR="00D24B04" w:rsidRPr="00F50993">
        <w:t>15</w:t>
      </w:r>
      <w:r w:rsidR="00FA2771" w:rsidRPr="00F50993">
        <w:t>hrs</w:t>
      </w:r>
      <w:r w:rsidR="00D24B04" w:rsidRPr="00F50993">
        <w:t xml:space="preserve">, </w:t>
      </w:r>
      <w:r w:rsidR="00E95952" w:rsidRPr="00F50993">
        <w:t>1</w:t>
      </w:r>
      <w:r w:rsidR="00FA2771" w:rsidRPr="00F50993">
        <w:t>3</w:t>
      </w:r>
      <w:r w:rsidR="00E95952" w:rsidRPr="00F50993">
        <w:t>.</w:t>
      </w:r>
      <w:r w:rsidR="00983B24" w:rsidRPr="00F50993">
        <w:t>15</w:t>
      </w:r>
      <w:r w:rsidR="00FA2771" w:rsidRPr="00F50993">
        <w:t>hrs</w:t>
      </w:r>
      <w:r w:rsidR="00983B24" w:rsidRPr="00F50993">
        <w:t xml:space="preserve">, </w:t>
      </w:r>
      <w:r w:rsidR="00FA2771" w:rsidRPr="00F50993">
        <w:t>15</w:t>
      </w:r>
      <w:r w:rsidR="00E95952" w:rsidRPr="00F50993">
        <w:t>.</w:t>
      </w:r>
      <w:r w:rsidR="00983B24" w:rsidRPr="00F50993">
        <w:t>15</w:t>
      </w:r>
      <w:r w:rsidR="00FA2771" w:rsidRPr="00F50993">
        <w:t>hrs</w:t>
      </w:r>
      <w:r w:rsidR="00983B24" w:rsidRPr="00F50993">
        <w:t xml:space="preserve">, </w:t>
      </w:r>
      <w:r w:rsidR="00FA2771" w:rsidRPr="00F50993">
        <w:t>19</w:t>
      </w:r>
      <w:r w:rsidR="00E95952" w:rsidRPr="00F50993">
        <w:t>.</w:t>
      </w:r>
      <w:r w:rsidR="00983B24" w:rsidRPr="00F50993">
        <w:t>15</w:t>
      </w:r>
      <w:r w:rsidR="00E95952" w:rsidRPr="00F50993">
        <w:t>pm</w:t>
      </w:r>
      <w:r w:rsidR="00983B24" w:rsidRPr="00F50993">
        <w:t xml:space="preserve">, and between </w:t>
      </w:r>
      <w:r w:rsidR="00E95952" w:rsidRPr="00F50993">
        <w:t>12.</w:t>
      </w:r>
      <w:r w:rsidR="00983B24" w:rsidRPr="00F50993">
        <w:t>01</w:t>
      </w:r>
      <w:r w:rsidR="00FA2771" w:rsidRPr="00F50993">
        <w:t>hrs</w:t>
      </w:r>
      <w:r w:rsidR="00983B24" w:rsidRPr="00F50993">
        <w:t xml:space="preserve"> and </w:t>
      </w:r>
      <w:r w:rsidR="00FA2771" w:rsidRPr="00F50993">
        <w:t>0</w:t>
      </w:r>
      <w:r w:rsidR="00983B24" w:rsidRPr="00F50993">
        <w:t>1</w:t>
      </w:r>
      <w:r w:rsidR="00E95952" w:rsidRPr="00F50993">
        <w:t>.</w:t>
      </w:r>
      <w:r w:rsidR="00983B24" w:rsidRPr="00F50993">
        <w:t>15</w:t>
      </w:r>
      <w:r w:rsidR="00FA2771" w:rsidRPr="00F50993">
        <w:t>hrs</w:t>
      </w:r>
      <w:r w:rsidR="00983B24" w:rsidRPr="00F50993">
        <w:t xml:space="preserve">. </w:t>
      </w:r>
    </w:p>
    <w:p w14:paraId="3DC0178B" w14:textId="15FD8150" w:rsidR="00983B24" w:rsidRPr="00F50993" w:rsidRDefault="00DB15C0" w:rsidP="00F50993">
      <w:pPr>
        <w:pStyle w:val="ListNumber"/>
        <w:ind w:left="1418" w:hanging="681"/>
      </w:pPr>
      <w:r w:rsidRPr="00F50993">
        <w:t>a</w:t>
      </w:r>
      <w:r w:rsidR="00983B24" w:rsidRPr="00F50993">
        <w:t>ny afternoon where an afternoon lockdown (</w:t>
      </w:r>
      <w:r w:rsidR="00853B37" w:rsidRPr="00F50993">
        <w:t>e.g.,</w:t>
      </w:r>
      <w:r w:rsidR="00983B24" w:rsidRPr="00F50993">
        <w:t xml:space="preserve"> for</w:t>
      </w:r>
      <w:r w:rsidR="00E95952" w:rsidRPr="00F50993">
        <w:t xml:space="preserve"> staff training) is scheduled: </w:t>
      </w:r>
      <w:r w:rsidR="00AF1740" w:rsidRPr="00F50993">
        <w:t>0</w:t>
      </w:r>
      <w:r w:rsidR="00983B24" w:rsidRPr="00F50993">
        <w:t>6</w:t>
      </w:r>
      <w:r w:rsidR="00E95952" w:rsidRPr="00F50993">
        <w:t>.</w:t>
      </w:r>
      <w:r w:rsidR="00983B24" w:rsidRPr="00F50993">
        <w:t>00</w:t>
      </w:r>
      <w:r w:rsidR="00AF1740" w:rsidRPr="00F50993">
        <w:t>hrs</w:t>
      </w:r>
      <w:r w:rsidR="00983B24" w:rsidRPr="00F50993">
        <w:t xml:space="preserve">, </w:t>
      </w:r>
      <w:r w:rsidR="00AF1740" w:rsidRPr="00F50993">
        <w:t>0</w:t>
      </w:r>
      <w:r w:rsidR="00983B24" w:rsidRPr="00F50993">
        <w:t>9</w:t>
      </w:r>
      <w:r w:rsidR="00E95952" w:rsidRPr="00F50993">
        <w:t>.</w:t>
      </w:r>
      <w:r w:rsidR="00983B24" w:rsidRPr="00F50993">
        <w:t>15</w:t>
      </w:r>
      <w:r w:rsidR="00AF1740" w:rsidRPr="00F50993">
        <w:t>hrs</w:t>
      </w:r>
      <w:r w:rsidR="00983B24" w:rsidRPr="00F50993">
        <w:t>, 12</w:t>
      </w:r>
      <w:r w:rsidR="00E95952" w:rsidRPr="00F50993">
        <w:t>.</w:t>
      </w:r>
      <w:r w:rsidR="00983B24" w:rsidRPr="00F50993">
        <w:t>30</w:t>
      </w:r>
      <w:r w:rsidR="00E95952" w:rsidRPr="00F50993">
        <w:t>pm</w:t>
      </w:r>
      <w:r w:rsidR="00983B24" w:rsidRPr="00F50993">
        <w:t xml:space="preserve">, </w:t>
      </w:r>
      <w:r w:rsidR="00FA2771" w:rsidRPr="00F50993">
        <w:t>16</w:t>
      </w:r>
      <w:r w:rsidR="00E95952" w:rsidRPr="00F50993">
        <w:t>.</w:t>
      </w:r>
      <w:r w:rsidR="00983B24" w:rsidRPr="00F50993">
        <w:t>00</w:t>
      </w:r>
      <w:r w:rsidR="00AF1740" w:rsidRPr="00F50993">
        <w:t>hrs</w:t>
      </w:r>
      <w:r w:rsidR="00983B24" w:rsidRPr="00F50993">
        <w:t xml:space="preserve">, </w:t>
      </w:r>
      <w:r w:rsidR="00AF1740" w:rsidRPr="00F50993">
        <w:t>19</w:t>
      </w:r>
      <w:r w:rsidR="00E95952" w:rsidRPr="00F50993">
        <w:t>.</w:t>
      </w:r>
      <w:r w:rsidR="00983B24" w:rsidRPr="00F50993">
        <w:t>15</w:t>
      </w:r>
      <w:r w:rsidR="00AF1740" w:rsidRPr="00F50993">
        <w:t>hrs</w:t>
      </w:r>
      <w:r w:rsidR="00983B24" w:rsidRPr="00F50993">
        <w:t xml:space="preserve">, and between </w:t>
      </w:r>
      <w:r w:rsidR="00E95952" w:rsidRPr="00F50993">
        <w:t>12.</w:t>
      </w:r>
      <w:r w:rsidR="00983B24" w:rsidRPr="00F50993">
        <w:t>01</w:t>
      </w:r>
      <w:r w:rsidR="00AF1740" w:rsidRPr="00F50993">
        <w:t>hrs</w:t>
      </w:r>
      <w:r w:rsidR="00E95952" w:rsidRPr="00F50993">
        <w:t xml:space="preserve"> and</w:t>
      </w:r>
      <w:r w:rsidR="00953EE1" w:rsidRPr="00F50993">
        <w:t xml:space="preserve"> </w:t>
      </w:r>
      <w:r w:rsidR="00AF1740" w:rsidRPr="00F50993">
        <w:t>0</w:t>
      </w:r>
      <w:r w:rsidR="00983B24" w:rsidRPr="00F50993">
        <w:t>1</w:t>
      </w:r>
      <w:r w:rsidR="00E95952" w:rsidRPr="00F50993">
        <w:t>.</w:t>
      </w:r>
      <w:r w:rsidR="00983B24" w:rsidRPr="00F50993">
        <w:t>15</w:t>
      </w:r>
      <w:r w:rsidR="00AF1740" w:rsidRPr="00F50993">
        <w:t>hrs</w:t>
      </w:r>
      <w:r w:rsidR="00983B24" w:rsidRPr="00F50993">
        <w:t xml:space="preserve">. </w:t>
      </w:r>
    </w:p>
    <w:p w14:paraId="76512771" w14:textId="045DC63C" w:rsidR="000F6A54" w:rsidRDefault="00DB15C0" w:rsidP="000E5EFC">
      <w:pPr>
        <w:pStyle w:val="ListNumber"/>
        <w:numPr>
          <w:ilvl w:val="0"/>
          <w:numId w:val="0"/>
        </w:numPr>
        <w:ind w:left="1418"/>
      </w:pPr>
      <w:r w:rsidRPr="00F50993">
        <w:t>w</w:t>
      </w:r>
      <w:r w:rsidR="00983B24" w:rsidRPr="00F50993">
        <w:t>eekends and pub</w:t>
      </w:r>
      <w:r w:rsidR="00E95952" w:rsidRPr="00F50993">
        <w:t xml:space="preserve">lic holidays: </w:t>
      </w:r>
      <w:r w:rsidR="00973F63" w:rsidRPr="00F50993">
        <w:t>0</w:t>
      </w:r>
      <w:r w:rsidR="00E95952" w:rsidRPr="00F50993">
        <w:t>6.</w:t>
      </w:r>
      <w:r w:rsidR="00D24B04" w:rsidRPr="00F50993">
        <w:t>00</w:t>
      </w:r>
      <w:r w:rsidR="00973F63" w:rsidRPr="00F50993">
        <w:t>hrs</w:t>
      </w:r>
      <w:r w:rsidR="00D24B04" w:rsidRPr="00F50993">
        <w:t>, 12</w:t>
      </w:r>
      <w:r w:rsidR="00E95952" w:rsidRPr="00F50993">
        <w:t>.</w:t>
      </w:r>
      <w:r w:rsidR="00D24B04" w:rsidRPr="00F50993">
        <w:t>00</w:t>
      </w:r>
      <w:r w:rsidR="00973F63" w:rsidRPr="00F50993">
        <w:t>pm, 16</w:t>
      </w:r>
      <w:r w:rsidR="00E95952" w:rsidRPr="00F50993">
        <w:t>.</w:t>
      </w:r>
      <w:r w:rsidR="00D24B04" w:rsidRPr="00F50993">
        <w:t>00</w:t>
      </w:r>
      <w:r w:rsidR="00973F63" w:rsidRPr="00F50993">
        <w:t>hrs</w:t>
      </w:r>
      <w:r w:rsidR="00D24B04" w:rsidRPr="00F50993">
        <w:t xml:space="preserve">, </w:t>
      </w:r>
      <w:r w:rsidR="00973F63" w:rsidRPr="00F50993">
        <w:t>19</w:t>
      </w:r>
      <w:r w:rsidR="00E95952" w:rsidRPr="00F50993">
        <w:t>.</w:t>
      </w:r>
      <w:r w:rsidR="00983B24" w:rsidRPr="00F50993">
        <w:t>15</w:t>
      </w:r>
      <w:r w:rsidR="00973F63" w:rsidRPr="00F50993">
        <w:t>hrs</w:t>
      </w:r>
      <w:r w:rsidR="00983B24" w:rsidRPr="00F50993">
        <w:t xml:space="preserve">, and between </w:t>
      </w:r>
      <w:r w:rsidR="00E95952" w:rsidRPr="00F50993">
        <w:t>12.</w:t>
      </w:r>
      <w:r w:rsidR="00983B24" w:rsidRPr="00F50993">
        <w:t>01</w:t>
      </w:r>
      <w:r w:rsidR="00973F63" w:rsidRPr="00F50993">
        <w:t>hrs</w:t>
      </w:r>
      <w:r w:rsidR="00983B24" w:rsidRPr="00F50993">
        <w:t xml:space="preserve"> and </w:t>
      </w:r>
      <w:r w:rsidR="00973F63" w:rsidRPr="00F50993">
        <w:t>0</w:t>
      </w:r>
      <w:r w:rsidR="00983B24" w:rsidRPr="00F50993">
        <w:t>1</w:t>
      </w:r>
      <w:r w:rsidR="00E95952" w:rsidRPr="00F50993">
        <w:t>.</w:t>
      </w:r>
      <w:r w:rsidR="00983B24" w:rsidRPr="00F50993">
        <w:t>15</w:t>
      </w:r>
      <w:r w:rsidR="00973F63" w:rsidRPr="00F50993">
        <w:t>hrs</w:t>
      </w:r>
      <w:r w:rsidR="00983B24" w:rsidRPr="00F50993">
        <w:t xml:space="preserve">. </w:t>
      </w:r>
    </w:p>
    <w:p w14:paraId="428D7ED1" w14:textId="2B54B56F" w:rsidR="00A662FC" w:rsidRPr="00FD2455" w:rsidRDefault="00A662FC" w:rsidP="00983B24">
      <w:pPr>
        <w:pStyle w:val="Heading3"/>
        <w:ind w:left="709" w:hanging="709"/>
      </w:pPr>
      <w:r w:rsidRPr="00983B24">
        <w:t xml:space="preserve">Counts shall be conducted to account for </w:t>
      </w:r>
      <w:r>
        <w:t>detainees</w:t>
      </w:r>
      <w:r w:rsidRPr="00983B24">
        <w:t xml:space="preserve"> at a time suitable to the </w:t>
      </w:r>
      <w:r>
        <w:t>S</w:t>
      </w:r>
      <w:r w:rsidR="00953EE1">
        <w:t xml:space="preserve">enior </w:t>
      </w:r>
      <w:r>
        <w:t>O</w:t>
      </w:r>
      <w:r w:rsidR="00953EE1">
        <w:t>fficer</w:t>
      </w:r>
      <w:r>
        <w:t xml:space="preserve"> Operations</w:t>
      </w:r>
      <w:r w:rsidRPr="00983B24">
        <w:t xml:space="preserve"> in </w:t>
      </w:r>
      <w:r w:rsidR="00B61A85">
        <w:t>the event of a late lockup (</w:t>
      </w:r>
      <w:hyperlink r:id="rId16" w:history="1">
        <w:r w:rsidR="00F47A9A" w:rsidRPr="00A95B5D">
          <w:rPr>
            <w:rStyle w:val="Hyperlink"/>
          </w:rPr>
          <w:t xml:space="preserve">BHYDC </w:t>
        </w:r>
        <w:r w:rsidR="00D337BE" w:rsidRPr="00A95B5D">
          <w:rPr>
            <w:rStyle w:val="Hyperlink"/>
          </w:rPr>
          <w:t>COPP 6.9 – Unit Management and Timetables</w:t>
        </w:r>
      </w:hyperlink>
      <w:r w:rsidRPr="00983B24">
        <w:t xml:space="preserve">). </w:t>
      </w:r>
    </w:p>
    <w:p w14:paraId="4946E9F9" w14:textId="77777777" w:rsidR="00CE0755" w:rsidRPr="00CE0755" w:rsidRDefault="00983B24" w:rsidP="007658CA">
      <w:pPr>
        <w:pStyle w:val="Heading2"/>
      </w:pPr>
      <w:bookmarkStart w:id="11" w:name="_Toc153193758"/>
      <w:r>
        <w:t>Incorrect counts</w:t>
      </w:r>
      <w:bookmarkEnd w:id="11"/>
      <w:r>
        <w:t xml:space="preserve"> </w:t>
      </w:r>
    </w:p>
    <w:p w14:paraId="5F5A622A" w14:textId="232B0D13" w:rsidR="00BB11B1" w:rsidRPr="00BB11B1" w:rsidRDefault="00545E09" w:rsidP="007658CA">
      <w:pPr>
        <w:pStyle w:val="Heading3"/>
        <w:spacing w:before="240"/>
        <w:ind w:left="709" w:hanging="709"/>
      </w:pPr>
      <w:r>
        <w:t>Where</w:t>
      </w:r>
      <w:r w:rsidR="00CE0755" w:rsidRPr="00CE0755">
        <w:t xml:space="preserve"> a count is incorrect, the count is to be re-conducted with </w:t>
      </w:r>
      <w:r>
        <w:t xml:space="preserve">all detainees </w:t>
      </w:r>
      <w:r w:rsidR="00CE0755" w:rsidRPr="00CE0755">
        <w:t xml:space="preserve">remaining in their locations. </w:t>
      </w:r>
    </w:p>
    <w:p w14:paraId="27A70F23" w14:textId="37FCF6E5" w:rsidR="00A662FC" w:rsidRDefault="00A662FC" w:rsidP="00A662FC">
      <w:pPr>
        <w:pStyle w:val="Heading3"/>
        <w:ind w:left="709"/>
      </w:pPr>
      <w:r>
        <w:t xml:space="preserve">In the event that </w:t>
      </w:r>
      <w:r w:rsidR="00953EE1">
        <w:t xml:space="preserve">two </w:t>
      </w:r>
      <w:r>
        <w:t xml:space="preserve">incorrect counts have </w:t>
      </w:r>
      <w:r w:rsidR="00071D2F">
        <w:t>occurred</w:t>
      </w:r>
      <w:r>
        <w:t>, all detainees shall be secured in the nearest secure area (</w:t>
      </w:r>
      <w:r w:rsidR="00BD0824">
        <w:t>i.e.,</w:t>
      </w:r>
      <w:r w:rsidR="00071D2F">
        <w:t xml:space="preserve"> </w:t>
      </w:r>
      <w:r>
        <w:t>classroom, gymnasium) and a re-count shall be conducted. All gate movements shall cease.</w:t>
      </w:r>
    </w:p>
    <w:p w14:paraId="4EFC7F57" w14:textId="77777777" w:rsidR="00A662FC" w:rsidRDefault="00A662FC" w:rsidP="00A662FC">
      <w:pPr>
        <w:pStyle w:val="Heading3"/>
        <w:ind w:left="709"/>
      </w:pPr>
      <w:r>
        <w:t xml:space="preserve">Staff shall then ensure that each detainee is positively identified and accounted for using TOMS report ‘Unit Count - By Cell’. </w:t>
      </w:r>
    </w:p>
    <w:p w14:paraId="22DACA26" w14:textId="2E1B724C" w:rsidR="0049081C" w:rsidRPr="003D5FAC" w:rsidRDefault="006D026D" w:rsidP="0049081C">
      <w:pPr>
        <w:pStyle w:val="Heading3"/>
        <w:ind w:left="709"/>
      </w:pPr>
      <w:r>
        <w:t xml:space="preserve">If an </w:t>
      </w:r>
      <w:r w:rsidR="00A662FC">
        <w:t xml:space="preserve">incorrect </w:t>
      </w:r>
      <w:r>
        <w:t xml:space="preserve">count occurs </w:t>
      </w:r>
      <w:r w:rsidR="00A662FC">
        <w:t xml:space="preserve">on a third occasion, refer </w:t>
      </w:r>
      <w:r w:rsidR="0049081C">
        <w:t xml:space="preserve">to </w:t>
      </w:r>
      <w:r>
        <w:t>section 3.4 ‘</w:t>
      </w:r>
      <w:hyperlink w:anchor="_Emergency_counts" w:history="1">
        <w:r w:rsidRPr="0049081C">
          <w:rPr>
            <w:rStyle w:val="Hyperlink"/>
            <w:color w:val="auto"/>
            <w:u w:val="none"/>
          </w:rPr>
          <w:t>Emergency counts</w:t>
        </w:r>
      </w:hyperlink>
      <w:r w:rsidRPr="003D5FAC">
        <w:t>’.</w:t>
      </w:r>
    </w:p>
    <w:p w14:paraId="6DFC9384" w14:textId="77777777" w:rsidR="00BB11B1" w:rsidRPr="00BB11B1" w:rsidRDefault="00BB11B1" w:rsidP="00BB11B1"/>
    <w:p w14:paraId="7B42892F" w14:textId="77777777" w:rsidR="00B22CFC" w:rsidRDefault="00CE0755" w:rsidP="007658CA">
      <w:pPr>
        <w:pStyle w:val="Heading2"/>
      </w:pPr>
      <w:bookmarkStart w:id="12" w:name="_Emergency_counts"/>
      <w:bookmarkEnd w:id="12"/>
      <w:r>
        <w:lastRenderedPageBreak/>
        <w:t xml:space="preserve"> </w:t>
      </w:r>
      <w:bookmarkStart w:id="13" w:name="_Toc153193759"/>
      <w:r w:rsidR="00B22CFC">
        <w:t>Emergency counts</w:t>
      </w:r>
      <w:bookmarkEnd w:id="13"/>
      <w:r w:rsidR="00B22CFC">
        <w:t xml:space="preserve"> </w:t>
      </w:r>
    </w:p>
    <w:p w14:paraId="4295D453" w14:textId="336D6AF7" w:rsidR="007D1C0F" w:rsidRPr="007D1C0F" w:rsidRDefault="007D1C0F" w:rsidP="007658CA">
      <w:pPr>
        <w:pStyle w:val="Heading3"/>
        <w:spacing w:before="240"/>
        <w:ind w:left="709"/>
      </w:pPr>
      <w:r w:rsidRPr="007D1C0F">
        <w:t xml:space="preserve">Emergency counts shall be conducted </w:t>
      </w:r>
      <w:r w:rsidR="006D026D">
        <w:t>where</w:t>
      </w:r>
      <w:r w:rsidRPr="007D1C0F">
        <w:t xml:space="preserve"> </w:t>
      </w:r>
      <w:r w:rsidR="00953EE1">
        <w:t xml:space="preserve">three </w:t>
      </w:r>
      <w:r w:rsidRPr="007D1C0F">
        <w:t xml:space="preserve">formal counts have been reported as incorrect, or where determined as required by the </w:t>
      </w:r>
      <w:r w:rsidR="00D24B04" w:rsidRPr="00D24B04">
        <w:t>S</w:t>
      </w:r>
      <w:r w:rsidR="00953EE1">
        <w:t xml:space="preserve">enior </w:t>
      </w:r>
      <w:r w:rsidR="00D24B04" w:rsidRPr="00D24B04">
        <w:t>O</w:t>
      </w:r>
      <w:r w:rsidR="00953EE1">
        <w:t>fficer</w:t>
      </w:r>
      <w:r w:rsidR="00D24B04" w:rsidRPr="00D24B04">
        <w:t xml:space="preserve"> Operations </w:t>
      </w:r>
      <w:r w:rsidRPr="00D24B04">
        <w:t>in</w:t>
      </w:r>
      <w:r w:rsidRPr="007D1C0F">
        <w:t xml:space="preserve"> the event of a critical incident. In these cases, the following process shall be followed: </w:t>
      </w:r>
    </w:p>
    <w:p w14:paraId="08FF3E8F" w14:textId="77777777" w:rsidR="007D1C0F" w:rsidRPr="007D1C0F" w:rsidRDefault="007D1C0F" w:rsidP="0049482D">
      <w:pPr>
        <w:pStyle w:val="ListNumber"/>
        <w:numPr>
          <w:ilvl w:val="0"/>
          <w:numId w:val="6"/>
        </w:numPr>
        <w:tabs>
          <w:tab w:val="left" w:pos="1134"/>
        </w:tabs>
      </w:pPr>
      <w:r w:rsidRPr="007D1C0F">
        <w:t xml:space="preserve">All </w:t>
      </w:r>
      <w:r>
        <w:t>detainees</w:t>
      </w:r>
      <w:r w:rsidRPr="007D1C0F">
        <w:t xml:space="preserve"> shall return to their living units and be secured in their cells. </w:t>
      </w:r>
    </w:p>
    <w:p w14:paraId="430FB596" w14:textId="77777777" w:rsidR="007D1C0F" w:rsidRPr="007D1C0F" w:rsidRDefault="007D1C0F" w:rsidP="0049482D">
      <w:pPr>
        <w:pStyle w:val="ListNumber"/>
        <w:tabs>
          <w:tab w:val="left" w:pos="1134"/>
        </w:tabs>
        <w:ind w:left="1134" w:hanging="425"/>
      </w:pPr>
      <w:r w:rsidRPr="007D1C0F">
        <w:t xml:space="preserve">Unit staff shall then ensure that each </w:t>
      </w:r>
      <w:r>
        <w:t>detainee</w:t>
      </w:r>
      <w:r w:rsidRPr="007D1C0F">
        <w:t xml:space="preserve"> is positively identified and accounted for using TOMS report ‘Unit Count - By Cell’. </w:t>
      </w:r>
    </w:p>
    <w:p w14:paraId="4CB619D4" w14:textId="6D34545A" w:rsidR="007D1C0F" w:rsidRPr="007D1C0F" w:rsidRDefault="007D1C0F" w:rsidP="00540AB6">
      <w:pPr>
        <w:pStyle w:val="ListNumber"/>
        <w:tabs>
          <w:tab w:val="left" w:pos="1134"/>
        </w:tabs>
        <w:ind w:left="1134" w:hanging="425"/>
      </w:pPr>
      <w:r w:rsidRPr="007D1C0F">
        <w:t xml:space="preserve">Counts are to be submitted on TOMS. In the event a </w:t>
      </w:r>
      <w:r w:rsidR="00365059">
        <w:t>C</w:t>
      </w:r>
      <w:r w:rsidR="00953EE1">
        <w:t xml:space="preserve">ustodial </w:t>
      </w:r>
      <w:r w:rsidR="00365059">
        <w:t>O</w:t>
      </w:r>
      <w:r w:rsidR="00953EE1">
        <w:t>fficer</w:t>
      </w:r>
      <w:r w:rsidRPr="007D1C0F">
        <w:t xml:space="preserve"> cannot submit their count on TOMS, they shall forward their count to the Gatehouse Control</w:t>
      </w:r>
      <w:r w:rsidR="00953EE1">
        <w:t xml:space="preserve"> Officer</w:t>
      </w:r>
      <w:r w:rsidRPr="007D1C0F">
        <w:t>, who</w:t>
      </w:r>
      <w:r w:rsidR="00365059">
        <w:t xml:space="preserve"> shall record the count on TOMS</w:t>
      </w:r>
      <w:r w:rsidRPr="007D1C0F">
        <w:t xml:space="preserve">. Upon the count being recorded as correct on TOMS, the </w:t>
      </w:r>
      <w:r w:rsidR="00D24B04">
        <w:t>S</w:t>
      </w:r>
      <w:r w:rsidR="00953EE1">
        <w:t xml:space="preserve">enior </w:t>
      </w:r>
      <w:r w:rsidR="00D24B04">
        <w:t>O</w:t>
      </w:r>
      <w:r w:rsidR="00953EE1">
        <w:t>fficer</w:t>
      </w:r>
      <w:r w:rsidR="00D24B04">
        <w:t xml:space="preserve"> Operations</w:t>
      </w:r>
      <w:r w:rsidRPr="007D1C0F">
        <w:t xml:space="preserve"> is to be informed, who shall then call the count correct via the radio, at which time movements can recommence. </w:t>
      </w:r>
    </w:p>
    <w:p w14:paraId="7D624CB0" w14:textId="60AACFF4" w:rsidR="00263E2E" w:rsidRDefault="007D1C0F" w:rsidP="00263E2E">
      <w:pPr>
        <w:pStyle w:val="Heading3"/>
      </w:pPr>
      <w:r w:rsidRPr="00F50993">
        <w:t>In</w:t>
      </w:r>
      <w:r w:rsidRPr="007D1C0F">
        <w:t xml:space="preserve"> the event the count remains incorrect, emergency management procedures relating to the escape of a </w:t>
      </w:r>
      <w:r w:rsidR="00365059">
        <w:t>detainee</w:t>
      </w:r>
      <w:r w:rsidRPr="007D1C0F">
        <w:t xml:space="preserve"> shall be followed</w:t>
      </w:r>
      <w:r w:rsidR="002F1DC7">
        <w:t>.</w:t>
      </w:r>
    </w:p>
    <w:p w14:paraId="7AF7E9D5" w14:textId="77777777" w:rsidR="00263E2E" w:rsidRPr="00263E2E" w:rsidRDefault="00263E2E" w:rsidP="00455891">
      <w:pPr>
        <w:pStyle w:val="Heading2"/>
      </w:pPr>
      <w:bookmarkStart w:id="14" w:name="_Toc137724376"/>
      <w:bookmarkStart w:id="15" w:name="_Toc153193760"/>
      <w:r w:rsidRPr="00263E2E">
        <w:t>Perth Children’s Court Custody Centre</w:t>
      </w:r>
      <w:bookmarkEnd w:id="14"/>
      <w:bookmarkEnd w:id="15"/>
      <w:r w:rsidRPr="00263E2E">
        <w:t xml:space="preserve"> </w:t>
      </w:r>
    </w:p>
    <w:p w14:paraId="13D29860" w14:textId="77777777" w:rsidR="00263E2E" w:rsidRPr="00263E2E" w:rsidRDefault="00263E2E" w:rsidP="007658CA">
      <w:pPr>
        <w:keepNext/>
        <w:keepLines/>
        <w:numPr>
          <w:ilvl w:val="2"/>
          <w:numId w:val="1"/>
        </w:numPr>
        <w:spacing w:before="240" w:after="120"/>
        <w:ind w:left="709" w:hanging="709"/>
        <w:outlineLvl w:val="2"/>
        <w:rPr>
          <w:rFonts w:eastAsia="MS Gothic"/>
          <w:bCs/>
          <w:color w:val="000000" w:themeColor="text1"/>
          <w:szCs w:val="26"/>
        </w:rPr>
      </w:pPr>
      <w:r w:rsidRPr="00263E2E">
        <w:rPr>
          <w:rFonts w:eastAsia="MS Gothic"/>
          <w:bCs/>
          <w:color w:val="000000" w:themeColor="text1"/>
          <w:szCs w:val="26"/>
        </w:rPr>
        <w:t>The Senior Officer PCC Custody Centre shall be responsible for ensuring that formal population counts are conducted throughout the course of a business day. The population count shall be recorded in the PCC Control Occurrence Book.</w:t>
      </w:r>
    </w:p>
    <w:p w14:paraId="112C686E" w14:textId="77777777" w:rsidR="00263E2E" w:rsidRPr="00263E2E" w:rsidRDefault="00263E2E" w:rsidP="00263E2E">
      <w:pPr>
        <w:keepNext/>
        <w:keepLines/>
        <w:numPr>
          <w:ilvl w:val="2"/>
          <w:numId w:val="1"/>
        </w:numPr>
        <w:spacing w:before="200" w:after="120"/>
        <w:ind w:left="709" w:hanging="709"/>
        <w:outlineLvl w:val="2"/>
        <w:rPr>
          <w:rFonts w:eastAsia="MS Gothic"/>
          <w:bCs/>
          <w:color w:val="000000" w:themeColor="text1"/>
          <w:szCs w:val="26"/>
        </w:rPr>
      </w:pPr>
      <w:r w:rsidRPr="00263E2E">
        <w:rPr>
          <w:rFonts w:eastAsia="MS Gothic"/>
          <w:bCs/>
          <w:color w:val="000000" w:themeColor="text1"/>
          <w:szCs w:val="26"/>
        </w:rPr>
        <w:t>Formal counts shall be conducted at approximately 09.45hrs (following the main movement of people in custody into the PCC Custody Centre and prior to the commencement of court movements), at approximately 13.30 hrs (prior to the recommencement of court movements for the afternoon).</w:t>
      </w:r>
    </w:p>
    <w:p w14:paraId="6FAEF75C" w14:textId="77777777" w:rsidR="00263E2E" w:rsidRPr="00263E2E" w:rsidRDefault="00263E2E" w:rsidP="00263E2E">
      <w:pPr>
        <w:keepNext/>
        <w:keepLines/>
        <w:numPr>
          <w:ilvl w:val="2"/>
          <w:numId w:val="4"/>
        </w:numPr>
        <w:spacing w:before="200" w:after="120"/>
        <w:ind w:left="709"/>
        <w:outlineLvl w:val="2"/>
        <w:rPr>
          <w:rFonts w:eastAsia="MS Gothic"/>
          <w:bCs/>
          <w:color w:val="000000" w:themeColor="text1"/>
          <w:szCs w:val="26"/>
        </w:rPr>
      </w:pPr>
      <w:r w:rsidRPr="00263E2E">
        <w:rPr>
          <w:rFonts w:eastAsia="MS Gothic"/>
          <w:bCs/>
          <w:color w:val="000000" w:themeColor="text1"/>
          <w:szCs w:val="26"/>
        </w:rPr>
        <w:t>Formal counts shall be checked against the running population counts documented in the PCC Control Occurrence Book.</w:t>
      </w:r>
    </w:p>
    <w:p w14:paraId="2654757E" w14:textId="65908729" w:rsidR="00263E2E" w:rsidRPr="00263E2E" w:rsidRDefault="00263E2E" w:rsidP="00263E2E">
      <w:pPr>
        <w:keepNext/>
        <w:keepLines/>
        <w:numPr>
          <w:ilvl w:val="2"/>
          <w:numId w:val="1"/>
        </w:numPr>
        <w:spacing w:before="200" w:after="120"/>
        <w:ind w:left="709" w:hanging="709"/>
        <w:outlineLvl w:val="2"/>
        <w:rPr>
          <w:rFonts w:eastAsia="MS Gothic"/>
          <w:bCs/>
          <w:color w:val="000000" w:themeColor="text1"/>
          <w:szCs w:val="26"/>
        </w:rPr>
      </w:pPr>
      <w:r w:rsidRPr="00263E2E">
        <w:rPr>
          <w:rFonts w:eastAsia="MS Gothic"/>
          <w:bCs/>
          <w:color w:val="000000" w:themeColor="text1"/>
          <w:szCs w:val="26"/>
        </w:rPr>
        <w:t xml:space="preserve">In the event a count remains incorrect, the processes stated in </w:t>
      </w:r>
      <w:hyperlink r:id="rId17" w:history="1">
        <w:r w:rsidRPr="00765EF4">
          <w:rPr>
            <w:rStyle w:val="Hyperlink"/>
            <w:rFonts w:eastAsia="MS Gothic"/>
            <w:bCs/>
            <w:szCs w:val="26"/>
          </w:rPr>
          <w:t>COPP 12.1 Management of Perth Children’s Court Custody Centre</w:t>
        </w:r>
      </w:hyperlink>
      <w:r w:rsidR="00765EF4">
        <w:rPr>
          <w:rFonts w:eastAsia="MS Gothic"/>
          <w:bCs/>
          <w:color w:val="0000FF"/>
          <w:szCs w:val="26"/>
          <w:u w:val="single"/>
        </w:rPr>
        <w:t xml:space="preserve"> </w:t>
      </w:r>
      <w:r w:rsidR="00765EF4" w:rsidRPr="00765EF4">
        <w:rPr>
          <w:rFonts w:eastAsia="MS Gothic"/>
          <w:bCs/>
          <w:szCs w:val="26"/>
        </w:rPr>
        <w:t>sha</w:t>
      </w:r>
      <w:r w:rsidR="00765EF4">
        <w:rPr>
          <w:rFonts w:eastAsia="MS Gothic"/>
          <w:bCs/>
          <w:szCs w:val="26"/>
        </w:rPr>
        <w:t xml:space="preserve">ll </w:t>
      </w:r>
      <w:r w:rsidRPr="00263E2E">
        <w:rPr>
          <w:rFonts w:eastAsia="MS Gothic"/>
          <w:bCs/>
          <w:color w:val="000000" w:themeColor="text1"/>
          <w:szCs w:val="26"/>
        </w:rPr>
        <w:t xml:space="preserve">be followed. </w:t>
      </w:r>
    </w:p>
    <w:p w14:paraId="426F1E66" w14:textId="22902701" w:rsidR="003D5FAC" w:rsidRDefault="003D5FAC" w:rsidP="00A95B5D">
      <w:pPr>
        <w:ind w:left="709" w:hanging="709"/>
      </w:pPr>
      <w:r>
        <w:rPr>
          <w:b/>
          <w:bCs/>
        </w:rPr>
        <w:br w:type="page"/>
      </w:r>
    </w:p>
    <w:p w14:paraId="30017A35" w14:textId="3FABF1FC" w:rsidR="00DC6B5E" w:rsidRDefault="00DC6B5E" w:rsidP="00DC6B5E">
      <w:pPr>
        <w:pStyle w:val="Heading1"/>
      </w:pPr>
      <w:bookmarkStart w:id="16" w:name="_Toc153193761"/>
      <w:r>
        <w:lastRenderedPageBreak/>
        <w:t>Annexures</w:t>
      </w:r>
      <w:bookmarkEnd w:id="16"/>
    </w:p>
    <w:p w14:paraId="43BA2064" w14:textId="6ADEA1B6" w:rsidR="00DC6B5E" w:rsidRDefault="00EA5019" w:rsidP="00DC6B5E">
      <w:pPr>
        <w:pStyle w:val="Heading2"/>
      </w:pPr>
      <w:bookmarkStart w:id="17" w:name="_Toc153193762"/>
      <w:r>
        <w:t>Related COPPs</w:t>
      </w:r>
      <w:r w:rsidR="00DC6B5E">
        <w:t xml:space="preserve"> and documents</w:t>
      </w:r>
      <w:bookmarkEnd w:id="17"/>
    </w:p>
    <w:p w14:paraId="56796DB3" w14:textId="3406FEBF" w:rsidR="00283E79" w:rsidRPr="00283E79" w:rsidRDefault="00000000" w:rsidP="003D5FAC">
      <w:pPr>
        <w:pStyle w:val="ListBullet"/>
      </w:pPr>
      <w:hyperlink r:id="rId18" w:history="1">
        <w:r w:rsidR="00F47A9A" w:rsidRPr="00DF38A5">
          <w:rPr>
            <w:rStyle w:val="Hyperlink"/>
          </w:rPr>
          <w:t xml:space="preserve">BHYDC </w:t>
        </w:r>
        <w:r w:rsidR="00980456" w:rsidRPr="00DF38A5">
          <w:rPr>
            <w:rStyle w:val="Hyperlink"/>
          </w:rPr>
          <w:t>COPP 6.9 – Unit Management and Timetables</w:t>
        </w:r>
      </w:hyperlink>
    </w:p>
    <w:p w14:paraId="0B724FE9" w14:textId="6484056B" w:rsidR="00DC6B5E" w:rsidRPr="00F50993" w:rsidRDefault="00000000" w:rsidP="003D5FAC">
      <w:pPr>
        <w:pStyle w:val="ListBullet"/>
      </w:pPr>
      <w:hyperlink r:id="rId19" w:history="1">
        <w:r w:rsidR="00980456" w:rsidRPr="00DF38A5">
          <w:rPr>
            <w:rStyle w:val="Hyperlink"/>
          </w:rPr>
          <w:t>COPP 12.1 – Management of Perth Children’s Court Custody Centre</w:t>
        </w:r>
      </w:hyperlink>
    </w:p>
    <w:p w14:paraId="5F9FBB87" w14:textId="56BDB5EA" w:rsidR="003D708E" w:rsidRDefault="00ED4DFA" w:rsidP="003D5FAC">
      <w:pPr>
        <w:pStyle w:val="ListBullet"/>
      </w:pPr>
      <w:r>
        <w:t>Local</w:t>
      </w:r>
      <w:r w:rsidR="00DC6B5E" w:rsidRPr="00022EE7">
        <w:t xml:space="preserve"> Emergency Management Plan </w:t>
      </w:r>
    </w:p>
    <w:p w14:paraId="0DEA041C" w14:textId="511E32DB" w:rsidR="003D708E" w:rsidRDefault="003D708E" w:rsidP="003D708E">
      <w:pPr>
        <w:pStyle w:val="Heading2"/>
      </w:pPr>
      <w:bookmarkStart w:id="18" w:name="_Toc153193763"/>
      <w:r>
        <w:t>Definitions</w:t>
      </w:r>
      <w:bookmarkEnd w:id="18"/>
      <w:r>
        <w:t xml:space="preserve"> </w:t>
      </w:r>
    </w:p>
    <w:p w14:paraId="65AC6662" w14:textId="77777777" w:rsidR="003D708E" w:rsidRPr="003D708E" w:rsidRDefault="003D708E" w:rsidP="003D708E"/>
    <w:tbl>
      <w:tblPr>
        <w:tblStyle w:val="DCStable"/>
        <w:tblW w:w="9351" w:type="dxa"/>
        <w:tblCellMar>
          <w:top w:w="57" w:type="dxa"/>
          <w:left w:w="85" w:type="dxa"/>
          <w:bottom w:w="57" w:type="dxa"/>
          <w:right w:w="85" w:type="dxa"/>
        </w:tblCellMar>
        <w:tblLook w:val="04A0" w:firstRow="1" w:lastRow="0" w:firstColumn="1" w:lastColumn="0" w:noHBand="0" w:noVBand="1"/>
      </w:tblPr>
      <w:tblGrid>
        <w:gridCol w:w="1980"/>
        <w:gridCol w:w="7371"/>
      </w:tblGrid>
      <w:tr w:rsidR="003D708E" w:rsidRPr="000E6F0A" w14:paraId="5513EE50" w14:textId="77777777" w:rsidTr="00F50993">
        <w:trPr>
          <w:cnfStyle w:val="100000000000" w:firstRow="1" w:lastRow="0" w:firstColumn="0" w:lastColumn="0" w:oddVBand="0" w:evenVBand="0" w:oddHBand="0" w:evenHBand="0" w:firstRowFirstColumn="0" w:firstRowLastColumn="0" w:lastRowFirstColumn="0" w:lastRowLastColumn="0"/>
          <w:tblHeader/>
        </w:trPr>
        <w:tc>
          <w:tcPr>
            <w:tcW w:w="1980" w:type="dxa"/>
          </w:tcPr>
          <w:p w14:paraId="21E0B0FE" w14:textId="77777777" w:rsidR="003D708E" w:rsidRPr="00CF6125" w:rsidRDefault="003D708E" w:rsidP="00DF778C">
            <w:pPr>
              <w:pStyle w:val="Tableheading"/>
            </w:pPr>
            <w:r>
              <w:t>Term</w:t>
            </w:r>
          </w:p>
        </w:tc>
        <w:tc>
          <w:tcPr>
            <w:tcW w:w="7371" w:type="dxa"/>
          </w:tcPr>
          <w:p w14:paraId="43F2CF9F" w14:textId="77777777" w:rsidR="003D708E" w:rsidRPr="00CF6125" w:rsidRDefault="003D708E" w:rsidP="00DF778C">
            <w:pPr>
              <w:pStyle w:val="Tableheading"/>
            </w:pPr>
            <w:r>
              <w:t xml:space="preserve">Definition </w:t>
            </w:r>
          </w:p>
        </w:tc>
      </w:tr>
      <w:tr w:rsidR="003D708E" w:rsidRPr="000E6F0A" w14:paraId="398443B7" w14:textId="77777777" w:rsidTr="00F50993">
        <w:tc>
          <w:tcPr>
            <w:tcW w:w="1980" w:type="dxa"/>
          </w:tcPr>
          <w:p w14:paraId="78AA4DF3" w14:textId="77777777" w:rsidR="003D708E" w:rsidRPr="005435AD" w:rsidRDefault="004E7A01" w:rsidP="00DF778C">
            <w:pPr>
              <w:pStyle w:val="Tabledata"/>
              <w:rPr>
                <w:b/>
              </w:rPr>
            </w:pPr>
            <w:r>
              <w:t>Assistant Superintendent</w:t>
            </w:r>
          </w:p>
        </w:tc>
        <w:tc>
          <w:tcPr>
            <w:tcW w:w="7371" w:type="dxa"/>
          </w:tcPr>
          <w:p w14:paraId="387D49C8" w14:textId="77777777" w:rsidR="003D708E" w:rsidRPr="00344FBE" w:rsidRDefault="004E7A01" w:rsidP="00DF778C">
            <w:pPr>
              <w:pStyle w:val="Tabledata"/>
            </w:pPr>
            <w:r w:rsidRPr="009061E0">
              <w:t xml:space="preserve">Officers designated by the Superintendent to be an Assistant Superintendent of </w:t>
            </w:r>
            <w:r>
              <w:t>Banksia Hill Detention Centre.</w:t>
            </w:r>
          </w:p>
        </w:tc>
      </w:tr>
      <w:tr w:rsidR="003D708E" w14:paraId="0C6B9AE0" w14:textId="77777777" w:rsidTr="00F50993">
        <w:tc>
          <w:tcPr>
            <w:tcW w:w="1980" w:type="dxa"/>
          </w:tcPr>
          <w:p w14:paraId="1615BCF8" w14:textId="77777777" w:rsidR="003D708E" w:rsidRPr="005435AD" w:rsidRDefault="00C91009" w:rsidP="00C91009">
            <w:pPr>
              <w:pStyle w:val="Tabledata"/>
              <w:rPr>
                <w:b/>
              </w:rPr>
            </w:pPr>
            <w:r>
              <w:t xml:space="preserve">Commissioner’s Operating </w:t>
            </w:r>
            <w:r w:rsidR="004E7A01">
              <w:t>Policy and Procedures (COPP)</w:t>
            </w:r>
          </w:p>
        </w:tc>
        <w:tc>
          <w:tcPr>
            <w:tcW w:w="7371" w:type="dxa"/>
          </w:tcPr>
          <w:p w14:paraId="5AFF3A47" w14:textId="41A88435" w:rsidR="001746C6" w:rsidRPr="00344FBE" w:rsidRDefault="001746C6" w:rsidP="00DF778C">
            <w:pPr>
              <w:pStyle w:val="Tabledata"/>
            </w:pPr>
            <w:r w:rsidRPr="00DB0114">
              <w:rPr>
                <w:rFonts w:cs="Arial"/>
              </w:rPr>
              <w:t>COPPs are policy documents that provide instructions to staff as to how the relevant legislative requirements are implemented.</w:t>
            </w:r>
          </w:p>
        </w:tc>
      </w:tr>
      <w:tr w:rsidR="001746C6" w14:paraId="2E461B7F" w14:textId="77777777" w:rsidTr="00F50993">
        <w:tc>
          <w:tcPr>
            <w:tcW w:w="1980" w:type="dxa"/>
          </w:tcPr>
          <w:p w14:paraId="0B148592" w14:textId="61762B23" w:rsidR="001746C6" w:rsidRDefault="00B037E2" w:rsidP="00B037E2">
            <w:pPr>
              <w:pStyle w:val="Tabledata"/>
            </w:pPr>
            <w:r>
              <w:rPr>
                <w:rFonts w:cs="Arial"/>
              </w:rPr>
              <w:t>Custodial Officer</w:t>
            </w:r>
          </w:p>
        </w:tc>
        <w:tc>
          <w:tcPr>
            <w:tcW w:w="7371" w:type="dxa"/>
          </w:tcPr>
          <w:p w14:paraId="2D54EE48" w14:textId="09EC67AA" w:rsidR="001746C6" w:rsidRPr="00FA2771" w:rsidRDefault="00B037E2" w:rsidP="00FA2771">
            <w:pPr>
              <w:rPr>
                <w:rFonts w:eastAsia="Calibri" w:cs="Arial"/>
              </w:rPr>
            </w:pPr>
            <w:r w:rsidRPr="00B037E2">
              <w:rPr>
                <w:rFonts w:eastAsia="Calibri" w:cs="Arial"/>
              </w:rPr>
              <w:t xml:space="preserve">An officer with custodial functions, appointed under section 11(1) of the </w:t>
            </w:r>
            <w:r w:rsidRPr="00B037E2">
              <w:rPr>
                <w:rFonts w:eastAsia="Calibri" w:cs="Arial"/>
                <w:i/>
              </w:rPr>
              <w:t>Young Offenders Act 1994</w:t>
            </w:r>
            <w:r w:rsidRPr="00B037E2">
              <w:rPr>
                <w:rFonts w:eastAsia="Calibri" w:cs="Arial"/>
              </w:rPr>
              <w:t xml:space="preserve">; or a person who is appointed under section 11(1a)(a) as a custodial officer. This includes but is not limited to Youth Custodial Officers, Unit Managers and Senior Officers. </w:t>
            </w:r>
          </w:p>
        </w:tc>
      </w:tr>
      <w:tr w:rsidR="002A6E52" w14:paraId="626CF174" w14:textId="77777777" w:rsidTr="00F50993">
        <w:tc>
          <w:tcPr>
            <w:tcW w:w="1980" w:type="dxa"/>
          </w:tcPr>
          <w:p w14:paraId="17213821" w14:textId="109602AA" w:rsidR="002A6E52" w:rsidRDefault="002A6E52" w:rsidP="00953EE1">
            <w:pPr>
              <w:pStyle w:val="Tabledata"/>
            </w:pPr>
            <w:r w:rsidRPr="007A38A3">
              <w:t xml:space="preserve">Deputy Commissioner </w:t>
            </w:r>
            <w:r>
              <w:t>Women and Young People</w:t>
            </w:r>
          </w:p>
        </w:tc>
        <w:tc>
          <w:tcPr>
            <w:tcW w:w="7371" w:type="dxa"/>
          </w:tcPr>
          <w:p w14:paraId="05BA982F" w14:textId="262279BF" w:rsidR="002A6E52" w:rsidRDefault="00435844" w:rsidP="00FA2771">
            <w:r w:rsidRPr="002E2693">
              <w:rPr>
                <w:rFonts w:cs="Arial"/>
              </w:rPr>
              <w:t xml:space="preserve">The position designated by the Commissioner as responsible for the management of the </w:t>
            </w:r>
            <w:r>
              <w:rPr>
                <w:rFonts w:cs="Arial"/>
              </w:rPr>
              <w:t>Women and Young People</w:t>
            </w:r>
            <w:r w:rsidRPr="002E2693">
              <w:rPr>
                <w:rFonts w:cs="Arial"/>
              </w:rPr>
              <w:t xml:space="preserve"> Directorate within the Corrective Services Division of the Department of Justice.</w:t>
            </w:r>
          </w:p>
        </w:tc>
      </w:tr>
      <w:tr w:rsidR="002A6E52" w14:paraId="54DDE691" w14:textId="77777777" w:rsidTr="00F50993">
        <w:tc>
          <w:tcPr>
            <w:tcW w:w="1980" w:type="dxa"/>
          </w:tcPr>
          <w:p w14:paraId="0877D9B1" w14:textId="77777777" w:rsidR="002A6E52" w:rsidRPr="007A38A3" w:rsidRDefault="002A6E52" w:rsidP="00DF778C">
            <w:pPr>
              <w:pStyle w:val="Tabledata"/>
            </w:pPr>
            <w:r>
              <w:t>Detainee</w:t>
            </w:r>
          </w:p>
        </w:tc>
        <w:tc>
          <w:tcPr>
            <w:tcW w:w="7371" w:type="dxa"/>
          </w:tcPr>
          <w:p w14:paraId="6E6E8803" w14:textId="77777777" w:rsidR="0026223B" w:rsidRPr="00F37BA2" w:rsidRDefault="0026223B" w:rsidP="0026223B">
            <w:pPr>
              <w:rPr>
                <w:rFonts w:cs="Arial"/>
                <w:lang w:eastAsia="en-AU"/>
              </w:rPr>
            </w:pPr>
            <w:r w:rsidRPr="00F37BA2">
              <w:rPr>
                <w:rFonts w:cs="Arial"/>
                <w:lang w:eastAsia="en-AU"/>
              </w:rPr>
              <w:t>Any young person who is detained in a detention centre. The term detainee also describes a young person, who is alleged to be an offender or who is remanded in custody, prior to being dealt with by the Courts.</w:t>
            </w:r>
          </w:p>
          <w:p w14:paraId="2164C856" w14:textId="77777777" w:rsidR="0026223B" w:rsidRPr="00F37BA2" w:rsidRDefault="0026223B" w:rsidP="0026223B">
            <w:pPr>
              <w:rPr>
                <w:rFonts w:cs="Arial"/>
                <w:lang w:eastAsia="en-AU"/>
              </w:rPr>
            </w:pPr>
          </w:p>
          <w:p w14:paraId="78E71A03" w14:textId="32665ECA" w:rsidR="0026223B" w:rsidRPr="002A6E52" w:rsidRDefault="0026223B" w:rsidP="0026223B">
            <w:pPr>
              <w:rPr>
                <w:rFonts w:eastAsia="Times New Roman"/>
                <w:lang w:eastAsia="en-AU"/>
              </w:rPr>
            </w:pPr>
            <w:r w:rsidRPr="00F37BA2">
              <w:t xml:space="preserve">Means a person who is detained in a detention centre as defined in s.3 </w:t>
            </w:r>
            <w:r w:rsidRPr="00F37BA2">
              <w:rPr>
                <w:i/>
              </w:rPr>
              <w:t>Young Offenders Act 1994</w:t>
            </w:r>
            <w:r w:rsidRPr="00F37BA2">
              <w:t>.</w:t>
            </w:r>
          </w:p>
        </w:tc>
      </w:tr>
      <w:tr w:rsidR="004E7A01" w14:paraId="2EE127F2" w14:textId="77777777" w:rsidTr="00F50993">
        <w:tc>
          <w:tcPr>
            <w:tcW w:w="1980" w:type="dxa"/>
          </w:tcPr>
          <w:p w14:paraId="784BFB33" w14:textId="77777777" w:rsidR="004E7A01" w:rsidRDefault="004E7A01" w:rsidP="00DF778C">
            <w:pPr>
              <w:pStyle w:val="Tabledata"/>
            </w:pPr>
            <w:r w:rsidRPr="00AA1B37">
              <w:rPr>
                <w:rFonts w:cs="Arial"/>
              </w:rPr>
              <w:t>Officers and Employees of Particular Classes</w:t>
            </w:r>
          </w:p>
        </w:tc>
        <w:tc>
          <w:tcPr>
            <w:tcW w:w="7371" w:type="dxa"/>
          </w:tcPr>
          <w:p w14:paraId="15F0C0DA" w14:textId="77777777" w:rsidR="004E7A01" w:rsidRPr="004E7A01" w:rsidRDefault="004E7A01" w:rsidP="004E7A01">
            <w:pPr>
              <w:rPr>
                <w:rFonts w:eastAsia="Times New Roman" w:cs="Arial"/>
                <w:lang w:eastAsia="en-AU"/>
              </w:rPr>
            </w:pPr>
            <w:r w:rsidRPr="004E7A01">
              <w:rPr>
                <w:rFonts w:eastAsia="Times New Roman" w:cs="Arial"/>
                <w:lang w:eastAsia="en-AU"/>
              </w:rPr>
              <w:t>The following descriptions of classes of officers and employees are prescribed for the purpose of s</w:t>
            </w:r>
            <w:r w:rsidR="00953EE1">
              <w:rPr>
                <w:rFonts w:eastAsia="Times New Roman" w:cs="Arial"/>
                <w:lang w:eastAsia="en-AU"/>
              </w:rPr>
              <w:t>ection</w:t>
            </w:r>
            <w:r w:rsidRPr="004E7A01">
              <w:rPr>
                <w:rFonts w:eastAsia="Times New Roman" w:cs="Arial"/>
                <w:lang w:eastAsia="en-AU"/>
              </w:rPr>
              <w:t xml:space="preserve"> 11(1a)(b) of the </w:t>
            </w:r>
            <w:r w:rsidRPr="004E7A01">
              <w:rPr>
                <w:rFonts w:eastAsia="Times New Roman" w:cs="Arial"/>
                <w:i/>
                <w:lang w:eastAsia="en-AU"/>
              </w:rPr>
              <w:t>Young Offenders Act 1994</w:t>
            </w:r>
            <w:r w:rsidRPr="004E7A01">
              <w:rPr>
                <w:rFonts w:eastAsia="Times New Roman" w:cs="Arial"/>
                <w:lang w:eastAsia="en-AU"/>
              </w:rPr>
              <w:t>, in r</w:t>
            </w:r>
            <w:r w:rsidR="00953EE1">
              <w:rPr>
                <w:rFonts w:eastAsia="Times New Roman" w:cs="Arial"/>
                <w:lang w:eastAsia="en-AU"/>
              </w:rPr>
              <w:t>egulation</w:t>
            </w:r>
            <w:r w:rsidRPr="004E7A01">
              <w:rPr>
                <w:rFonts w:eastAsia="Times New Roman" w:cs="Arial"/>
                <w:lang w:eastAsia="en-AU"/>
              </w:rPr>
              <w:t xml:space="preserve"> 49(2) of the </w:t>
            </w:r>
            <w:r w:rsidRPr="004E7A01">
              <w:rPr>
                <w:rFonts w:eastAsia="Times New Roman" w:cs="Arial"/>
                <w:i/>
                <w:lang w:eastAsia="en-AU"/>
              </w:rPr>
              <w:t>Young Offender Regulations 1995</w:t>
            </w:r>
            <w:r w:rsidRPr="004E7A01">
              <w:rPr>
                <w:rFonts w:eastAsia="Times New Roman" w:cs="Arial"/>
                <w:lang w:eastAsia="en-AU"/>
              </w:rPr>
              <w:t>:</w:t>
            </w:r>
          </w:p>
          <w:p w14:paraId="50231F45" w14:textId="4DD826BA" w:rsidR="004E7A01" w:rsidRPr="004E7A01" w:rsidRDefault="004E7A01" w:rsidP="004E7A01">
            <w:pPr>
              <w:rPr>
                <w:rFonts w:eastAsia="Times New Roman" w:cs="Arial"/>
                <w:lang w:eastAsia="en-AU"/>
              </w:rPr>
            </w:pPr>
            <w:r w:rsidRPr="004E7A01">
              <w:rPr>
                <w:rFonts w:eastAsia="Times New Roman" w:cs="Arial"/>
                <w:lang w:eastAsia="en-AU"/>
              </w:rPr>
              <w:t>a) Medical staff persons who have undergone medical, nursing or health training and hold qualifications indicating successful completion of that training.</w:t>
            </w:r>
          </w:p>
          <w:p w14:paraId="6E737D1E" w14:textId="78529C63" w:rsidR="004E7A01" w:rsidRPr="004E7A01" w:rsidRDefault="004E7A01" w:rsidP="004E7A01">
            <w:pPr>
              <w:rPr>
                <w:rFonts w:eastAsia="Times New Roman" w:cs="Arial"/>
                <w:lang w:eastAsia="en-AU"/>
              </w:rPr>
            </w:pPr>
            <w:r w:rsidRPr="004E7A01">
              <w:rPr>
                <w:rFonts w:eastAsia="Times New Roman" w:cs="Arial"/>
                <w:lang w:eastAsia="en-AU"/>
              </w:rPr>
              <w:t>b) Teaching staff persons who provide recreation or sports supervision, teachers, vocational trainers and social trainers.</w:t>
            </w:r>
          </w:p>
          <w:p w14:paraId="5F93ED0B" w14:textId="1446749C" w:rsidR="004E7A01" w:rsidRPr="004E7A01" w:rsidRDefault="004E7A01" w:rsidP="004E7A01">
            <w:pPr>
              <w:rPr>
                <w:rFonts w:eastAsia="Times New Roman" w:cs="Arial"/>
                <w:lang w:eastAsia="en-AU"/>
              </w:rPr>
            </w:pPr>
            <w:r w:rsidRPr="004E7A01">
              <w:rPr>
                <w:rFonts w:eastAsia="Times New Roman" w:cs="Arial"/>
                <w:lang w:eastAsia="en-AU"/>
              </w:rPr>
              <w:t>c) Program support staff counsellors, program facilitators and librarians.</w:t>
            </w:r>
          </w:p>
          <w:p w14:paraId="48F9B6A8" w14:textId="6DF434D9" w:rsidR="004E7A01" w:rsidRDefault="004E7A01" w:rsidP="004E7A01">
            <w:pPr>
              <w:pStyle w:val="Tabledata"/>
            </w:pPr>
            <w:r w:rsidRPr="004E7A01">
              <w:rPr>
                <w:rFonts w:eastAsia="MS Mincho" w:cs="Arial"/>
                <w:lang w:eastAsia="en-US"/>
              </w:rPr>
              <w:t>d) Centre support staff cleaning staff, laundry staff, gardening staff, vehicle driving staff, maintenance staff and hairdressers.</w:t>
            </w:r>
          </w:p>
        </w:tc>
      </w:tr>
      <w:tr w:rsidR="004E7A01" w14:paraId="3FF2986E" w14:textId="77777777" w:rsidTr="00F50993">
        <w:tc>
          <w:tcPr>
            <w:tcW w:w="1980" w:type="dxa"/>
          </w:tcPr>
          <w:p w14:paraId="7F1B9FE2" w14:textId="77777777" w:rsidR="004E7A01" w:rsidRDefault="004E7A01" w:rsidP="00DF778C">
            <w:pPr>
              <w:pStyle w:val="Tabledata"/>
            </w:pPr>
            <w:r>
              <w:lastRenderedPageBreak/>
              <w:t>Public Service Officer</w:t>
            </w:r>
          </w:p>
        </w:tc>
        <w:tc>
          <w:tcPr>
            <w:tcW w:w="7371" w:type="dxa"/>
          </w:tcPr>
          <w:p w14:paraId="61D1929E" w14:textId="77777777" w:rsidR="004E7A01" w:rsidRDefault="004E7A01" w:rsidP="00DF778C">
            <w:pPr>
              <w:pStyle w:val="Tabledata"/>
            </w:pPr>
            <w:r>
              <w:t xml:space="preserve">An </w:t>
            </w:r>
            <w:r w:rsidRPr="00E06243">
              <w:t xml:space="preserve">officer employed in the State Government Public Service, subject to Part 3 of the </w:t>
            </w:r>
            <w:r w:rsidRPr="00263F2C">
              <w:rPr>
                <w:i/>
              </w:rPr>
              <w:t>Public Sector Management Act 1994</w:t>
            </w:r>
            <w:r w:rsidRPr="00E06243">
              <w:t xml:space="preserve"> and includes such officers and other persons as are necessary to implement or administer this Act.</w:t>
            </w:r>
          </w:p>
        </w:tc>
      </w:tr>
      <w:tr w:rsidR="00D35845" w14:paraId="683D2FEC" w14:textId="77777777" w:rsidTr="00F50993">
        <w:tc>
          <w:tcPr>
            <w:tcW w:w="1980" w:type="dxa"/>
          </w:tcPr>
          <w:p w14:paraId="58CE966A" w14:textId="77777777" w:rsidR="00D35845" w:rsidRDefault="00D35845" w:rsidP="00DF778C">
            <w:pPr>
              <w:pStyle w:val="Tabledata"/>
            </w:pPr>
            <w:r>
              <w:t xml:space="preserve">Population Counts </w:t>
            </w:r>
          </w:p>
        </w:tc>
        <w:tc>
          <w:tcPr>
            <w:tcW w:w="7371" w:type="dxa"/>
          </w:tcPr>
          <w:p w14:paraId="086D5447" w14:textId="62D22487" w:rsidR="00CC350E" w:rsidRDefault="00CC350E" w:rsidP="00CC350E">
            <w:r>
              <w:t xml:space="preserve">A daily regime of identification checks for </w:t>
            </w:r>
            <w:r w:rsidR="004D0E39">
              <w:t>detainees</w:t>
            </w:r>
            <w:r w:rsidR="00664F1A">
              <w:t xml:space="preserve"> </w:t>
            </w:r>
            <w:r>
              <w:t xml:space="preserve">in custody. </w:t>
            </w:r>
          </w:p>
          <w:p w14:paraId="6546CD41" w14:textId="77777777" w:rsidR="00D35845" w:rsidRDefault="00D35845" w:rsidP="00DF778C">
            <w:pPr>
              <w:pStyle w:val="Tabledata"/>
            </w:pPr>
          </w:p>
        </w:tc>
      </w:tr>
      <w:tr w:rsidR="004E7A01" w14:paraId="7D08C306" w14:textId="77777777" w:rsidTr="00F50993">
        <w:tc>
          <w:tcPr>
            <w:tcW w:w="1980" w:type="dxa"/>
          </w:tcPr>
          <w:p w14:paraId="0E644D80" w14:textId="482E8429" w:rsidR="004E7A01" w:rsidRDefault="004E7A01" w:rsidP="00DF778C">
            <w:pPr>
              <w:pStyle w:val="Tabledata"/>
            </w:pPr>
            <w:r>
              <w:t>Senior Officer</w:t>
            </w:r>
          </w:p>
        </w:tc>
        <w:tc>
          <w:tcPr>
            <w:tcW w:w="7371" w:type="dxa"/>
          </w:tcPr>
          <w:p w14:paraId="38FDD608" w14:textId="77777777" w:rsidR="004E7A01" w:rsidRDefault="004E7A01" w:rsidP="00DF778C">
            <w:pPr>
              <w:pStyle w:val="Tabledata"/>
            </w:pPr>
            <w:r w:rsidRPr="004D344D">
              <w:t xml:space="preserve">A Youth Custodial Officer who is substantive to this rank, or a Unit Manager, or Youth Custodial Officer acting in the capacity of Senior Officer, appointed by the Chief Executive Officer with reference to s11 of the </w:t>
            </w:r>
            <w:r w:rsidRPr="004D344D">
              <w:rPr>
                <w:i/>
              </w:rPr>
              <w:t>Young Offenders Act 1994</w:t>
            </w:r>
            <w:r>
              <w:rPr>
                <w:i/>
              </w:rPr>
              <w:t>.</w:t>
            </w:r>
          </w:p>
        </w:tc>
      </w:tr>
      <w:tr w:rsidR="004E7A01" w14:paraId="617A0451" w14:textId="77777777" w:rsidTr="00F50993">
        <w:tc>
          <w:tcPr>
            <w:tcW w:w="1980" w:type="dxa"/>
          </w:tcPr>
          <w:p w14:paraId="542EC061" w14:textId="77777777" w:rsidR="004E7A01" w:rsidRDefault="004E7A01" w:rsidP="00DF778C">
            <w:pPr>
              <w:pStyle w:val="Tabledata"/>
            </w:pPr>
            <w:r w:rsidRPr="0098748A">
              <w:t>Staff</w:t>
            </w:r>
          </w:p>
        </w:tc>
        <w:tc>
          <w:tcPr>
            <w:tcW w:w="7371" w:type="dxa"/>
          </w:tcPr>
          <w:p w14:paraId="2097252D" w14:textId="75E35A42" w:rsidR="00DA1A02" w:rsidRDefault="00DA1A02" w:rsidP="00DF778C">
            <w:pPr>
              <w:pStyle w:val="Tabledata"/>
            </w:pPr>
            <w:r w:rsidRPr="004773C6">
              <w:rPr>
                <w:rFonts w:cs="Arial"/>
              </w:rPr>
              <w:t>Any person or officer of the Department of Justice, Corrective Services, including a Public Service Officer, Youth Custodial Officer or an employee of a particular class; and any service provider who provides services to detainees at Banksia Hill Detention Centre.</w:t>
            </w:r>
          </w:p>
        </w:tc>
      </w:tr>
      <w:tr w:rsidR="004E7A01" w14:paraId="10EC8C5C" w14:textId="77777777" w:rsidTr="00F50993">
        <w:tc>
          <w:tcPr>
            <w:tcW w:w="1980" w:type="dxa"/>
          </w:tcPr>
          <w:p w14:paraId="21047085" w14:textId="77777777" w:rsidR="004E7A01" w:rsidRDefault="004E7A01" w:rsidP="00DF778C">
            <w:pPr>
              <w:pStyle w:val="Tabledata"/>
            </w:pPr>
            <w:r>
              <w:t>Superintendent</w:t>
            </w:r>
          </w:p>
        </w:tc>
        <w:tc>
          <w:tcPr>
            <w:tcW w:w="7371" w:type="dxa"/>
          </w:tcPr>
          <w:p w14:paraId="425D50AB" w14:textId="77777777" w:rsidR="004E7A01" w:rsidRDefault="004E7A01" w:rsidP="00DF778C">
            <w:pPr>
              <w:pStyle w:val="Tabledata"/>
            </w:pPr>
            <w:r w:rsidRPr="00BB7AA0">
              <w:t xml:space="preserve">In accordance with section 3 of the </w:t>
            </w:r>
            <w:r w:rsidRPr="00BB7AA0">
              <w:rPr>
                <w:i/>
              </w:rPr>
              <w:t>Young Offenders Act 1994, ‘</w:t>
            </w:r>
            <w:r w:rsidRPr="00BB7AA0">
              <w:t>The person in charge of a detention centre’.</w:t>
            </w:r>
          </w:p>
        </w:tc>
      </w:tr>
      <w:tr w:rsidR="00E82852" w14:paraId="1DE023E5" w14:textId="77777777" w:rsidTr="00F50993">
        <w:tc>
          <w:tcPr>
            <w:tcW w:w="1980" w:type="dxa"/>
          </w:tcPr>
          <w:p w14:paraId="5DD16FE6" w14:textId="77777777" w:rsidR="00E82852" w:rsidRDefault="00E82852" w:rsidP="00DF778C">
            <w:pPr>
              <w:pStyle w:val="Tabledata"/>
            </w:pPr>
            <w:r>
              <w:t>Total Offender Management Solution (TOMS)</w:t>
            </w:r>
          </w:p>
        </w:tc>
        <w:tc>
          <w:tcPr>
            <w:tcW w:w="7371" w:type="dxa"/>
          </w:tcPr>
          <w:p w14:paraId="46BEB986" w14:textId="6A4EC549" w:rsidR="008D6DA6" w:rsidRPr="00BB7AA0" w:rsidRDefault="008D6DA6" w:rsidP="00DF778C">
            <w:pPr>
              <w:pStyle w:val="Tabledata"/>
            </w:pPr>
            <w:r w:rsidRPr="00A76013">
              <w:rPr>
                <w:rFonts w:cs="Arial"/>
              </w:rPr>
              <w:t>An electronic database used by the Department of Corrective Services to record and manage comprehensive information relating to prisoners</w:t>
            </w:r>
            <w:r>
              <w:rPr>
                <w:rFonts w:cs="Arial"/>
              </w:rPr>
              <w:t xml:space="preserve"> and detainees.</w:t>
            </w:r>
          </w:p>
        </w:tc>
      </w:tr>
      <w:tr w:rsidR="00B55E78" w14:paraId="1A6A6637" w14:textId="77777777" w:rsidTr="00F50993">
        <w:tc>
          <w:tcPr>
            <w:tcW w:w="1980" w:type="dxa"/>
          </w:tcPr>
          <w:p w14:paraId="3ACDD658" w14:textId="77777777" w:rsidR="00B55E78" w:rsidRDefault="00B55E78" w:rsidP="00DF778C">
            <w:pPr>
              <w:pStyle w:val="Tabledata"/>
            </w:pPr>
            <w:r>
              <w:t xml:space="preserve">Unit Manager </w:t>
            </w:r>
          </w:p>
        </w:tc>
        <w:tc>
          <w:tcPr>
            <w:tcW w:w="7371" w:type="dxa"/>
          </w:tcPr>
          <w:p w14:paraId="60B9432F" w14:textId="77777777" w:rsidR="00D527C6" w:rsidRPr="00D527C6" w:rsidRDefault="00D527C6" w:rsidP="00D527C6">
            <w:pPr>
              <w:rPr>
                <w:rFonts w:eastAsia="Calibri" w:cs="Arial"/>
              </w:rPr>
            </w:pPr>
            <w:r w:rsidRPr="00D527C6">
              <w:rPr>
                <w:rFonts w:eastAsia="Calibri" w:cs="Arial"/>
              </w:rPr>
              <w:t xml:space="preserve">A Youth Custodial Officer substantive to this rank or Youth Custodial Officer acting in the capacity of Unit Manager, appointed by the Chief Executive Officer with reference to s11 of the </w:t>
            </w:r>
            <w:r w:rsidRPr="00D527C6">
              <w:rPr>
                <w:rFonts w:eastAsia="Calibri" w:cs="Arial"/>
                <w:i/>
              </w:rPr>
              <w:t>Young Offenders Act 1994</w:t>
            </w:r>
            <w:r w:rsidRPr="00D527C6">
              <w:rPr>
                <w:rFonts w:eastAsia="Calibri" w:cs="Arial"/>
              </w:rPr>
              <w:t>.</w:t>
            </w:r>
          </w:p>
          <w:p w14:paraId="3E533DF0" w14:textId="77777777" w:rsidR="00D527C6" w:rsidRPr="00D527C6" w:rsidRDefault="00D527C6" w:rsidP="00D527C6">
            <w:pPr>
              <w:rPr>
                <w:rFonts w:eastAsia="Calibri" w:cs="Arial"/>
              </w:rPr>
            </w:pPr>
          </w:p>
          <w:p w14:paraId="05A4B2C2" w14:textId="1A7BEE31" w:rsidR="00D527C6" w:rsidRPr="00BB7AA0" w:rsidRDefault="00D527C6" w:rsidP="00D527C6">
            <w:pPr>
              <w:pStyle w:val="Tabledata"/>
            </w:pPr>
            <w:r w:rsidRPr="00D527C6">
              <w:rPr>
                <w:rFonts w:cs="Arial"/>
              </w:rPr>
              <w:t>The Senior Officer managing the unit in which the prisoner is located.</w:t>
            </w:r>
          </w:p>
        </w:tc>
      </w:tr>
      <w:tr w:rsidR="0026223B" w14:paraId="20882732" w14:textId="77777777" w:rsidTr="00F50993">
        <w:tc>
          <w:tcPr>
            <w:tcW w:w="1980" w:type="dxa"/>
          </w:tcPr>
          <w:p w14:paraId="39FB3D7B" w14:textId="3A9978E6" w:rsidR="0026223B" w:rsidRDefault="0026223B" w:rsidP="00DF778C">
            <w:pPr>
              <w:pStyle w:val="Tabledata"/>
            </w:pPr>
            <w:r>
              <w:t>Youth Detention Centre</w:t>
            </w:r>
          </w:p>
        </w:tc>
        <w:tc>
          <w:tcPr>
            <w:tcW w:w="7371" w:type="dxa"/>
          </w:tcPr>
          <w:p w14:paraId="76727890" w14:textId="23285A2D" w:rsidR="0026223B" w:rsidRPr="00D527C6" w:rsidRDefault="0026223B" w:rsidP="00D527C6">
            <w:pPr>
              <w:rPr>
                <w:rFonts w:eastAsia="Calibri" w:cs="Arial"/>
              </w:rPr>
            </w:pPr>
            <w:r w:rsidRPr="0026223B">
              <w:rPr>
                <w:rFonts w:eastAsia="Calibri" w:cs="Arial"/>
              </w:rPr>
              <w:t xml:space="preserve">A gazetted detention centre declared by the Minister to be a detention centre to accommodate male and female, remanded or sentenced detainees. Refer to section 13 of </w:t>
            </w:r>
            <w:r w:rsidRPr="0026223B">
              <w:rPr>
                <w:rFonts w:eastAsia="Calibri" w:cs="Arial"/>
                <w:i/>
              </w:rPr>
              <w:t>Young Offenders Act 1994.</w:t>
            </w:r>
          </w:p>
        </w:tc>
      </w:tr>
    </w:tbl>
    <w:p w14:paraId="7F1A62E0" w14:textId="77777777" w:rsidR="003D708E" w:rsidRDefault="003D708E" w:rsidP="003D708E">
      <w:pPr>
        <w:pStyle w:val="Heading2"/>
      </w:pPr>
      <w:bookmarkStart w:id="19" w:name="_Toc153193764"/>
      <w:r>
        <w:t>Related legislation</w:t>
      </w:r>
      <w:bookmarkEnd w:id="19"/>
      <w:r>
        <w:t xml:space="preserve"> </w:t>
      </w:r>
    </w:p>
    <w:p w14:paraId="325019D2" w14:textId="77777777" w:rsidR="003E65F6" w:rsidRPr="003D5FAC" w:rsidRDefault="003E65F6" w:rsidP="003D5FAC">
      <w:pPr>
        <w:pStyle w:val="ListBullet"/>
        <w:rPr>
          <w:i/>
          <w:iCs/>
        </w:rPr>
      </w:pPr>
      <w:r w:rsidRPr="003D5FAC">
        <w:rPr>
          <w:i/>
          <w:iCs/>
        </w:rPr>
        <w:t>Young Offenders Act 1994</w:t>
      </w:r>
    </w:p>
    <w:p w14:paraId="45FB5D3D" w14:textId="77777777" w:rsidR="003E65F6" w:rsidRPr="003D5FAC" w:rsidRDefault="003E65F6" w:rsidP="003D5FAC">
      <w:pPr>
        <w:pStyle w:val="ListBullet"/>
        <w:rPr>
          <w:i/>
          <w:iCs/>
        </w:rPr>
      </w:pPr>
      <w:r w:rsidRPr="003D5FAC">
        <w:rPr>
          <w:i/>
          <w:iCs/>
        </w:rPr>
        <w:t>Young Offenders Regulations 1995</w:t>
      </w:r>
    </w:p>
    <w:p w14:paraId="3B7D2B6D" w14:textId="47E48F29" w:rsidR="00E42695" w:rsidRDefault="00E42695" w:rsidP="00E42695">
      <w:pPr>
        <w:pStyle w:val="ListBullet"/>
        <w:numPr>
          <w:ilvl w:val="0"/>
          <w:numId w:val="0"/>
        </w:numPr>
        <w:ind w:left="357" w:hanging="357"/>
        <w:rPr>
          <w:i/>
          <w:iCs/>
        </w:rPr>
      </w:pPr>
      <w:bookmarkStart w:id="20" w:name="_Toc178286"/>
    </w:p>
    <w:p w14:paraId="1ACB5DC4" w14:textId="69B5BBBC" w:rsidR="00E42695" w:rsidRDefault="00E42695" w:rsidP="000E5EFC">
      <w:pPr>
        <w:pStyle w:val="ListBullet"/>
        <w:numPr>
          <w:ilvl w:val="0"/>
          <w:numId w:val="0"/>
        </w:numPr>
        <w:ind w:left="357" w:hanging="357"/>
        <w:rPr>
          <w:i/>
          <w:iCs/>
        </w:rPr>
      </w:pPr>
    </w:p>
    <w:p w14:paraId="7BF01846" w14:textId="39EAF060" w:rsidR="00140311" w:rsidRDefault="00140311" w:rsidP="000E5EFC">
      <w:pPr>
        <w:pStyle w:val="ListBullet"/>
        <w:numPr>
          <w:ilvl w:val="0"/>
          <w:numId w:val="0"/>
        </w:numPr>
        <w:ind w:left="357" w:hanging="357"/>
        <w:rPr>
          <w:i/>
          <w:iCs/>
        </w:rPr>
      </w:pPr>
    </w:p>
    <w:p w14:paraId="0514533E" w14:textId="119194A0" w:rsidR="00140311" w:rsidRDefault="00140311" w:rsidP="000E5EFC">
      <w:pPr>
        <w:pStyle w:val="ListBullet"/>
        <w:numPr>
          <w:ilvl w:val="0"/>
          <w:numId w:val="0"/>
        </w:numPr>
        <w:ind w:left="357" w:hanging="357"/>
        <w:rPr>
          <w:i/>
          <w:iCs/>
        </w:rPr>
      </w:pPr>
    </w:p>
    <w:p w14:paraId="18FF86BC" w14:textId="6137815A" w:rsidR="00140311" w:rsidRDefault="00140311" w:rsidP="000E5EFC">
      <w:pPr>
        <w:pStyle w:val="ListBullet"/>
        <w:numPr>
          <w:ilvl w:val="0"/>
          <w:numId w:val="0"/>
        </w:numPr>
        <w:ind w:left="357" w:hanging="357"/>
        <w:rPr>
          <w:i/>
          <w:iCs/>
        </w:rPr>
      </w:pPr>
    </w:p>
    <w:p w14:paraId="296A496A" w14:textId="722FA277" w:rsidR="00140311" w:rsidRDefault="00140311" w:rsidP="000E5EFC">
      <w:pPr>
        <w:pStyle w:val="ListBullet"/>
        <w:numPr>
          <w:ilvl w:val="0"/>
          <w:numId w:val="0"/>
        </w:numPr>
        <w:ind w:left="357" w:hanging="357"/>
        <w:rPr>
          <w:i/>
          <w:iCs/>
        </w:rPr>
      </w:pPr>
    </w:p>
    <w:p w14:paraId="2878B3EE" w14:textId="35636715" w:rsidR="00140311" w:rsidRDefault="00140311" w:rsidP="000E5EFC">
      <w:pPr>
        <w:pStyle w:val="ListBullet"/>
        <w:numPr>
          <w:ilvl w:val="0"/>
          <w:numId w:val="0"/>
        </w:numPr>
        <w:ind w:left="357" w:hanging="357"/>
        <w:rPr>
          <w:i/>
          <w:iCs/>
        </w:rPr>
      </w:pPr>
    </w:p>
    <w:p w14:paraId="41765903" w14:textId="77777777" w:rsidR="00140311" w:rsidRPr="003D5FAC" w:rsidRDefault="00140311" w:rsidP="000E5EFC">
      <w:pPr>
        <w:pStyle w:val="ListBullet"/>
        <w:numPr>
          <w:ilvl w:val="0"/>
          <w:numId w:val="0"/>
        </w:numPr>
        <w:ind w:left="357" w:hanging="357"/>
        <w:rPr>
          <w:i/>
          <w:iCs/>
        </w:rPr>
      </w:pPr>
    </w:p>
    <w:p w14:paraId="0AC2BAEF" w14:textId="77777777" w:rsidR="00063C81" w:rsidRPr="00063C81" w:rsidRDefault="00063C81" w:rsidP="00E54EDC">
      <w:pPr>
        <w:pStyle w:val="Heading1"/>
      </w:pPr>
      <w:bookmarkStart w:id="21" w:name="_Toc153193765"/>
      <w:r w:rsidRPr="00063C81">
        <w:lastRenderedPageBreak/>
        <w:t>Assurance</w:t>
      </w:r>
      <w:bookmarkEnd w:id="20"/>
      <w:bookmarkEnd w:id="21"/>
    </w:p>
    <w:p w14:paraId="4EF964B1" w14:textId="0A3130A2" w:rsidR="00664F1A" w:rsidRDefault="001627C4" w:rsidP="001627C4">
      <w:r w:rsidRPr="00AA5BDE">
        <w:t>It is expected that:</w:t>
      </w:r>
    </w:p>
    <w:p w14:paraId="1C236649" w14:textId="77777777" w:rsidR="00140311" w:rsidRPr="00AA5BDE" w:rsidRDefault="00140311" w:rsidP="001627C4"/>
    <w:p w14:paraId="4014124E" w14:textId="703F0E8A" w:rsidR="001627C4" w:rsidRPr="00AA5BDE" w:rsidRDefault="00540AB6" w:rsidP="003D5FAC">
      <w:pPr>
        <w:pStyle w:val="ListBullet"/>
      </w:pPr>
      <w:r>
        <w:t>The YDC</w:t>
      </w:r>
      <w:r w:rsidR="00140311">
        <w:t xml:space="preserve"> </w:t>
      </w:r>
      <w:r w:rsidR="001627C4" w:rsidRPr="00AA5BDE">
        <w:t xml:space="preserve">will undertake local compliance in accordance with the </w:t>
      </w:r>
      <w:hyperlink r:id="rId20" w:history="1">
        <w:r w:rsidR="001627C4" w:rsidRPr="00460C5E">
          <w:rPr>
            <w:rStyle w:val="Hyperlink"/>
          </w:rPr>
          <w:t>Compliance Manual</w:t>
        </w:r>
      </w:hyperlink>
      <w:r w:rsidR="001627C4" w:rsidRPr="00AA5BDE">
        <w:t>.</w:t>
      </w:r>
    </w:p>
    <w:p w14:paraId="5D0F0ACF" w14:textId="77777777" w:rsidR="001627C4" w:rsidRPr="00AA5BDE" w:rsidRDefault="001627C4" w:rsidP="003D5FAC">
      <w:pPr>
        <w:pStyle w:val="ListBullet"/>
      </w:pPr>
      <w:r w:rsidRPr="00AA5BDE">
        <w:t xml:space="preserve">Women and Young People, Head Office will undertake management oversight as required. </w:t>
      </w:r>
    </w:p>
    <w:p w14:paraId="251E8430" w14:textId="5C0BF03D" w:rsidR="001627C4" w:rsidRPr="00AA5BDE" w:rsidRDefault="001627C4" w:rsidP="003D5FAC">
      <w:pPr>
        <w:pStyle w:val="ListBullet"/>
      </w:pPr>
      <w:r w:rsidRPr="00AA5BDE">
        <w:t xml:space="preserve">Monitoring and Compliance will undertake checks in accordance with the </w:t>
      </w:r>
      <w:hyperlink r:id="rId21" w:history="1">
        <w:r w:rsidRPr="00AA5BDE">
          <w:rPr>
            <w:rStyle w:val="Hyperlink"/>
          </w:rPr>
          <w:t>Monitoring and Compliance Framework.</w:t>
        </w:r>
      </w:hyperlink>
    </w:p>
    <w:p w14:paraId="4258B950" w14:textId="2B991BF8" w:rsidR="00C91009" w:rsidRDefault="001627C4" w:rsidP="003D5FAC">
      <w:pPr>
        <w:pStyle w:val="ListBullet"/>
      </w:pPr>
      <w:r w:rsidRPr="00AA5BDE">
        <w:t>Independent oversight will be undertaken as required</w:t>
      </w:r>
      <w:r w:rsidR="00063C81" w:rsidRPr="00063C81">
        <w:t xml:space="preserve">. </w:t>
      </w:r>
    </w:p>
    <w:p w14:paraId="2BD2D2B6" w14:textId="77777777" w:rsidR="008270E3" w:rsidRDefault="008270E3" w:rsidP="008270E3">
      <w:pPr>
        <w:pStyle w:val="ListBullet"/>
        <w:numPr>
          <w:ilvl w:val="0"/>
          <w:numId w:val="0"/>
        </w:numPr>
        <w:ind w:left="357"/>
      </w:pPr>
    </w:p>
    <w:p w14:paraId="60CA035C" w14:textId="2D9167C1" w:rsidR="00283E79" w:rsidRDefault="00283E79" w:rsidP="001D733B">
      <w:pPr>
        <w:pStyle w:val="Heading1"/>
      </w:pPr>
      <w:bookmarkStart w:id="22" w:name="_Toc153193766"/>
      <w:r>
        <w:t xml:space="preserve">Document </w:t>
      </w:r>
      <w:r w:rsidR="00D5249D">
        <w:t>V</w:t>
      </w:r>
      <w:r>
        <w:t xml:space="preserve">ersion </w:t>
      </w:r>
      <w:r w:rsidR="00D5249D">
        <w:t>H</w:t>
      </w:r>
      <w:r>
        <w:t>istory</w:t>
      </w:r>
      <w:bookmarkEnd w:id="22"/>
    </w:p>
    <w:tbl>
      <w:tblPr>
        <w:tblStyle w:val="DCStable"/>
        <w:tblW w:w="9249" w:type="dxa"/>
        <w:tblCellMar>
          <w:top w:w="57" w:type="dxa"/>
          <w:left w:w="85" w:type="dxa"/>
          <w:bottom w:w="57" w:type="dxa"/>
          <w:right w:w="85" w:type="dxa"/>
        </w:tblCellMar>
        <w:tblLook w:val="0620" w:firstRow="1" w:lastRow="0" w:firstColumn="0" w:lastColumn="0" w:noHBand="1" w:noVBand="1"/>
      </w:tblPr>
      <w:tblGrid>
        <w:gridCol w:w="1051"/>
        <w:gridCol w:w="2187"/>
        <w:gridCol w:w="2853"/>
        <w:gridCol w:w="1701"/>
        <w:gridCol w:w="1457"/>
      </w:tblGrid>
      <w:tr w:rsidR="00D151E1" w:rsidRPr="007D3C6F" w14:paraId="599ED286" w14:textId="08C02B2A" w:rsidTr="00F50993">
        <w:trPr>
          <w:cnfStyle w:val="100000000000" w:firstRow="1" w:lastRow="0" w:firstColumn="0" w:lastColumn="0" w:oddVBand="0" w:evenVBand="0" w:oddHBand="0" w:evenHBand="0" w:firstRowFirstColumn="0" w:firstRowLastColumn="0" w:lastRowFirstColumn="0" w:lastRowLastColumn="0"/>
          <w:trHeight w:val="557"/>
        </w:trPr>
        <w:tc>
          <w:tcPr>
            <w:tcW w:w="1051" w:type="dxa"/>
          </w:tcPr>
          <w:p w14:paraId="40EFBD55" w14:textId="77777777" w:rsidR="00D151E1" w:rsidRPr="007D3C6F" w:rsidRDefault="00D151E1" w:rsidP="009E4003">
            <w:pPr>
              <w:pStyle w:val="Tableheading"/>
            </w:pPr>
            <w:r w:rsidRPr="007D3C6F">
              <w:t>Version no</w:t>
            </w:r>
          </w:p>
        </w:tc>
        <w:tc>
          <w:tcPr>
            <w:tcW w:w="2187" w:type="dxa"/>
          </w:tcPr>
          <w:p w14:paraId="483F48B6" w14:textId="77777777" w:rsidR="00D151E1" w:rsidRPr="007D3C6F" w:rsidRDefault="00D151E1" w:rsidP="009E4003">
            <w:pPr>
              <w:pStyle w:val="Tableheading"/>
            </w:pPr>
            <w:r w:rsidRPr="007D3C6F">
              <w:t>Primary author(s)</w:t>
            </w:r>
          </w:p>
        </w:tc>
        <w:tc>
          <w:tcPr>
            <w:tcW w:w="2853" w:type="dxa"/>
          </w:tcPr>
          <w:p w14:paraId="3ED537FF" w14:textId="77777777" w:rsidR="00D151E1" w:rsidRPr="007D3C6F" w:rsidRDefault="00D151E1" w:rsidP="009E4003">
            <w:pPr>
              <w:pStyle w:val="Tableheading"/>
            </w:pPr>
            <w:r w:rsidRPr="007D3C6F">
              <w:t>Description of version</w:t>
            </w:r>
          </w:p>
        </w:tc>
        <w:tc>
          <w:tcPr>
            <w:tcW w:w="1701" w:type="dxa"/>
          </w:tcPr>
          <w:p w14:paraId="14D20F3A" w14:textId="77777777" w:rsidR="00D151E1" w:rsidRPr="007D3C6F" w:rsidRDefault="00D151E1" w:rsidP="009E4003">
            <w:pPr>
              <w:pStyle w:val="Tableheading"/>
            </w:pPr>
            <w:r w:rsidRPr="007D3C6F">
              <w:t>Date completed</w:t>
            </w:r>
          </w:p>
        </w:tc>
        <w:tc>
          <w:tcPr>
            <w:tcW w:w="1457" w:type="dxa"/>
          </w:tcPr>
          <w:p w14:paraId="4F44B1D0" w14:textId="6FB7C012" w:rsidR="00D151E1" w:rsidRPr="007D3C6F" w:rsidRDefault="00D151E1" w:rsidP="009E4003">
            <w:pPr>
              <w:pStyle w:val="Tableheading"/>
            </w:pPr>
            <w:r>
              <w:t xml:space="preserve">Effective </w:t>
            </w:r>
            <w:r w:rsidR="00DD05AF">
              <w:t>d</w:t>
            </w:r>
            <w:r>
              <w:t>ate</w:t>
            </w:r>
          </w:p>
        </w:tc>
      </w:tr>
      <w:tr w:rsidR="00D151E1" w:rsidRPr="007D3C6F" w14:paraId="06133AD0" w14:textId="39D3FFA8" w:rsidTr="00F50993">
        <w:trPr>
          <w:trHeight w:val="843"/>
        </w:trPr>
        <w:tc>
          <w:tcPr>
            <w:tcW w:w="1051" w:type="dxa"/>
          </w:tcPr>
          <w:p w14:paraId="291EB031" w14:textId="179096B7" w:rsidR="00D151E1" w:rsidRDefault="00D151E1" w:rsidP="00A47B8B">
            <w:pPr>
              <w:pStyle w:val="Tabledata"/>
            </w:pPr>
            <w:r>
              <w:t>1.0</w:t>
            </w:r>
          </w:p>
        </w:tc>
        <w:tc>
          <w:tcPr>
            <w:tcW w:w="2187" w:type="dxa"/>
          </w:tcPr>
          <w:p w14:paraId="195A06AB" w14:textId="2BB9CE27" w:rsidR="00D151E1" w:rsidRDefault="00D151E1" w:rsidP="00A47B8B">
            <w:pPr>
              <w:pStyle w:val="Tabledata"/>
            </w:pPr>
            <w:r>
              <w:t>Operational Policy</w:t>
            </w:r>
          </w:p>
        </w:tc>
        <w:tc>
          <w:tcPr>
            <w:tcW w:w="2853" w:type="dxa"/>
          </w:tcPr>
          <w:p w14:paraId="2DBE90CF" w14:textId="79B3353B" w:rsidR="00D151E1" w:rsidRDefault="00D151E1" w:rsidP="00A47B8B">
            <w:pPr>
              <w:pStyle w:val="Tabledata"/>
            </w:pPr>
            <w:r w:rsidRPr="00D1230B">
              <w:t>Approved by the Director Operational Policy Compliance and Contracts</w:t>
            </w:r>
          </w:p>
        </w:tc>
        <w:tc>
          <w:tcPr>
            <w:tcW w:w="1701" w:type="dxa"/>
          </w:tcPr>
          <w:p w14:paraId="02C62201" w14:textId="37C040FF" w:rsidR="00D151E1" w:rsidRDefault="00D151E1" w:rsidP="00A47B8B">
            <w:pPr>
              <w:pStyle w:val="Tabledata"/>
            </w:pPr>
            <w:r>
              <w:t>21 January 2021</w:t>
            </w:r>
          </w:p>
        </w:tc>
        <w:tc>
          <w:tcPr>
            <w:tcW w:w="1457" w:type="dxa"/>
          </w:tcPr>
          <w:p w14:paraId="1503B4D0" w14:textId="4DE7905A" w:rsidR="00D151E1" w:rsidRDefault="00D151E1" w:rsidP="00A47B8B">
            <w:pPr>
              <w:pStyle w:val="Tabledata"/>
            </w:pPr>
            <w:r>
              <w:t>8 February 2021</w:t>
            </w:r>
          </w:p>
        </w:tc>
      </w:tr>
      <w:tr w:rsidR="00260209" w:rsidRPr="007D3C6F" w14:paraId="529B14B8" w14:textId="77777777" w:rsidTr="00F50993">
        <w:trPr>
          <w:trHeight w:val="843"/>
        </w:trPr>
        <w:tc>
          <w:tcPr>
            <w:tcW w:w="1051" w:type="dxa"/>
          </w:tcPr>
          <w:p w14:paraId="6CEECDE0" w14:textId="0D463FA1" w:rsidR="00260209" w:rsidRDefault="00260209" w:rsidP="00A47B8B">
            <w:pPr>
              <w:pStyle w:val="Tabledata"/>
            </w:pPr>
            <w:r>
              <w:t>2.0</w:t>
            </w:r>
          </w:p>
        </w:tc>
        <w:tc>
          <w:tcPr>
            <w:tcW w:w="2187" w:type="dxa"/>
          </w:tcPr>
          <w:p w14:paraId="205CF5D3" w14:textId="505A15CD" w:rsidR="00260209" w:rsidRDefault="00260209" w:rsidP="00A47B8B">
            <w:pPr>
              <w:pStyle w:val="Tabledata"/>
            </w:pPr>
            <w:r w:rsidRPr="00260209">
              <w:t>Operational Policy</w:t>
            </w:r>
          </w:p>
        </w:tc>
        <w:tc>
          <w:tcPr>
            <w:tcW w:w="2853" w:type="dxa"/>
          </w:tcPr>
          <w:p w14:paraId="294F656A" w14:textId="294C1A98" w:rsidR="00260209" w:rsidRPr="00D1230B" w:rsidRDefault="00260209" w:rsidP="00A47B8B">
            <w:pPr>
              <w:pStyle w:val="Tabledata"/>
            </w:pPr>
            <w:r w:rsidRPr="00D1230B">
              <w:t>Approved by the Director Operational Policy Compliance and Contracts</w:t>
            </w:r>
          </w:p>
        </w:tc>
        <w:tc>
          <w:tcPr>
            <w:tcW w:w="1701" w:type="dxa"/>
          </w:tcPr>
          <w:p w14:paraId="65F24B1A" w14:textId="436A7F1D" w:rsidR="00260209" w:rsidRDefault="00443E02" w:rsidP="00A47B8B">
            <w:pPr>
              <w:pStyle w:val="Tabledata"/>
            </w:pPr>
            <w:r>
              <w:t>31 August 2022</w:t>
            </w:r>
          </w:p>
        </w:tc>
        <w:tc>
          <w:tcPr>
            <w:tcW w:w="1457" w:type="dxa"/>
          </w:tcPr>
          <w:p w14:paraId="1B381C1C" w14:textId="1552FB76" w:rsidR="00260209" w:rsidRDefault="00443E02" w:rsidP="00A47B8B">
            <w:pPr>
              <w:pStyle w:val="Tabledata"/>
            </w:pPr>
            <w:r>
              <w:t>31 August 2022</w:t>
            </w:r>
          </w:p>
        </w:tc>
      </w:tr>
      <w:tr w:rsidR="007658CA" w:rsidRPr="007D3C6F" w14:paraId="52414238" w14:textId="77777777" w:rsidTr="00F50993">
        <w:trPr>
          <w:trHeight w:val="843"/>
        </w:trPr>
        <w:tc>
          <w:tcPr>
            <w:tcW w:w="1051" w:type="dxa"/>
            <w:vMerge w:val="restart"/>
          </w:tcPr>
          <w:p w14:paraId="38206047" w14:textId="494CDBB6" w:rsidR="007658CA" w:rsidRDefault="007658CA" w:rsidP="00A47B8B">
            <w:pPr>
              <w:pStyle w:val="Tabledata"/>
            </w:pPr>
            <w:r>
              <w:t>3.0</w:t>
            </w:r>
          </w:p>
        </w:tc>
        <w:tc>
          <w:tcPr>
            <w:tcW w:w="2187" w:type="dxa"/>
            <w:vMerge w:val="restart"/>
          </w:tcPr>
          <w:p w14:paraId="3F6A19DC" w14:textId="77777777" w:rsidR="007658CA" w:rsidRDefault="007658CA" w:rsidP="00A47B8B">
            <w:pPr>
              <w:pStyle w:val="Tabledata"/>
            </w:pPr>
            <w:r w:rsidRPr="007658CA">
              <w:t>Operational Policy</w:t>
            </w:r>
          </w:p>
          <w:p w14:paraId="15423D4B" w14:textId="77777777" w:rsidR="00F730E5" w:rsidRDefault="00F730E5" w:rsidP="00A47B8B">
            <w:pPr>
              <w:pStyle w:val="Tabledata"/>
            </w:pPr>
          </w:p>
          <w:p w14:paraId="3EC07063" w14:textId="77777777" w:rsidR="00F730E5" w:rsidRDefault="00F730E5" w:rsidP="00F730E5">
            <w:pPr>
              <w:pStyle w:val="Tabledata"/>
            </w:pPr>
            <w:r>
              <w:t>Memo Reference:</w:t>
            </w:r>
          </w:p>
          <w:p w14:paraId="77A46951" w14:textId="77777777" w:rsidR="00F730E5" w:rsidRDefault="00F730E5" w:rsidP="00F730E5">
            <w:pPr>
              <w:pStyle w:val="Tabledata"/>
              <w:rPr>
                <w:rFonts w:cs="Arial"/>
                <w:bCs/>
              </w:rPr>
            </w:pPr>
            <w:r>
              <w:rPr>
                <w:rFonts w:cs="Arial"/>
                <w:bCs/>
              </w:rPr>
              <w:t>D23/940474</w:t>
            </w:r>
          </w:p>
          <w:p w14:paraId="79694315" w14:textId="77777777" w:rsidR="00F730E5" w:rsidRDefault="00F730E5" w:rsidP="00F730E5">
            <w:pPr>
              <w:pStyle w:val="Tabledata"/>
              <w:rPr>
                <w:bCs/>
              </w:rPr>
            </w:pPr>
          </w:p>
          <w:p w14:paraId="563F63CE" w14:textId="77777777" w:rsidR="00F730E5" w:rsidRDefault="00F730E5" w:rsidP="00F730E5">
            <w:pPr>
              <w:pStyle w:val="Tabledata"/>
            </w:pPr>
            <w:r>
              <w:t>Content Manager Reference:</w:t>
            </w:r>
          </w:p>
          <w:p w14:paraId="58E4B452" w14:textId="5C61B094" w:rsidR="00F730E5" w:rsidRDefault="00F730E5" w:rsidP="00F730E5">
            <w:pPr>
              <w:pStyle w:val="Tabledata"/>
            </w:pPr>
            <w:r>
              <w:t>S23/99488</w:t>
            </w:r>
          </w:p>
          <w:p w14:paraId="4D1A492D" w14:textId="592255CB" w:rsidR="00F730E5" w:rsidRPr="00260209" w:rsidRDefault="00F730E5" w:rsidP="00A47B8B">
            <w:pPr>
              <w:pStyle w:val="Tabledata"/>
            </w:pPr>
          </w:p>
        </w:tc>
        <w:tc>
          <w:tcPr>
            <w:tcW w:w="2853" w:type="dxa"/>
          </w:tcPr>
          <w:p w14:paraId="459E2945" w14:textId="77777777" w:rsidR="005C66E2" w:rsidRDefault="00261237" w:rsidP="00A47B8B">
            <w:pPr>
              <w:pStyle w:val="Tabledata"/>
            </w:pPr>
            <w:r w:rsidRPr="00E50F18">
              <w:t xml:space="preserve">Endorsed by the </w:t>
            </w:r>
          </w:p>
          <w:p w14:paraId="047624D5" w14:textId="57F3F8D7" w:rsidR="007658CA" w:rsidRPr="00D1230B" w:rsidRDefault="005C66E2" w:rsidP="00A47B8B">
            <w:pPr>
              <w:pStyle w:val="Tabledata"/>
            </w:pPr>
            <w:r>
              <w:t xml:space="preserve">A/ </w:t>
            </w:r>
            <w:r w:rsidR="00261237" w:rsidRPr="00E50F18">
              <w:t>Assistant Commissioner Women and Young People</w:t>
            </w:r>
          </w:p>
        </w:tc>
        <w:tc>
          <w:tcPr>
            <w:tcW w:w="1701" w:type="dxa"/>
          </w:tcPr>
          <w:p w14:paraId="436FBEEB" w14:textId="1011E5EE" w:rsidR="007658CA" w:rsidRDefault="00AF2F15" w:rsidP="00A47B8B">
            <w:pPr>
              <w:pStyle w:val="Tabledata"/>
            </w:pPr>
            <w:r>
              <w:t>9 November 2023</w:t>
            </w:r>
          </w:p>
        </w:tc>
        <w:tc>
          <w:tcPr>
            <w:tcW w:w="1457" w:type="dxa"/>
            <w:vMerge w:val="restart"/>
          </w:tcPr>
          <w:p w14:paraId="30FC1869" w14:textId="3E982F57" w:rsidR="007658CA" w:rsidRDefault="008270E3" w:rsidP="00A47B8B">
            <w:pPr>
              <w:pStyle w:val="Tabledata"/>
            </w:pPr>
            <w:r>
              <w:t>1</w:t>
            </w:r>
            <w:r w:rsidR="00D27A9B">
              <w:t xml:space="preserve">8 </w:t>
            </w:r>
            <w:r>
              <w:t>December 2023</w:t>
            </w:r>
          </w:p>
        </w:tc>
      </w:tr>
      <w:tr w:rsidR="007658CA" w:rsidRPr="007D3C6F" w14:paraId="23D296FF" w14:textId="77777777" w:rsidTr="00F50993">
        <w:trPr>
          <w:trHeight w:val="843"/>
        </w:trPr>
        <w:tc>
          <w:tcPr>
            <w:tcW w:w="1051" w:type="dxa"/>
            <w:vMerge/>
          </w:tcPr>
          <w:p w14:paraId="60B615C6" w14:textId="77777777" w:rsidR="007658CA" w:rsidRDefault="007658CA" w:rsidP="00A47B8B">
            <w:pPr>
              <w:pStyle w:val="Tabledata"/>
            </w:pPr>
          </w:p>
        </w:tc>
        <w:tc>
          <w:tcPr>
            <w:tcW w:w="2187" w:type="dxa"/>
            <w:vMerge/>
          </w:tcPr>
          <w:p w14:paraId="446E39F3" w14:textId="77777777" w:rsidR="007658CA" w:rsidRPr="00260209" w:rsidRDefault="007658CA" w:rsidP="00A47B8B">
            <w:pPr>
              <w:pStyle w:val="Tabledata"/>
            </w:pPr>
          </w:p>
        </w:tc>
        <w:tc>
          <w:tcPr>
            <w:tcW w:w="2853" w:type="dxa"/>
          </w:tcPr>
          <w:p w14:paraId="53B20421" w14:textId="1ECDCE41" w:rsidR="007658CA" w:rsidRPr="00D1230B" w:rsidRDefault="00261237" w:rsidP="00A47B8B">
            <w:pPr>
              <w:pStyle w:val="Tabledata"/>
            </w:pPr>
            <w:r w:rsidRPr="00E50F18">
              <w:t xml:space="preserve">Approved by the </w:t>
            </w:r>
            <w:r w:rsidR="005C66E2">
              <w:t>Deputy Commissioner Operational Support</w:t>
            </w:r>
          </w:p>
        </w:tc>
        <w:tc>
          <w:tcPr>
            <w:tcW w:w="1701" w:type="dxa"/>
          </w:tcPr>
          <w:p w14:paraId="6F55528F" w14:textId="17704708" w:rsidR="007658CA" w:rsidRDefault="00AF2F15" w:rsidP="00A47B8B">
            <w:pPr>
              <w:pStyle w:val="Tabledata"/>
            </w:pPr>
            <w:r>
              <w:t>15 November 2023</w:t>
            </w:r>
          </w:p>
        </w:tc>
        <w:tc>
          <w:tcPr>
            <w:tcW w:w="1457" w:type="dxa"/>
            <w:vMerge/>
          </w:tcPr>
          <w:p w14:paraId="374D195B" w14:textId="77777777" w:rsidR="007658CA" w:rsidRDefault="007658CA" w:rsidP="00A47B8B">
            <w:pPr>
              <w:pStyle w:val="Tabledata"/>
            </w:pPr>
          </w:p>
        </w:tc>
      </w:tr>
    </w:tbl>
    <w:p w14:paraId="2826E3EC" w14:textId="77777777" w:rsidR="00245869" w:rsidRPr="003D5FAC" w:rsidRDefault="00245869" w:rsidP="003D5FAC"/>
    <w:sectPr w:rsidR="00245869" w:rsidRPr="003D5FAC" w:rsidSect="00656F4A">
      <w:headerReference w:type="even" r:id="rId22"/>
      <w:headerReference w:type="default" r:id="rId23"/>
      <w:footerReference w:type="default" r:id="rId24"/>
      <w:headerReference w:type="first" r:id="rId25"/>
      <w:pgSz w:w="11900" w:h="16840"/>
      <w:pgMar w:top="1418" w:right="1418" w:bottom="1134" w:left="1304"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AC2F5" w14:textId="77777777" w:rsidR="00EA0232" w:rsidRDefault="00EA0232" w:rsidP="00D06E62">
      <w:r>
        <w:separator/>
      </w:r>
    </w:p>
  </w:endnote>
  <w:endnote w:type="continuationSeparator" w:id="0">
    <w:p w14:paraId="7977952C" w14:textId="77777777" w:rsidR="00EA0232" w:rsidRDefault="00EA0232"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Bold">
    <w:panose1 w:val="020B0704020202020204"/>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BF18E" w14:textId="77777777" w:rsidR="005E2CFD" w:rsidRDefault="005E2CFD" w:rsidP="00656F4A">
    <w:pPr>
      <w:pStyle w:val="Footer"/>
      <w:tabs>
        <w:tab w:val="clear" w:pos="9026"/>
        <w:tab w:val="left" w:pos="1095"/>
        <w:tab w:val="left" w:pos="8080"/>
      </w:tabs>
    </w:pPr>
    <w:r w:rsidRPr="00627992">
      <w:rPr>
        <w:color w:val="C00000"/>
      </w:rPr>
      <w:t>The current version of this document is mai</w:t>
    </w:r>
    <w:r>
      <w:rPr>
        <w:color w:val="C00000"/>
      </w:rPr>
      <w:t>ntained on the Custodial Ops</w:t>
    </w:r>
    <w:r w:rsidRPr="00627992">
      <w:rPr>
        <w:color w:val="C00000"/>
      </w:rPr>
      <w:t xml:space="preserve"> intranet page</w:t>
    </w:r>
    <w:r>
      <w:tab/>
    </w:r>
    <w:r w:rsidRPr="00627992">
      <w:t xml:space="preserve">Page </w:t>
    </w:r>
    <w:r w:rsidRPr="00627992">
      <w:fldChar w:fldCharType="begin"/>
    </w:r>
    <w:r w:rsidRPr="00627992">
      <w:instrText xml:space="preserve"> PAGE  \* Arabic  \* MERGEFORMAT </w:instrText>
    </w:r>
    <w:r w:rsidRPr="00627992">
      <w:fldChar w:fldCharType="separate"/>
    </w:r>
    <w:r w:rsidR="005F23AE">
      <w:rPr>
        <w:noProof/>
      </w:rPr>
      <w:t>2</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sidR="005F23AE">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BF5BA" w14:textId="77777777" w:rsidR="00EA0232" w:rsidRDefault="00EA0232" w:rsidP="00D06E62">
      <w:r>
        <w:separator/>
      </w:r>
    </w:p>
  </w:footnote>
  <w:footnote w:type="continuationSeparator" w:id="0">
    <w:p w14:paraId="3C606483" w14:textId="77777777" w:rsidR="00EA0232" w:rsidRDefault="00EA0232" w:rsidP="00D06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82827" w14:textId="763DD2F9" w:rsidR="005E2CFD" w:rsidRPr="00C15CE3" w:rsidRDefault="005E2CFD" w:rsidP="00EA7EAC">
    <w:pPr>
      <w:pStyle w:val="Subtitle"/>
    </w:pPr>
    <w:r w:rsidRPr="00C15CE3">
      <w:t xml:space="preserve">Commissioner’s Operating </w:t>
    </w:r>
  </w:p>
  <w:p w14:paraId="2A493045" w14:textId="77777777" w:rsidR="005E2CFD" w:rsidRPr="00C15CE3" w:rsidRDefault="005E2CFD" w:rsidP="00EA7EAC">
    <w:pPr>
      <w:pStyle w:val="Subtitle"/>
    </w:pPr>
    <w:r w:rsidRPr="008114B3">
      <w:rPr>
        <w:rFonts w:cs="Arial"/>
        <w:noProof/>
        <w:sz w:val="56"/>
        <w:szCs w:val="56"/>
        <w:lang w:eastAsia="en-AU"/>
      </w:rPr>
      <mc:AlternateContent>
        <mc:Choice Requires="wps">
          <w:drawing>
            <wp:anchor distT="0" distB="0" distL="114300" distR="114300" simplePos="0" relativeHeight="251659264" behindDoc="0" locked="0" layoutInCell="1" allowOverlap="1" wp14:anchorId="54872DC9" wp14:editId="60F44C63">
              <wp:simplePos x="0" y="0"/>
              <wp:positionH relativeFrom="column">
                <wp:posOffset>104775</wp:posOffset>
              </wp:positionH>
              <wp:positionV relativeFrom="paragraph">
                <wp:posOffset>27940</wp:posOffset>
              </wp:positionV>
              <wp:extent cx="2639695" cy="29654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695" cy="296545"/>
                      </a:xfrm>
                      <a:prstGeom prst="rect">
                        <a:avLst/>
                      </a:prstGeom>
                      <a:noFill/>
                      <a:ln w="9525">
                        <a:noFill/>
                        <a:miter lim="800000"/>
                        <a:headEnd/>
                        <a:tailEnd/>
                      </a:ln>
                    </wps:spPr>
                    <wps:txbx>
                      <w:txbxContent>
                        <w:sdt>
                          <w:sdtPr>
                            <w:rPr>
                              <w:rFonts w:ascii="Arial Bold" w:hAnsi="Arial Bold"/>
                              <w:b/>
                              <w:color w:val="FFFFFF" w:themeColor="background1"/>
                            </w:rPr>
                            <w:id w:val="1473334473"/>
                          </w:sdtPr>
                          <w:sdtEndPr>
                            <w:rPr>
                              <w:sz w:val="20"/>
                              <w:szCs w:val="20"/>
                            </w:rPr>
                          </w:sdtEndPr>
                          <w:sdtContent>
                            <w:p w14:paraId="52F5ADCE" w14:textId="77777777" w:rsidR="005E2CFD" w:rsidRPr="00464E72" w:rsidRDefault="005E2CFD" w:rsidP="00857A48">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872DC9" id="_x0000_t202" coordsize="21600,21600" o:spt="202" path="m,l,21600r21600,l21600,xe">
              <v:stroke joinstyle="miter"/>
              <v:path gradientshapeok="t" o:connecttype="rect"/>
            </v:shapetype>
            <v:shape id="Text Box 2" o:spid="_x0000_s1026" type="#_x0000_t202" style="position:absolute;margin-left:8.25pt;margin-top:2.2pt;width:207.85pt;height:2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" filled="f" stroked="f">
              <v:textbox>
                <w:txbxContent>
                  <w:sdt>
                    <w:sdtPr>
                      <w:rPr>
                        <w:rFonts w:ascii="Arial Bold" w:hAnsi="Arial Bold"/>
                        <w:b/>
                        <w:color w:val="FFFFFF" w:themeColor="background1"/>
                      </w:rPr>
                      <w:id w:val="1473334473"/>
                    </w:sdtPr>
                    <w:sdtEndPr>
                      <w:rPr>
                        <w:sz w:val="20"/>
                        <w:szCs w:val="20"/>
                      </w:rPr>
                    </w:sdtEndPr>
                    <w:sdtContent>
                      <w:p w14:paraId="52F5ADCE" w14:textId="77777777" w:rsidR="005E2CFD" w:rsidRPr="00464E72" w:rsidRDefault="005E2CFD" w:rsidP="00857A48">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v:textbox>
            </v:shape>
          </w:pict>
        </mc:Fallback>
      </mc:AlternateContent>
    </w:r>
    <w:r>
      <w:tab/>
    </w:r>
    <w:r>
      <w:tab/>
    </w:r>
    <w:r w:rsidRPr="00C15CE3">
      <w:t>Policy and Procedure</w:t>
    </w:r>
  </w:p>
  <w:p w14:paraId="54CD8136" w14:textId="77777777" w:rsidR="005E2CFD" w:rsidRDefault="005E2C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23348" w14:textId="695BA1CE" w:rsidR="005E2CFD" w:rsidRDefault="005E2CFD">
    <w:pPr>
      <w:pStyle w:val="Header"/>
    </w:pPr>
    <w:r w:rsidRPr="008114B3">
      <w:rPr>
        <w:rFonts w:cs="Arial"/>
        <w:noProof/>
        <w:sz w:val="56"/>
        <w:szCs w:val="56"/>
        <w:lang w:eastAsia="en-AU"/>
      </w:rPr>
      <mc:AlternateContent>
        <mc:Choice Requires="wps">
          <w:drawing>
            <wp:anchor distT="0" distB="0" distL="114300" distR="114300" simplePos="0" relativeHeight="251669504" behindDoc="0" locked="0" layoutInCell="1" allowOverlap="1" wp14:anchorId="43280C97" wp14:editId="7277D618">
              <wp:simplePos x="0" y="0"/>
              <wp:positionH relativeFrom="margin">
                <wp:posOffset>181610</wp:posOffset>
              </wp:positionH>
              <wp:positionV relativeFrom="paragraph">
                <wp:posOffset>287655</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398715504"/>
                          </w:sdtPr>
                          <w:sdtEndPr>
                            <w:rPr>
                              <w:sz w:val="20"/>
                              <w:szCs w:val="20"/>
                            </w:rPr>
                          </w:sdtEndPr>
                          <w:sdtContent>
                            <w:p w14:paraId="0D978FCA" w14:textId="77777777" w:rsidR="005E2CFD" w:rsidRPr="00464E72" w:rsidRDefault="005E2CFD"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280C97" id="_x0000_t202" coordsize="21600,21600" o:spt="202" path="m,l,21600r21600,l21600,xe">
              <v:stroke joinstyle="miter"/>
              <v:path gradientshapeok="t" o:connecttype="rect"/>
            </v:shapetype>
            <v:shape id="Text Box 1" o:spid="_x0000_s1027" type="#_x0000_t202" style="position:absolute;margin-left:14.3pt;margin-top:22.65pt;width:129.75pt;height:23.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" filled="f" stroked="f">
              <v:textbox>
                <w:txbxContent>
                  <w:sdt>
                    <w:sdtPr>
                      <w:rPr>
                        <w:rFonts w:ascii="Arial Bold" w:hAnsi="Arial Bold"/>
                        <w:b/>
                        <w:color w:val="FFFFFF" w:themeColor="background1"/>
                      </w:rPr>
                      <w:id w:val="398715504"/>
                    </w:sdtPr>
                    <w:sdtEndPr>
                      <w:rPr>
                        <w:sz w:val="20"/>
                        <w:szCs w:val="20"/>
                      </w:rPr>
                    </w:sdtEndPr>
                    <w:sdtContent>
                      <w:p w14:paraId="0D978FCA" w14:textId="77777777" w:rsidR="005E2CFD" w:rsidRPr="00464E72" w:rsidRDefault="005E2CFD"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lang w:eastAsia="en-AU"/>
      </w:rPr>
      <w:drawing>
        <wp:anchor distT="0" distB="0" distL="114300" distR="114300" simplePos="0" relativeHeight="251671552" behindDoc="1" locked="0" layoutInCell="1" allowOverlap="1" wp14:anchorId="7A5D3D5E" wp14:editId="660839A7">
          <wp:simplePos x="0" y="0"/>
          <wp:positionH relativeFrom="page">
            <wp:posOffset>-29210</wp:posOffset>
          </wp:positionH>
          <wp:positionV relativeFrom="page">
            <wp:posOffset>7620</wp:posOffset>
          </wp:positionV>
          <wp:extent cx="7580630" cy="10719435"/>
          <wp:effectExtent l="0" t="0" r="127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65408" behindDoc="0" locked="0" layoutInCell="1" allowOverlap="1" wp14:anchorId="6498BB45" wp14:editId="52552CB8">
              <wp:simplePos x="0" y="0"/>
              <wp:positionH relativeFrom="column">
                <wp:posOffset>2562860</wp:posOffset>
              </wp:positionH>
              <wp:positionV relativeFrom="paragraph">
                <wp:posOffset>40005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3CE54A" w14:textId="77777777" w:rsidR="005E2CFD" w:rsidRDefault="005E2CFD" w:rsidP="00B937D8">
                          <w:pPr>
                            <w:pStyle w:val="Publicationtitle"/>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8BB45" id="Text Box 21" o:spid="_x0000_s1028" type="#_x0000_t202" style="position:absolute;margin-left:201.8pt;margin-top:3.15pt;width:312.7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" filled="f" stroked="f" strokeweight=".5pt">
              <v:textbox>
                <w:txbxContent>
                  <w:p w14:paraId="1F3CE54A" w14:textId="77777777" w:rsidR="005E2CFD" w:rsidRDefault="005E2CFD" w:rsidP="00B937D8">
                    <w:pPr>
                      <w:pStyle w:val="Publicationtitle"/>
                    </w:pPr>
                    <w:r>
                      <w:t>Commissioner’s Operating Policy and Procedure (COPP)</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3E6C2" w14:textId="1A68B398" w:rsidR="005E2CFD" w:rsidRDefault="005E2C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B5E0C" w14:textId="49B99540" w:rsidR="005E2CFD" w:rsidRDefault="005E2CFD" w:rsidP="004D040B">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D27A9B">
      <w:rPr>
        <w:noProof/>
      </w:rPr>
      <w:t>COPP 6.8 Population Counts</w:t>
    </w:r>
    <w:r>
      <w:rPr>
        <w:noProof/>
      </w:rPr>
      <w:fldChar w:fldCharType="end"/>
    </w:r>
    <w:r>
      <w:rPr>
        <w:noProof/>
      </w:rPr>
      <w:t xml:space="preserve"> </w:t>
    </w:r>
    <w:r w:rsidR="00E95952">
      <w:rPr>
        <w:noProof/>
      </w:rPr>
      <w:t>v</w:t>
    </w:r>
    <w:r w:rsidR="00140311">
      <w:rPr>
        <w:noProof/>
      </w:rPr>
      <w:t>3</w:t>
    </w:r>
    <w:r w:rsidR="00853B37">
      <w:rPr>
        <w:noProof/>
      </w:rPr>
      <w:t>.0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EA19D" w14:textId="3CD38A2D" w:rsidR="005E2CFD" w:rsidRDefault="005E2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02003E2"/>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15:restartNumberingAfterBreak="0">
    <w:nsid w:val="05B8113D"/>
    <w:multiLevelType w:val="multilevel"/>
    <w:tmpl w:val="6BE4ABD4"/>
    <w:lvl w:ilvl="0">
      <w:start w:val="1"/>
      <w:numFmt w:val="decimal"/>
      <w:pStyle w:val="Heading1"/>
      <w:lvlText w:val="%1"/>
      <w:lvlJc w:val="left"/>
      <w:pPr>
        <w:ind w:left="432" w:hanging="432"/>
      </w:pPr>
    </w:lvl>
    <w:lvl w:ilvl="1">
      <w:start w:val="1"/>
      <w:numFmt w:val="decimal"/>
      <w:pStyle w:val="Heading2"/>
      <w:lvlText w:val="%1.%2"/>
      <w:lvlJc w:val="left"/>
      <w:pPr>
        <w:ind w:left="9649" w:hanging="576"/>
      </w:pPr>
      <w:rPr>
        <w:b/>
      </w:rPr>
    </w:lvl>
    <w:lvl w:ilvl="2">
      <w:start w:val="1"/>
      <w:numFmt w:val="decimal"/>
      <w:pStyle w:val="Heading3"/>
      <w:lvlText w:val="%1.%2.%3"/>
      <w:lvlJc w:val="left"/>
      <w:pPr>
        <w:ind w:left="1288"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19C4CC1"/>
    <w:multiLevelType w:val="hybridMultilevel"/>
    <w:tmpl w:val="CC1E2D30"/>
    <w:lvl w:ilvl="0" w:tplc="D0FAC30A">
      <w:start w:val="1"/>
      <w:numFmt w:val="lowerLetter"/>
      <w:pStyle w:val="ListNumber"/>
      <w:lvlText w:val="%1)"/>
      <w:lvlJc w:val="left"/>
      <w:pPr>
        <w:ind w:left="851" w:hanging="11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9C96965"/>
    <w:multiLevelType w:val="multilevel"/>
    <w:tmpl w:val="7A44155A"/>
    <w:lvl w:ilvl="0">
      <w:start w:val="1"/>
      <w:numFmt w:val="decimal"/>
      <w:lvlText w:val="%1."/>
      <w:lvlJc w:val="left"/>
      <w:pPr>
        <w:tabs>
          <w:tab w:val="num" w:pos="851"/>
        </w:tabs>
        <w:ind w:left="851" w:hanging="851"/>
      </w:pPr>
      <w:rPr>
        <w:rFonts w:hint="default"/>
      </w:rPr>
    </w:lvl>
    <w:lvl w:ilvl="1">
      <w:start w:val="1"/>
      <w:numFmt w:val="decimal"/>
      <w:isLgl/>
      <w:lvlText w:val="%1.%2"/>
      <w:lvlJc w:val="left"/>
      <w:pPr>
        <w:tabs>
          <w:tab w:val="num" w:pos="851"/>
        </w:tabs>
        <w:ind w:left="851" w:hanging="851"/>
      </w:pPr>
      <w:rPr>
        <w:rFonts w:hint="default"/>
      </w:rPr>
    </w:lvl>
    <w:lvl w:ilvl="2">
      <w:start w:val="1"/>
      <w:numFmt w:val="decimal"/>
      <w:pStyle w:val="111Heading"/>
      <w:isLgl/>
      <w:lvlText w:val="%1.%2.%3"/>
      <w:lvlJc w:val="left"/>
      <w:pPr>
        <w:tabs>
          <w:tab w:val="num" w:pos="1419"/>
        </w:tabs>
        <w:ind w:left="1419" w:hanging="851"/>
      </w:pPr>
      <w:rPr>
        <w:rFonts w:hint="default"/>
        <w:b w:val="0"/>
        <w:color w:val="000000" w:themeColor="text1"/>
        <w:sz w:val="24"/>
        <w:szCs w:val="24"/>
      </w:rPr>
    </w:lvl>
    <w:lvl w:ilvl="3">
      <w:start w:val="1"/>
      <w:numFmt w:val="decimal"/>
      <w:isLgl/>
      <w:lvlText w:val="%1.%2.%3.%4"/>
      <w:lvlJc w:val="left"/>
      <w:pPr>
        <w:tabs>
          <w:tab w:val="num" w:pos="539"/>
        </w:tabs>
        <w:ind w:left="539" w:hanging="720"/>
      </w:pPr>
      <w:rPr>
        <w:rFonts w:hint="default"/>
      </w:rPr>
    </w:lvl>
    <w:lvl w:ilvl="4">
      <w:start w:val="1"/>
      <w:numFmt w:val="decimal"/>
      <w:isLgl/>
      <w:lvlText w:val="%1.%2.%3.%4.%5"/>
      <w:lvlJc w:val="left"/>
      <w:pPr>
        <w:tabs>
          <w:tab w:val="num" w:pos="899"/>
        </w:tabs>
        <w:ind w:left="899" w:hanging="1080"/>
      </w:pPr>
      <w:rPr>
        <w:rFonts w:hint="default"/>
      </w:rPr>
    </w:lvl>
    <w:lvl w:ilvl="5">
      <w:start w:val="1"/>
      <w:numFmt w:val="decimal"/>
      <w:isLgl/>
      <w:lvlText w:val="%1.%2.%3.%4.%5.%6"/>
      <w:lvlJc w:val="left"/>
      <w:pPr>
        <w:tabs>
          <w:tab w:val="num" w:pos="1259"/>
        </w:tabs>
        <w:ind w:left="1259" w:hanging="1440"/>
      </w:pPr>
      <w:rPr>
        <w:rFonts w:hint="default"/>
      </w:rPr>
    </w:lvl>
    <w:lvl w:ilvl="6">
      <w:start w:val="1"/>
      <w:numFmt w:val="decimal"/>
      <w:isLgl/>
      <w:lvlText w:val="%1.%2.%3.%4.%5.%6.%7"/>
      <w:lvlJc w:val="left"/>
      <w:pPr>
        <w:tabs>
          <w:tab w:val="num" w:pos="1259"/>
        </w:tabs>
        <w:ind w:left="1259" w:hanging="1440"/>
      </w:pPr>
      <w:rPr>
        <w:rFonts w:hint="default"/>
      </w:rPr>
    </w:lvl>
    <w:lvl w:ilvl="7">
      <w:start w:val="1"/>
      <w:numFmt w:val="decimal"/>
      <w:isLgl/>
      <w:lvlText w:val="%1.%2.%3.%4.%5.%6.%7.%8"/>
      <w:lvlJc w:val="left"/>
      <w:pPr>
        <w:tabs>
          <w:tab w:val="num" w:pos="1619"/>
        </w:tabs>
        <w:ind w:left="1619" w:hanging="1800"/>
      </w:pPr>
      <w:rPr>
        <w:rFonts w:hint="default"/>
      </w:rPr>
    </w:lvl>
    <w:lvl w:ilvl="8">
      <w:start w:val="1"/>
      <w:numFmt w:val="decimal"/>
      <w:isLgl/>
      <w:lvlText w:val="%1.%2.%3.%4.%5.%6.%7.%8.%9"/>
      <w:lvlJc w:val="left"/>
      <w:pPr>
        <w:tabs>
          <w:tab w:val="num" w:pos="1619"/>
        </w:tabs>
        <w:ind w:left="1619" w:hanging="1800"/>
      </w:pPr>
      <w:rPr>
        <w:rFonts w:hint="default"/>
      </w:rPr>
    </w:lvl>
  </w:abstractNum>
  <w:abstractNum w:abstractNumId="4" w15:restartNumberingAfterBreak="0">
    <w:nsid w:val="4E7760A9"/>
    <w:multiLevelType w:val="hybridMultilevel"/>
    <w:tmpl w:val="94F4E5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10587492">
    <w:abstractNumId w:val="1"/>
  </w:num>
  <w:num w:numId="2" w16cid:durableId="195429589">
    <w:abstractNumId w:val="0"/>
  </w:num>
  <w:num w:numId="3" w16cid:durableId="889344089">
    <w:abstractNumId w:val="3"/>
  </w:num>
  <w:num w:numId="4" w16cid:durableId="16075426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9215084">
    <w:abstractNumId w:val="2"/>
  </w:num>
  <w:num w:numId="6" w16cid:durableId="2082752586">
    <w:abstractNumId w:val="2"/>
    <w:lvlOverride w:ilvl="0">
      <w:startOverride w:val="1"/>
    </w:lvlOverride>
  </w:num>
  <w:num w:numId="7" w16cid:durableId="36367452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acJWhxaGUTZFXoiPhp9Krq4B7+ll71YxocTErAKXaysWYpVsp/w0Gwi40E83I3D76BlGrjT93lAyM9ShCh5nkQ==" w:salt="9TsMmtCEgA1kxgvxztAvAg=="/>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0E1621"/>
    <w:rsid w:val="00003D16"/>
    <w:rsid w:val="000050B4"/>
    <w:rsid w:val="00022EE7"/>
    <w:rsid w:val="00023247"/>
    <w:rsid w:val="00034EA2"/>
    <w:rsid w:val="0004397E"/>
    <w:rsid w:val="00045F51"/>
    <w:rsid w:val="00046451"/>
    <w:rsid w:val="00063C81"/>
    <w:rsid w:val="000649AD"/>
    <w:rsid w:val="00071D2F"/>
    <w:rsid w:val="0007233D"/>
    <w:rsid w:val="00074365"/>
    <w:rsid w:val="000755EE"/>
    <w:rsid w:val="00090249"/>
    <w:rsid w:val="000925A5"/>
    <w:rsid w:val="00097178"/>
    <w:rsid w:val="000A013B"/>
    <w:rsid w:val="000A05EC"/>
    <w:rsid w:val="000A7428"/>
    <w:rsid w:val="000B0AF1"/>
    <w:rsid w:val="000B3718"/>
    <w:rsid w:val="000B5D9D"/>
    <w:rsid w:val="000B6320"/>
    <w:rsid w:val="000C5409"/>
    <w:rsid w:val="000D008C"/>
    <w:rsid w:val="000D5EAC"/>
    <w:rsid w:val="000D69A3"/>
    <w:rsid w:val="000E1621"/>
    <w:rsid w:val="000E5EFC"/>
    <w:rsid w:val="000F4F55"/>
    <w:rsid w:val="000F6A54"/>
    <w:rsid w:val="000F7531"/>
    <w:rsid w:val="001035D6"/>
    <w:rsid w:val="00107172"/>
    <w:rsid w:val="00114B5E"/>
    <w:rsid w:val="001158E9"/>
    <w:rsid w:val="001200DD"/>
    <w:rsid w:val="00123E87"/>
    <w:rsid w:val="00126611"/>
    <w:rsid w:val="00127E1F"/>
    <w:rsid w:val="00130ED0"/>
    <w:rsid w:val="00131037"/>
    <w:rsid w:val="0013498E"/>
    <w:rsid w:val="00136500"/>
    <w:rsid w:val="00137181"/>
    <w:rsid w:val="00140311"/>
    <w:rsid w:val="0014448C"/>
    <w:rsid w:val="00144A1B"/>
    <w:rsid w:val="00146144"/>
    <w:rsid w:val="00146739"/>
    <w:rsid w:val="00150099"/>
    <w:rsid w:val="00154111"/>
    <w:rsid w:val="00155864"/>
    <w:rsid w:val="00156B20"/>
    <w:rsid w:val="00160DD7"/>
    <w:rsid w:val="00160EA0"/>
    <w:rsid w:val="001627C4"/>
    <w:rsid w:val="00163F38"/>
    <w:rsid w:val="001728D5"/>
    <w:rsid w:val="001746C6"/>
    <w:rsid w:val="001757E8"/>
    <w:rsid w:val="00185561"/>
    <w:rsid w:val="00185DBC"/>
    <w:rsid w:val="00191010"/>
    <w:rsid w:val="00193880"/>
    <w:rsid w:val="001A3294"/>
    <w:rsid w:val="001A3324"/>
    <w:rsid w:val="001A3725"/>
    <w:rsid w:val="001A4433"/>
    <w:rsid w:val="001B2E39"/>
    <w:rsid w:val="001C0608"/>
    <w:rsid w:val="001C33C7"/>
    <w:rsid w:val="001C4BA5"/>
    <w:rsid w:val="001D733B"/>
    <w:rsid w:val="001D78AC"/>
    <w:rsid w:val="001E0062"/>
    <w:rsid w:val="001E7ED6"/>
    <w:rsid w:val="002026E1"/>
    <w:rsid w:val="002028CE"/>
    <w:rsid w:val="00212148"/>
    <w:rsid w:val="00214FAD"/>
    <w:rsid w:val="0021505D"/>
    <w:rsid w:val="002178FA"/>
    <w:rsid w:val="00230D15"/>
    <w:rsid w:val="0023509D"/>
    <w:rsid w:val="002457AA"/>
    <w:rsid w:val="00245869"/>
    <w:rsid w:val="00250C62"/>
    <w:rsid w:val="00254316"/>
    <w:rsid w:val="00260209"/>
    <w:rsid w:val="00261237"/>
    <w:rsid w:val="00261F16"/>
    <w:rsid w:val="0026223B"/>
    <w:rsid w:val="00263C09"/>
    <w:rsid w:val="00263E2E"/>
    <w:rsid w:val="00265CB2"/>
    <w:rsid w:val="0027609B"/>
    <w:rsid w:val="00283E79"/>
    <w:rsid w:val="00285795"/>
    <w:rsid w:val="002A6E52"/>
    <w:rsid w:val="002B16B8"/>
    <w:rsid w:val="002B5091"/>
    <w:rsid w:val="002C7821"/>
    <w:rsid w:val="002D3F0F"/>
    <w:rsid w:val="002E6F7B"/>
    <w:rsid w:val="002F1DC7"/>
    <w:rsid w:val="002F7CCE"/>
    <w:rsid w:val="00302144"/>
    <w:rsid w:val="00305E50"/>
    <w:rsid w:val="00307964"/>
    <w:rsid w:val="00310141"/>
    <w:rsid w:val="00315EE3"/>
    <w:rsid w:val="00321F26"/>
    <w:rsid w:val="00323E92"/>
    <w:rsid w:val="00327397"/>
    <w:rsid w:val="0033502E"/>
    <w:rsid w:val="00345D09"/>
    <w:rsid w:val="00356508"/>
    <w:rsid w:val="00365059"/>
    <w:rsid w:val="003657E3"/>
    <w:rsid w:val="003732AA"/>
    <w:rsid w:val="003768E9"/>
    <w:rsid w:val="00380258"/>
    <w:rsid w:val="003802A0"/>
    <w:rsid w:val="003817E2"/>
    <w:rsid w:val="00392979"/>
    <w:rsid w:val="003B670B"/>
    <w:rsid w:val="003B700A"/>
    <w:rsid w:val="003B724E"/>
    <w:rsid w:val="003C1B90"/>
    <w:rsid w:val="003D147A"/>
    <w:rsid w:val="003D1E68"/>
    <w:rsid w:val="003D1F82"/>
    <w:rsid w:val="003D3B5F"/>
    <w:rsid w:val="003D5FAC"/>
    <w:rsid w:val="003D708E"/>
    <w:rsid w:val="003D7C37"/>
    <w:rsid w:val="003D7CEA"/>
    <w:rsid w:val="003E584F"/>
    <w:rsid w:val="003E65F6"/>
    <w:rsid w:val="003E6CE1"/>
    <w:rsid w:val="003E718A"/>
    <w:rsid w:val="003F0B6D"/>
    <w:rsid w:val="003F2F1D"/>
    <w:rsid w:val="00400DF5"/>
    <w:rsid w:val="00404768"/>
    <w:rsid w:val="004061B2"/>
    <w:rsid w:val="0040796F"/>
    <w:rsid w:val="00414F78"/>
    <w:rsid w:val="0041725E"/>
    <w:rsid w:val="00426745"/>
    <w:rsid w:val="00431EA5"/>
    <w:rsid w:val="00435844"/>
    <w:rsid w:val="00441526"/>
    <w:rsid w:val="00443E02"/>
    <w:rsid w:val="00455891"/>
    <w:rsid w:val="00457598"/>
    <w:rsid w:val="00462393"/>
    <w:rsid w:val="00462578"/>
    <w:rsid w:val="0046439C"/>
    <w:rsid w:val="00464E72"/>
    <w:rsid w:val="00466396"/>
    <w:rsid w:val="00482CD5"/>
    <w:rsid w:val="0048649B"/>
    <w:rsid w:val="00490500"/>
    <w:rsid w:val="0049081C"/>
    <w:rsid w:val="0049482D"/>
    <w:rsid w:val="004B2862"/>
    <w:rsid w:val="004B307A"/>
    <w:rsid w:val="004B5C9D"/>
    <w:rsid w:val="004B6106"/>
    <w:rsid w:val="004C040F"/>
    <w:rsid w:val="004C143F"/>
    <w:rsid w:val="004C2F43"/>
    <w:rsid w:val="004D01F4"/>
    <w:rsid w:val="004D040B"/>
    <w:rsid w:val="004D0E39"/>
    <w:rsid w:val="004D3D3C"/>
    <w:rsid w:val="004D5D00"/>
    <w:rsid w:val="004D63A7"/>
    <w:rsid w:val="004E4072"/>
    <w:rsid w:val="004E571B"/>
    <w:rsid w:val="004E7A01"/>
    <w:rsid w:val="00503467"/>
    <w:rsid w:val="00503850"/>
    <w:rsid w:val="00514C34"/>
    <w:rsid w:val="0051598A"/>
    <w:rsid w:val="005207AD"/>
    <w:rsid w:val="00521AF0"/>
    <w:rsid w:val="0053444E"/>
    <w:rsid w:val="0053757B"/>
    <w:rsid w:val="0054060A"/>
    <w:rsid w:val="00540AB6"/>
    <w:rsid w:val="00545E09"/>
    <w:rsid w:val="00547B27"/>
    <w:rsid w:val="00554385"/>
    <w:rsid w:val="00554CD2"/>
    <w:rsid w:val="00555C0A"/>
    <w:rsid w:val="005657AE"/>
    <w:rsid w:val="005712A9"/>
    <w:rsid w:val="00576EFF"/>
    <w:rsid w:val="00580F8D"/>
    <w:rsid w:val="005814D6"/>
    <w:rsid w:val="00592112"/>
    <w:rsid w:val="00594A8A"/>
    <w:rsid w:val="005A3EA6"/>
    <w:rsid w:val="005B48A4"/>
    <w:rsid w:val="005C66E2"/>
    <w:rsid w:val="005D220F"/>
    <w:rsid w:val="005E2CFD"/>
    <w:rsid w:val="005E566A"/>
    <w:rsid w:val="005E7DFA"/>
    <w:rsid w:val="005F23AE"/>
    <w:rsid w:val="005F2DF8"/>
    <w:rsid w:val="00600E6C"/>
    <w:rsid w:val="00603A97"/>
    <w:rsid w:val="00605D0E"/>
    <w:rsid w:val="006074BD"/>
    <w:rsid w:val="006106AF"/>
    <w:rsid w:val="006136CE"/>
    <w:rsid w:val="00617CFB"/>
    <w:rsid w:val="00626331"/>
    <w:rsid w:val="00627056"/>
    <w:rsid w:val="00627992"/>
    <w:rsid w:val="006335A4"/>
    <w:rsid w:val="00634C54"/>
    <w:rsid w:val="006401FD"/>
    <w:rsid w:val="006444FB"/>
    <w:rsid w:val="00644A2D"/>
    <w:rsid w:val="0065413A"/>
    <w:rsid w:val="0065536A"/>
    <w:rsid w:val="00656F4A"/>
    <w:rsid w:val="00664F1A"/>
    <w:rsid w:val="00680B49"/>
    <w:rsid w:val="006A3834"/>
    <w:rsid w:val="006B3601"/>
    <w:rsid w:val="006D026D"/>
    <w:rsid w:val="006D0D9A"/>
    <w:rsid w:val="006F323C"/>
    <w:rsid w:val="006F462A"/>
    <w:rsid w:val="00707BAA"/>
    <w:rsid w:val="00711C79"/>
    <w:rsid w:val="00715807"/>
    <w:rsid w:val="00716B5B"/>
    <w:rsid w:val="00722FE1"/>
    <w:rsid w:val="0072325B"/>
    <w:rsid w:val="00742891"/>
    <w:rsid w:val="007444AC"/>
    <w:rsid w:val="00744C32"/>
    <w:rsid w:val="00750444"/>
    <w:rsid w:val="00752A9E"/>
    <w:rsid w:val="007658CA"/>
    <w:rsid w:val="00765EF4"/>
    <w:rsid w:val="007671FC"/>
    <w:rsid w:val="007707E8"/>
    <w:rsid w:val="00771E86"/>
    <w:rsid w:val="007734AB"/>
    <w:rsid w:val="007751F9"/>
    <w:rsid w:val="00775238"/>
    <w:rsid w:val="0078188B"/>
    <w:rsid w:val="007862D1"/>
    <w:rsid w:val="00791B12"/>
    <w:rsid w:val="00796706"/>
    <w:rsid w:val="007A70BA"/>
    <w:rsid w:val="007C22DF"/>
    <w:rsid w:val="007C31C1"/>
    <w:rsid w:val="007C7440"/>
    <w:rsid w:val="007D1C0F"/>
    <w:rsid w:val="007D3C6F"/>
    <w:rsid w:val="007D44A8"/>
    <w:rsid w:val="007E5EC9"/>
    <w:rsid w:val="007E67F4"/>
    <w:rsid w:val="007F13E2"/>
    <w:rsid w:val="007F3EBD"/>
    <w:rsid w:val="007F6862"/>
    <w:rsid w:val="008000C6"/>
    <w:rsid w:val="00803710"/>
    <w:rsid w:val="008047B6"/>
    <w:rsid w:val="008114B3"/>
    <w:rsid w:val="00811915"/>
    <w:rsid w:val="008163AC"/>
    <w:rsid w:val="008228A4"/>
    <w:rsid w:val="00822908"/>
    <w:rsid w:val="00826A09"/>
    <w:rsid w:val="008270E3"/>
    <w:rsid w:val="0083303F"/>
    <w:rsid w:val="00844223"/>
    <w:rsid w:val="00847F94"/>
    <w:rsid w:val="00853B37"/>
    <w:rsid w:val="00855418"/>
    <w:rsid w:val="00855C9D"/>
    <w:rsid w:val="00857A48"/>
    <w:rsid w:val="0086067A"/>
    <w:rsid w:val="00860BF6"/>
    <w:rsid w:val="00862CA6"/>
    <w:rsid w:val="008672FE"/>
    <w:rsid w:val="00890578"/>
    <w:rsid w:val="00892150"/>
    <w:rsid w:val="00892BEA"/>
    <w:rsid w:val="008976B1"/>
    <w:rsid w:val="008A5018"/>
    <w:rsid w:val="008B5E88"/>
    <w:rsid w:val="008C216D"/>
    <w:rsid w:val="008C4B09"/>
    <w:rsid w:val="008C5D31"/>
    <w:rsid w:val="008D3DE0"/>
    <w:rsid w:val="008D51C1"/>
    <w:rsid w:val="008D6DA6"/>
    <w:rsid w:val="008D7FC7"/>
    <w:rsid w:val="008E64A0"/>
    <w:rsid w:val="008E76C6"/>
    <w:rsid w:val="008F5DB3"/>
    <w:rsid w:val="008F72D6"/>
    <w:rsid w:val="00903536"/>
    <w:rsid w:val="0091065E"/>
    <w:rsid w:val="00912BFF"/>
    <w:rsid w:val="00920683"/>
    <w:rsid w:val="00930B45"/>
    <w:rsid w:val="00953EE1"/>
    <w:rsid w:val="0096091F"/>
    <w:rsid w:val="009630A6"/>
    <w:rsid w:val="009637AA"/>
    <w:rsid w:val="00967034"/>
    <w:rsid w:val="00973F63"/>
    <w:rsid w:val="009769BA"/>
    <w:rsid w:val="00980456"/>
    <w:rsid w:val="00983B24"/>
    <w:rsid w:val="00984790"/>
    <w:rsid w:val="009902EB"/>
    <w:rsid w:val="00993930"/>
    <w:rsid w:val="00995D2E"/>
    <w:rsid w:val="009962C0"/>
    <w:rsid w:val="009A19E1"/>
    <w:rsid w:val="009A6406"/>
    <w:rsid w:val="009B33C1"/>
    <w:rsid w:val="009B751B"/>
    <w:rsid w:val="009C1337"/>
    <w:rsid w:val="009C429A"/>
    <w:rsid w:val="009D5487"/>
    <w:rsid w:val="009E2F29"/>
    <w:rsid w:val="00A011AA"/>
    <w:rsid w:val="00A12EF3"/>
    <w:rsid w:val="00A166CC"/>
    <w:rsid w:val="00A21246"/>
    <w:rsid w:val="00A31005"/>
    <w:rsid w:val="00A37664"/>
    <w:rsid w:val="00A43C9A"/>
    <w:rsid w:val="00A43D05"/>
    <w:rsid w:val="00A47D57"/>
    <w:rsid w:val="00A53E15"/>
    <w:rsid w:val="00A5514A"/>
    <w:rsid w:val="00A64EC8"/>
    <w:rsid w:val="00A662FC"/>
    <w:rsid w:val="00A74CC3"/>
    <w:rsid w:val="00A820CD"/>
    <w:rsid w:val="00A86AF8"/>
    <w:rsid w:val="00A94044"/>
    <w:rsid w:val="00A95B5D"/>
    <w:rsid w:val="00A96D03"/>
    <w:rsid w:val="00AA43E8"/>
    <w:rsid w:val="00AA79E1"/>
    <w:rsid w:val="00AC5EAE"/>
    <w:rsid w:val="00AC7C01"/>
    <w:rsid w:val="00AD4E6C"/>
    <w:rsid w:val="00AD6B7F"/>
    <w:rsid w:val="00AE2155"/>
    <w:rsid w:val="00AE3362"/>
    <w:rsid w:val="00AE6866"/>
    <w:rsid w:val="00AF1740"/>
    <w:rsid w:val="00AF2F15"/>
    <w:rsid w:val="00AF4C82"/>
    <w:rsid w:val="00AF7084"/>
    <w:rsid w:val="00AF7DDC"/>
    <w:rsid w:val="00B02B08"/>
    <w:rsid w:val="00B037E2"/>
    <w:rsid w:val="00B16743"/>
    <w:rsid w:val="00B22CFC"/>
    <w:rsid w:val="00B23336"/>
    <w:rsid w:val="00B37D11"/>
    <w:rsid w:val="00B37F20"/>
    <w:rsid w:val="00B505FB"/>
    <w:rsid w:val="00B53815"/>
    <w:rsid w:val="00B55E78"/>
    <w:rsid w:val="00B60EB2"/>
    <w:rsid w:val="00B61A85"/>
    <w:rsid w:val="00B64F77"/>
    <w:rsid w:val="00B751DE"/>
    <w:rsid w:val="00B86AF7"/>
    <w:rsid w:val="00B937D8"/>
    <w:rsid w:val="00BA48A0"/>
    <w:rsid w:val="00BB11B1"/>
    <w:rsid w:val="00BB1481"/>
    <w:rsid w:val="00BC157D"/>
    <w:rsid w:val="00BC690D"/>
    <w:rsid w:val="00BD0824"/>
    <w:rsid w:val="00BD57C9"/>
    <w:rsid w:val="00C049D6"/>
    <w:rsid w:val="00C06A93"/>
    <w:rsid w:val="00C0767A"/>
    <w:rsid w:val="00C11C3C"/>
    <w:rsid w:val="00C15484"/>
    <w:rsid w:val="00C15AAC"/>
    <w:rsid w:val="00C2101E"/>
    <w:rsid w:val="00C22616"/>
    <w:rsid w:val="00C268D0"/>
    <w:rsid w:val="00C270DE"/>
    <w:rsid w:val="00C30D94"/>
    <w:rsid w:val="00C3184C"/>
    <w:rsid w:val="00C34111"/>
    <w:rsid w:val="00C37111"/>
    <w:rsid w:val="00C404DC"/>
    <w:rsid w:val="00C47B1A"/>
    <w:rsid w:val="00C5481B"/>
    <w:rsid w:val="00C6272D"/>
    <w:rsid w:val="00C63087"/>
    <w:rsid w:val="00C81DE6"/>
    <w:rsid w:val="00C8272F"/>
    <w:rsid w:val="00C91009"/>
    <w:rsid w:val="00C95D13"/>
    <w:rsid w:val="00CA631C"/>
    <w:rsid w:val="00CC350E"/>
    <w:rsid w:val="00CD5915"/>
    <w:rsid w:val="00CE0755"/>
    <w:rsid w:val="00CE1A06"/>
    <w:rsid w:val="00CE275E"/>
    <w:rsid w:val="00CE503A"/>
    <w:rsid w:val="00CE5335"/>
    <w:rsid w:val="00CF3AA9"/>
    <w:rsid w:val="00CF4938"/>
    <w:rsid w:val="00D059CB"/>
    <w:rsid w:val="00D05B49"/>
    <w:rsid w:val="00D06E62"/>
    <w:rsid w:val="00D151E1"/>
    <w:rsid w:val="00D20E41"/>
    <w:rsid w:val="00D24B04"/>
    <w:rsid w:val="00D27A9B"/>
    <w:rsid w:val="00D337BE"/>
    <w:rsid w:val="00D35845"/>
    <w:rsid w:val="00D4674C"/>
    <w:rsid w:val="00D52373"/>
    <w:rsid w:val="00D5249D"/>
    <w:rsid w:val="00D527C6"/>
    <w:rsid w:val="00D60186"/>
    <w:rsid w:val="00D719B2"/>
    <w:rsid w:val="00D8313C"/>
    <w:rsid w:val="00D84011"/>
    <w:rsid w:val="00D9330E"/>
    <w:rsid w:val="00D97FE9"/>
    <w:rsid w:val="00DA1A02"/>
    <w:rsid w:val="00DA3F2A"/>
    <w:rsid w:val="00DA595C"/>
    <w:rsid w:val="00DB15C0"/>
    <w:rsid w:val="00DC6B5E"/>
    <w:rsid w:val="00DD05AF"/>
    <w:rsid w:val="00DD05BF"/>
    <w:rsid w:val="00DE461C"/>
    <w:rsid w:val="00DE552E"/>
    <w:rsid w:val="00DF07C5"/>
    <w:rsid w:val="00DF38A5"/>
    <w:rsid w:val="00DF6D24"/>
    <w:rsid w:val="00DF778C"/>
    <w:rsid w:val="00DF7A5C"/>
    <w:rsid w:val="00E102E9"/>
    <w:rsid w:val="00E1745E"/>
    <w:rsid w:val="00E275AA"/>
    <w:rsid w:val="00E42695"/>
    <w:rsid w:val="00E54EDC"/>
    <w:rsid w:val="00E64B61"/>
    <w:rsid w:val="00E75B0A"/>
    <w:rsid w:val="00E77016"/>
    <w:rsid w:val="00E8032C"/>
    <w:rsid w:val="00E81B35"/>
    <w:rsid w:val="00E82852"/>
    <w:rsid w:val="00E84D53"/>
    <w:rsid w:val="00E90850"/>
    <w:rsid w:val="00E95952"/>
    <w:rsid w:val="00EA0232"/>
    <w:rsid w:val="00EA17ED"/>
    <w:rsid w:val="00EA2F74"/>
    <w:rsid w:val="00EA2FDF"/>
    <w:rsid w:val="00EA5019"/>
    <w:rsid w:val="00EA6531"/>
    <w:rsid w:val="00EA7EAC"/>
    <w:rsid w:val="00EC032D"/>
    <w:rsid w:val="00EC11D3"/>
    <w:rsid w:val="00EC2113"/>
    <w:rsid w:val="00EC4245"/>
    <w:rsid w:val="00EC5AF1"/>
    <w:rsid w:val="00EC5E63"/>
    <w:rsid w:val="00EC7AB2"/>
    <w:rsid w:val="00ED4DFA"/>
    <w:rsid w:val="00EF1CBD"/>
    <w:rsid w:val="00EF2200"/>
    <w:rsid w:val="00EF5F7E"/>
    <w:rsid w:val="00F116A3"/>
    <w:rsid w:val="00F237FF"/>
    <w:rsid w:val="00F30741"/>
    <w:rsid w:val="00F40FC4"/>
    <w:rsid w:val="00F43A0B"/>
    <w:rsid w:val="00F45492"/>
    <w:rsid w:val="00F47A9A"/>
    <w:rsid w:val="00F50993"/>
    <w:rsid w:val="00F5170C"/>
    <w:rsid w:val="00F52FD1"/>
    <w:rsid w:val="00F53A8C"/>
    <w:rsid w:val="00F60389"/>
    <w:rsid w:val="00F64115"/>
    <w:rsid w:val="00F730E5"/>
    <w:rsid w:val="00F933CE"/>
    <w:rsid w:val="00F948E8"/>
    <w:rsid w:val="00FA1D8B"/>
    <w:rsid w:val="00FA2771"/>
    <w:rsid w:val="00FA430D"/>
    <w:rsid w:val="00FA7CD7"/>
    <w:rsid w:val="00FC4DBD"/>
    <w:rsid w:val="00FD0540"/>
    <w:rsid w:val="00FD2455"/>
    <w:rsid w:val="00FE207C"/>
    <w:rsid w:val="00FE45C4"/>
    <w:rsid w:val="00FE62EC"/>
    <w:rsid w:val="00FF4F3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7B1902"/>
  <w14:defaultImageDpi w14:val="300"/>
  <w15:docId w15:val="{0A309BA7-9A91-49D5-BDB7-CBFB73F68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993"/>
    <w:rPr>
      <w:rFonts w:ascii="Arial" w:hAnsi="Arial"/>
      <w:sz w:val="24"/>
      <w:szCs w:val="24"/>
      <w:lang w:eastAsia="en-US"/>
    </w:rPr>
  </w:style>
  <w:style w:type="paragraph" w:styleId="Heading1">
    <w:name w:val="heading 1"/>
    <w:basedOn w:val="Normal"/>
    <w:next w:val="Normal"/>
    <w:link w:val="Heading1Char"/>
    <w:uiPriority w:val="9"/>
    <w:qFormat/>
    <w:rsid w:val="006444FB"/>
    <w:pPr>
      <w:keepNext/>
      <w:keepLines/>
      <w:numPr>
        <w:numId w:val="1"/>
      </w:numPr>
      <w:spacing w:before="240" w:after="12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0755EE"/>
    <w:pPr>
      <w:numPr>
        <w:ilvl w:val="1"/>
      </w:numPr>
      <w:ind w:left="576"/>
      <w:outlineLvl w:val="1"/>
    </w:pPr>
    <w:rPr>
      <w:bCs w:val="0"/>
      <w:sz w:val="24"/>
      <w:szCs w:val="26"/>
    </w:rPr>
  </w:style>
  <w:style w:type="paragraph" w:styleId="Heading3">
    <w:name w:val="heading 3"/>
    <w:basedOn w:val="Heading2"/>
    <w:next w:val="Normal"/>
    <w:link w:val="Heading3Char"/>
    <w:uiPriority w:val="9"/>
    <w:unhideWhenUsed/>
    <w:qFormat/>
    <w:rsid w:val="003D5FAC"/>
    <w:pPr>
      <w:numPr>
        <w:ilvl w:val="2"/>
      </w:numPr>
      <w:spacing w:before="200"/>
      <w:ind w:left="737" w:hanging="737"/>
      <w:outlineLvl w:val="2"/>
    </w:pPr>
    <w:rPr>
      <w:b w:val="0"/>
      <w:bCs/>
    </w:rPr>
  </w:style>
  <w:style w:type="paragraph" w:styleId="Heading4">
    <w:name w:val="heading 4"/>
    <w:basedOn w:val="Normal"/>
    <w:next w:val="Normal"/>
    <w:link w:val="Heading4Char"/>
    <w:uiPriority w:val="9"/>
    <w:unhideWhenUsed/>
    <w:qFormat/>
    <w:rsid w:val="000755EE"/>
    <w:pPr>
      <w:keepNext/>
      <w:keepLines/>
      <w:numPr>
        <w:ilvl w:val="3"/>
        <w:numId w:val="1"/>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semiHidden/>
    <w:unhideWhenUsed/>
    <w:qFormat/>
    <w:rsid w:val="000755EE"/>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semiHidden/>
    <w:unhideWhenUsed/>
    <w:qFormat/>
    <w:rsid w:val="000755EE"/>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semiHidden/>
    <w:unhideWhenUsed/>
    <w:qFormat/>
    <w:rsid w:val="000755EE"/>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semiHidden/>
    <w:unhideWhenUsed/>
    <w:qFormat/>
    <w:rsid w:val="000755EE"/>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unhideWhenUsed/>
    <w:qFormat/>
    <w:rsid w:val="000755EE"/>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444FB"/>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0755EE"/>
    <w:rPr>
      <w:rFonts w:ascii="Arial" w:eastAsia="MS Gothic" w:hAnsi="Arial"/>
      <w:b/>
      <w:color w:val="000000" w:themeColor="text1"/>
      <w:sz w:val="24"/>
      <w:szCs w:val="26"/>
      <w:lang w:eastAsia="en-US"/>
    </w:rPr>
  </w:style>
  <w:style w:type="character" w:customStyle="1" w:styleId="Heading3Char">
    <w:name w:val="Heading 3 Char"/>
    <w:link w:val="Heading3"/>
    <w:uiPriority w:val="9"/>
    <w:rsid w:val="003D5FAC"/>
    <w:rPr>
      <w:rFonts w:ascii="Arial" w:eastAsia="MS Gothic" w:hAnsi="Arial"/>
      <w:bCs/>
      <w:color w:val="000000" w:themeColor="text1"/>
      <w:sz w:val="24"/>
      <w:szCs w:val="26"/>
      <w:lang w:eastAsia="en-US"/>
    </w:rPr>
  </w:style>
  <w:style w:type="character" w:customStyle="1" w:styleId="Heading4Char">
    <w:name w:val="Heading 4 Char"/>
    <w:link w:val="Heading4"/>
    <w:uiPriority w:val="9"/>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semiHidden/>
    <w:rsid w:val="000755EE"/>
    <w:rPr>
      <w:rFonts w:ascii="Calibri" w:eastAsia="MS Gothic" w:hAnsi="Calibri"/>
      <w:color w:val="243F60"/>
      <w:sz w:val="24"/>
      <w:szCs w:val="24"/>
      <w:lang w:eastAsia="en-US"/>
    </w:rPr>
  </w:style>
  <w:style w:type="character" w:customStyle="1" w:styleId="Heading6Char">
    <w:name w:val="Heading 6 Char"/>
    <w:link w:val="Heading6"/>
    <w:uiPriority w:val="9"/>
    <w:semiHidden/>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semiHidden/>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semiHidden/>
    <w:rsid w:val="000755EE"/>
    <w:rPr>
      <w:rFonts w:ascii="Calibri" w:eastAsia="MS Gothic" w:hAnsi="Calibri"/>
      <w:color w:val="404040"/>
      <w:lang w:eastAsia="en-US"/>
    </w:rPr>
  </w:style>
  <w:style w:type="character" w:customStyle="1" w:styleId="Heading9Char">
    <w:name w:val="Heading 9 Char"/>
    <w:link w:val="Heading9"/>
    <w:uiPriority w:val="9"/>
    <w:rsid w:val="000755EE"/>
    <w:rPr>
      <w:rFonts w:ascii="Calibri" w:eastAsia="MS Gothic" w:hAnsi="Calibri"/>
      <w:i/>
      <w:iCs/>
      <w:color w:val="404040"/>
      <w:lang w:eastAsia="en-US"/>
    </w:rPr>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qFormat/>
    <w:rsid w:val="00DF778C"/>
    <w:pPr>
      <w:spacing w:before="120" w:after="120"/>
    </w:pPr>
    <w:rPr>
      <w:b/>
      <w:color w:val="000000" w:themeColor="text1"/>
      <w:sz w:val="32"/>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semiHidden/>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FA1D8B"/>
    <w:pPr>
      <w:spacing w:after="100"/>
    </w:pPr>
  </w:style>
  <w:style w:type="paragraph" w:styleId="TOC2">
    <w:name w:val="toc 2"/>
    <w:basedOn w:val="Normal"/>
    <w:next w:val="Normal"/>
    <w:autoRedefine/>
    <w:uiPriority w:val="39"/>
    <w:unhideWhenUsed/>
    <w:rsid w:val="003F2F1D"/>
    <w:pPr>
      <w:tabs>
        <w:tab w:val="left" w:pos="851"/>
        <w:tab w:val="right" w:leader="dot" w:pos="9168"/>
      </w:tabs>
      <w:spacing w:after="100"/>
      <w:ind w:left="240"/>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8D51C1"/>
    <w:pPr>
      <w:spacing w:before="1680" w:after="240"/>
    </w:pPr>
    <w:rPr>
      <w:rFonts w:ascii="Arial Bold" w:hAnsi="Arial Bold"/>
      <w:b/>
      <w:color w:val="6A1A41"/>
      <w:sz w:val="36"/>
      <w:szCs w:val="56"/>
    </w:rPr>
  </w:style>
  <w:style w:type="character" w:customStyle="1" w:styleId="TitleChar">
    <w:name w:val="Title Char"/>
    <w:link w:val="Title"/>
    <w:uiPriority w:val="10"/>
    <w:rsid w:val="008D51C1"/>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3D5FAC"/>
    <w:pPr>
      <w:numPr>
        <w:numId w:val="2"/>
      </w:numPr>
      <w:spacing w:after="60"/>
      <w:ind w:left="357" w:hanging="357"/>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EA7EAC"/>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customStyle="1" w:styleId="111Heading">
    <w:name w:val="1.1.1 Heading"/>
    <w:basedOn w:val="Normal"/>
    <w:rsid w:val="001627C4"/>
    <w:pPr>
      <w:numPr>
        <w:ilvl w:val="2"/>
        <w:numId w:val="3"/>
      </w:numPr>
      <w:spacing w:before="60" w:after="60"/>
    </w:pPr>
    <w:rPr>
      <w:rFonts w:eastAsia="Times New Roman"/>
      <w:lang w:eastAsia="en-AU"/>
    </w:rPr>
  </w:style>
  <w:style w:type="character" w:styleId="CommentReference">
    <w:name w:val="annotation reference"/>
    <w:basedOn w:val="DefaultParagraphFont"/>
    <w:uiPriority w:val="99"/>
    <w:semiHidden/>
    <w:unhideWhenUsed/>
    <w:rsid w:val="003D7C37"/>
    <w:rPr>
      <w:sz w:val="16"/>
      <w:szCs w:val="16"/>
    </w:rPr>
  </w:style>
  <w:style w:type="paragraph" w:styleId="CommentText">
    <w:name w:val="annotation text"/>
    <w:basedOn w:val="Normal"/>
    <w:link w:val="CommentTextChar"/>
    <w:uiPriority w:val="99"/>
    <w:unhideWhenUsed/>
    <w:rsid w:val="003D7C37"/>
    <w:rPr>
      <w:sz w:val="20"/>
      <w:szCs w:val="20"/>
    </w:rPr>
  </w:style>
  <w:style w:type="character" w:customStyle="1" w:styleId="CommentTextChar">
    <w:name w:val="Comment Text Char"/>
    <w:basedOn w:val="DefaultParagraphFont"/>
    <w:link w:val="CommentText"/>
    <w:uiPriority w:val="99"/>
    <w:rsid w:val="003D7C37"/>
    <w:rPr>
      <w:rFonts w:ascii="Arial" w:hAnsi="Arial"/>
      <w:lang w:eastAsia="en-US"/>
    </w:rPr>
  </w:style>
  <w:style w:type="paragraph" w:styleId="CommentSubject">
    <w:name w:val="annotation subject"/>
    <w:basedOn w:val="CommentText"/>
    <w:next w:val="CommentText"/>
    <w:link w:val="CommentSubjectChar"/>
    <w:uiPriority w:val="99"/>
    <w:semiHidden/>
    <w:unhideWhenUsed/>
    <w:rsid w:val="003D7C37"/>
    <w:rPr>
      <w:b/>
      <w:bCs/>
    </w:rPr>
  </w:style>
  <w:style w:type="character" w:customStyle="1" w:styleId="CommentSubjectChar">
    <w:name w:val="Comment Subject Char"/>
    <w:basedOn w:val="CommentTextChar"/>
    <w:link w:val="CommentSubject"/>
    <w:uiPriority w:val="99"/>
    <w:semiHidden/>
    <w:rsid w:val="003D7C37"/>
    <w:rPr>
      <w:rFonts w:ascii="Arial" w:hAnsi="Arial"/>
      <w:b/>
      <w:bCs/>
      <w:lang w:eastAsia="en-US"/>
    </w:rPr>
  </w:style>
  <w:style w:type="paragraph" w:styleId="TOC3">
    <w:name w:val="toc 3"/>
    <w:basedOn w:val="Normal"/>
    <w:next w:val="Normal"/>
    <w:autoRedefine/>
    <w:uiPriority w:val="39"/>
    <w:unhideWhenUsed/>
    <w:rsid w:val="00305E50"/>
    <w:pPr>
      <w:spacing w:after="100"/>
      <w:ind w:left="480"/>
    </w:pPr>
  </w:style>
  <w:style w:type="paragraph" w:customStyle="1" w:styleId="Default">
    <w:name w:val="Default"/>
    <w:rsid w:val="00FE62EC"/>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107172"/>
    <w:rPr>
      <w:color w:val="800080" w:themeColor="followedHyperlink"/>
      <w:u w:val="single"/>
    </w:rPr>
  </w:style>
  <w:style w:type="paragraph" w:styleId="ListNumber">
    <w:name w:val="List Number"/>
    <w:basedOn w:val="Default"/>
    <w:uiPriority w:val="99"/>
    <w:unhideWhenUsed/>
    <w:rsid w:val="00F50993"/>
    <w:pPr>
      <w:numPr>
        <w:numId w:val="5"/>
      </w:numPr>
      <w:spacing w:after="60"/>
    </w:pPr>
    <w:rPr>
      <w:rFonts w:eastAsia="MS Gothic" w:cs="Times New Roman"/>
      <w:bCs/>
      <w:color w:val="000000" w:themeColor="text1"/>
      <w:szCs w:val="26"/>
      <w:lang w:eastAsia="en-US"/>
    </w:rPr>
  </w:style>
  <w:style w:type="paragraph" w:styleId="Revision">
    <w:name w:val="Revision"/>
    <w:hidden/>
    <w:uiPriority w:val="99"/>
    <w:semiHidden/>
    <w:rsid w:val="00261F16"/>
    <w:rPr>
      <w:rFonts w:ascii="Arial" w:hAnsi="Arial"/>
      <w:sz w:val="24"/>
      <w:szCs w:val="24"/>
      <w:lang w:eastAsia="en-US"/>
    </w:rPr>
  </w:style>
  <w:style w:type="character" w:styleId="UnresolvedMention">
    <w:name w:val="Unresolved Mention"/>
    <w:basedOn w:val="DefaultParagraphFont"/>
    <w:uiPriority w:val="99"/>
    <w:semiHidden/>
    <w:unhideWhenUsed/>
    <w:rsid w:val="000E5E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ojwa.sharepoint.com/sites/intranet/department/standards/Pages/ops-standards.aspx" TargetMode="External"/><Relationship Id="rId18" Type="http://schemas.openxmlformats.org/officeDocument/2006/relationships/hyperlink" Target="https://dojwa.sharepoint.com/sites/intranet/prison-operations/Pages/bhdc-copps.asp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dojwa.sharepoint.com/search/Pages/results.aspx?k=operational%20compliance&amp;ql=3081" TargetMode="External"/><Relationship Id="rId7" Type="http://schemas.openxmlformats.org/officeDocument/2006/relationships/styles" Target="styles.xml"/><Relationship Id="rId12" Type="http://schemas.openxmlformats.org/officeDocument/2006/relationships/hyperlink" Target="https://dojwa.sharepoint.com/sites/intranet/department/standards/Pages/ops-standards.aspx" TargetMode="External"/><Relationship Id="rId17" Type="http://schemas.openxmlformats.org/officeDocument/2006/relationships/hyperlink" Target="https://dojwa.sharepoint.com/sites/intranet/prison-operations/Pages/bhdc-copps.aspx"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dojwa.sharepoint.com/sites/intranet/prison-operations/Pages/bhdc-copps.aspx" TargetMode="External"/><Relationship Id="rId20" Type="http://schemas.openxmlformats.org/officeDocument/2006/relationships/hyperlink" Target="https://dojwa.sharepoint.com/search/Pages/results.aspx?k=operational%20compliance&amp;ql=3081"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https://dojwa.sharepoint.com/sites/intranet/prison-operations/Pages/bhdc-copps.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3.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5230902-a580-4ba6-8738-a56353c9ac26" ContentTypeId="0x010100C5D63A055CE82242A2E4B837C82D470C"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Youth Custodial Rules</TermName>
          <TermId xmlns="http://schemas.microsoft.com/office/infopath/2007/PartnerControls">58081a5c-2417-44d0-aab6-abfe5521b729</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ce9ba758-ea71-457b-9a14-44db9922bfb4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Operational Support</TermName>
          <TermId xmlns="http://schemas.microsoft.com/office/infopath/2007/PartnerControls">06b4752c-4a05-4733-84b5-3d0fa3cfc36b</TermId>
        </TermInfo>
      </Terms>
    </kf620cb349b946fa81ca1074c0b3c5af>
    <CategoryDescription xmlns="http://schemas.microsoft.com/sharepoint.v3">COPP 6.8 Population Counts - Banksia Hill Detention Centre</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Custodial Management Youth</TermName>
          <TermId xmlns="http://schemas.microsoft.com/office/infopath/2007/PartnerControls">86dadb23-f3e8-45d0-a50e-683c2dd71471</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1D0D4-FBD3-4076-A952-B1BC63707D36}">
  <ds:schemaRefs>
    <ds:schemaRef ds:uri="Microsoft.SharePoint.Taxonomy.ContentTypeSync"/>
  </ds:schemaRefs>
</ds:datastoreItem>
</file>

<file path=customXml/itemProps2.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3.xml><?xml version="1.0" encoding="utf-8"?>
<ds:datastoreItem xmlns:ds="http://schemas.openxmlformats.org/officeDocument/2006/customXml" ds:itemID="{37D31270-8447-466A-B9FE-DA2C0C9A5A75}">
  <ds:schemaRefs>
    <ds:schemaRef ds:uri="http://schemas.microsoft.com/office/2006/metadata/properties"/>
    <ds:schemaRef ds:uri="http://schemas.microsoft.com/office/infopath/2007/PartnerControls"/>
    <ds:schemaRef ds:uri="87620643-678a-4ec4-b8d1-35ea5295a2f1"/>
    <ds:schemaRef ds:uri="http://schemas.microsoft.com/sharepoint/v3/fields"/>
    <ds:schemaRef ds:uri="http://schemas.microsoft.com/sharepoint.v3"/>
  </ds:schemaRefs>
</ds:datastoreItem>
</file>

<file path=customXml/itemProps4.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51C8F89-D12B-41BA-9FE0-78E89500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8</Pages>
  <Words>2003</Words>
  <Characters>11420</Characters>
  <Application>Microsoft Office Word</Application>
  <DocSecurity>8</DocSecurity>
  <Lines>95</Lines>
  <Paragraphs>26</Paragraphs>
  <ScaleCrop>false</ScaleCrop>
  <HeadingPairs>
    <vt:vector size="2" baseType="variant">
      <vt:variant>
        <vt:lpstr>Title</vt:lpstr>
      </vt:variant>
      <vt:variant>
        <vt:i4>1</vt:i4>
      </vt:variant>
    </vt:vector>
  </HeadingPairs>
  <TitlesOfParts>
    <vt:vector size="1" baseType="lpstr">
      <vt:lpstr>COPP 6.8 Population Counts - Banksia Hill Detention Centre</vt:lpstr>
    </vt:vector>
  </TitlesOfParts>
  <Manager>Nimilandra.Nageswaran@correctiveservices.wa.gov.au</Manager>
  <Company>Department of Justice</Company>
  <LinksUpToDate>false</LinksUpToDate>
  <CharactersWithSpaces>13397</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6.8 Population Counts - Banksia Hill Detention Centre</dc:title>
  <dc:subject/>
  <dc:creator>Stead, Gail</dc:creator>
  <cp:keywords>Department of Justice; Corrective Services; DoJ; Commissioner; Procedure; Policy; COPP; COPPs; Detention Centre; Juvenile; Youth; Young; Person; Rule; Rules; Western Australia; Instrument; Instruments; Operations; BHDC; Population; Count; Numbers; Absent; Present; 6.8.</cp:keywords>
  <dc:description/>
  <cp:lastModifiedBy>Stead, Gail</cp:lastModifiedBy>
  <cp:revision>41</cp:revision>
  <cp:lastPrinted>2023-10-26T03:56:00Z</cp:lastPrinted>
  <dcterms:created xsi:type="dcterms:W3CDTF">2022-08-31T06:24:00Z</dcterms:created>
  <dcterms:modified xsi:type="dcterms:W3CDTF">2023-12-17T22:54:00Z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ies>
</file>