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CBD3" w14:textId="7801EB16" w:rsidR="003B0281" w:rsidRPr="00EA7EAC" w:rsidRDefault="0064438C" w:rsidP="003B0281">
      <w:pPr>
        <w:pStyle w:val="Title"/>
      </w:pPr>
      <w:r>
        <w:t xml:space="preserve">COPP </w:t>
      </w:r>
      <w:r w:rsidR="005F0765">
        <w:t>7.1 Female</w:t>
      </w:r>
      <w:r w:rsidR="00F822BA">
        <w:t xml:space="preserve"> Detainees</w:t>
      </w:r>
    </w:p>
    <w:p w14:paraId="16D4A735" w14:textId="5A704B2D" w:rsidR="00B1621E" w:rsidRPr="00B1621E" w:rsidRDefault="007C7440" w:rsidP="00AC3B0E">
      <w:pPr>
        <w:pStyle w:val="Subtitle"/>
      </w:pPr>
      <w:r>
        <w:t xml:space="preserve">Banksia Hill </w:t>
      </w:r>
      <w:r w:rsidR="002714C3">
        <w:t xml:space="preserve">Youth </w:t>
      </w:r>
      <w:r>
        <w:t>Detention Centre</w:t>
      </w:r>
    </w:p>
    <w:tbl>
      <w:tblPr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5FF043F9" w14:textId="77777777" w:rsidTr="008F1872">
        <w:trPr>
          <w:trHeight w:val="4825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771F4EAD" w14:textId="49AF952A" w:rsidR="003B0281" w:rsidRPr="00967E5F" w:rsidRDefault="003B0281" w:rsidP="00967E5F">
            <w:pPr>
              <w:pStyle w:val="Heading"/>
            </w:pPr>
            <w:bookmarkStart w:id="0" w:name="_Toc529277881"/>
            <w:r w:rsidRPr="00967E5F">
              <w:t>Principles</w:t>
            </w:r>
            <w:bookmarkEnd w:id="0"/>
          </w:p>
          <w:p w14:paraId="7FD28119" w14:textId="77777777" w:rsidR="00AA2B9D" w:rsidRDefault="00B1621E" w:rsidP="00387650">
            <w:bookmarkStart w:id="1" w:name="_Toc2082062"/>
            <w:bookmarkStart w:id="2" w:name="_Toc2082168"/>
            <w:r w:rsidRPr="00B1621E">
              <w:t xml:space="preserve">In </w:t>
            </w:r>
            <w:r w:rsidR="005B49CF">
              <w:t xml:space="preserve">the </w:t>
            </w:r>
            <w:r w:rsidRPr="00B1621E">
              <w:t xml:space="preserve">context of </w:t>
            </w:r>
            <w:r w:rsidR="00CD7559">
              <w:t>t</w:t>
            </w:r>
            <w:r w:rsidRPr="00B1621E">
              <w:t>he</w:t>
            </w:r>
            <w:r w:rsidR="00AA2B9D">
              <w:t xml:space="preserve"> following:</w:t>
            </w:r>
          </w:p>
          <w:p w14:paraId="6FFA5A7A" w14:textId="77777777" w:rsidR="00AA2B9D" w:rsidRDefault="00AA2B9D" w:rsidP="00387650"/>
          <w:bookmarkEnd w:id="1"/>
          <w:bookmarkEnd w:id="2"/>
          <w:p w14:paraId="49623E1F" w14:textId="24A264AB" w:rsidR="00387650" w:rsidRPr="00967E5F" w:rsidRDefault="00387650" w:rsidP="00967E5F">
            <w:pPr>
              <w:rPr>
                <w:rStyle w:val="Hyperlink"/>
              </w:rPr>
            </w:pPr>
            <w:r w:rsidRPr="00967E5F">
              <w:rPr>
                <w:rStyle w:val="Hyperlink"/>
              </w:rPr>
              <w:t xml:space="preserve">Australasian </w:t>
            </w:r>
            <w:r w:rsidR="00AA2B9D" w:rsidRPr="00967E5F">
              <w:rPr>
                <w:rStyle w:val="Hyperlink"/>
              </w:rPr>
              <w:t xml:space="preserve">Youth Justice Administrators </w:t>
            </w:r>
            <w:hyperlink r:id="rId12" w:history="1">
              <w:r w:rsidR="00AA2B9D" w:rsidRPr="00046DE5">
                <w:rPr>
                  <w:rStyle w:val="Hyperlink"/>
                </w:rPr>
                <w:t>Standards</w:t>
              </w:r>
            </w:hyperlink>
            <w:r w:rsidR="00AA2B9D" w:rsidRPr="00967E5F">
              <w:rPr>
                <w:rStyle w:val="Hyperlink"/>
              </w:rPr>
              <w:t xml:space="preserve"> </w:t>
            </w:r>
            <w:r w:rsidR="00442FDF" w:rsidRPr="00967E5F">
              <w:rPr>
                <w:rStyle w:val="Hyperlink"/>
              </w:rPr>
              <w:t>2009</w:t>
            </w:r>
            <w:r w:rsidR="00AA2B9D" w:rsidRPr="00967E5F">
              <w:rPr>
                <w:rStyle w:val="Hyperlink"/>
              </w:rPr>
              <w:t>:</w:t>
            </w:r>
          </w:p>
          <w:p w14:paraId="331036DF" w14:textId="77777777" w:rsidR="00AA2B9D" w:rsidRDefault="00AA2B9D" w:rsidP="00967E5F"/>
          <w:p w14:paraId="5A687082" w14:textId="58F5F750" w:rsidR="00FE3F6A" w:rsidRDefault="00387650" w:rsidP="00967E5F">
            <w:r>
              <w:t>I</w:t>
            </w:r>
            <w:r w:rsidR="00FE3F6A">
              <w:t>ndividual detainees are managed and supervised in a manner that responds to their particular risk and needs, including the impacts of victimisation and trauma.</w:t>
            </w:r>
          </w:p>
          <w:p w14:paraId="73B11F4A" w14:textId="77777777" w:rsidR="00FE3F6A" w:rsidRDefault="00FE3F6A" w:rsidP="00967E5F">
            <w:r>
              <w:t xml:space="preserve">Detainees are assessed and allocated to accommodation compatible with their assessed risks and needs to ensure their safety and security and the good order of </w:t>
            </w:r>
            <w:r w:rsidR="004C457F">
              <w:t>Banksia Hill Detention Centre.</w:t>
            </w:r>
          </w:p>
          <w:p w14:paraId="6E8158FC" w14:textId="77777777" w:rsidR="00387650" w:rsidRDefault="00387650" w:rsidP="00967E5F"/>
          <w:p w14:paraId="3D82D9F4" w14:textId="4B26E3C7" w:rsidR="002E075A" w:rsidRPr="00126611" w:rsidRDefault="002E075A" w:rsidP="002E075A">
            <w:r>
              <w:t>Health care provided for females in custody is gender appropriate, emphasising underlying determinants of health unique to females including reproductive and sexual health; and facilitating access to counselling services for victims of violence.</w:t>
            </w:r>
          </w:p>
        </w:tc>
      </w:tr>
    </w:tbl>
    <w:p w14:paraId="249A04E4" w14:textId="37DAEF48" w:rsidR="00293CB8" w:rsidRDefault="00293CB8" w:rsidP="00967E5F"/>
    <w:p w14:paraId="651A7E09" w14:textId="52AEB1F0" w:rsidR="00293CB8" w:rsidRDefault="00293CB8" w:rsidP="00293CB8"/>
    <w:p w14:paraId="12ED2453" w14:textId="77777777" w:rsidR="00803710" w:rsidRPr="00293CB8" w:rsidRDefault="00803710" w:rsidP="00293CB8">
      <w:pPr>
        <w:sectPr w:rsidR="00803710" w:rsidRPr="00293CB8" w:rsidSect="008D51C1">
          <w:headerReference w:type="even" r:id="rId13"/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43BA5D2B" w14:textId="6D11E003" w:rsidR="00FA1D8B" w:rsidRPr="00967E5F" w:rsidRDefault="00FA1D8B" w:rsidP="00967E5F">
      <w:pPr>
        <w:pStyle w:val="Heading"/>
      </w:pPr>
      <w:r w:rsidRPr="00AC3B0E">
        <w:lastRenderedPageBreak/>
        <w:t>Contents</w:t>
      </w:r>
    </w:p>
    <w:p w14:paraId="5F951941" w14:textId="77777777" w:rsidR="007E11FA" w:rsidRPr="00967E5F" w:rsidRDefault="007E11FA" w:rsidP="00967E5F"/>
    <w:p w14:paraId="0F20BD3C" w14:textId="2821C947" w:rsidR="000B5864" w:rsidRDefault="00F2491B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3191653" w:history="1">
        <w:r w:rsidR="000B5864" w:rsidRPr="000801F3">
          <w:rPr>
            <w:rStyle w:val="Hyperlink"/>
            <w:noProof/>
          </w:rPr>
          <w:t>1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Scope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_Toc153191653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3</w:t>
        </w:r>
        <w:r w:rsidR="000B5864">
          <w:rPr>
            <w:noProof/>
            <w:webHidden/>
          </w:rPr>
          <w:fldChar w:fldCharType="end"/>
        </w:r>
      </w:hyperlink>
    </w:p>
    <w:p w14:paraId="7608722C" w14:textId="32122C7F" w:rsidR="000B5864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53191654" w:history="1">
        <w:r w:rsidR="000B5864" w:rsidRPr="000801F3">
          <w:rPr>
            <w:rStyle w:val="Hyperlink"/>
            <w:noProof/>
          </w:rPr>
          <w:t>2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Policy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_Toc153191654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3</w:t>
        </w:r>
        <w:r w:rsidR="000B5864">
          <w:rPr>
            <w:noProof/>
            <w:webHidden/>
          </w:rPr>
          <w:fldChar w:fldCharType="end"/>
        </w:r>
      </w:hyperlink>
    </w:p>
    <w:p w14:paraId="3D10F7D9" w14:textId="7C3AE961" w:rsidR="000B5864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53191655" w:history="1">
        <w:r w:rsidR="000B5864" w:rsidRPr="000801F3">
          <w:rPr>
            <w:rStyle w:val="Hyperlink"/>
            <w:noProof/>
          </w:rPr>
          <w:t>3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General Requirements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_Toc153191655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4</w:t>
        </w:r>
        <w:r w:rsidR="000B5864">
          <w:rPr>
            <w:noProof/>
            <w:webHidden/>
          </w:rPr>
          <w:fldChar w:fldCharType="end"/>
        </w:r>
      </w:hyperlink>
    </w:p>
    <w:p w14:paraId="4F010F08" w14:textId="64F348E4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56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Reception and admission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_Toc153191656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4</w:t>
        </w:r>
        <w:r w:rsidR="000B5864">
          <w:rPr>
            <w:noProof/>
            <w:webHidden/>
          </w:rPr>
          <w:fldChar w:fldCharType="end"/>
        </w:r>
      </w:hyperlink>
    </w:p>
    <w:p w14:paraId="76AA7F84" w14:textId="1BB3C35F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57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Supervision of female detainees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_Toc153191657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4</w:t>
        </w:r>
        <w:r w:rsidR="000B5864">
          <w:rPr>
            <w:noProof/>
            <w:webHidden/>
          </w:rPr>
          <w:fldChar w:fldCharType="end"/>
        </w:r>
      </w:hyperlink>
    </w:p>
    <w:p w14:paraId="05EAF473" w14:textId="0F98B7A9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58" w:history="1">
        <w:r w:rsidR="000B5864" w:rsidRPr="000801F3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  <w:lang w:eastAsia="en-AU"/>
          </w:rPr>
          <w:t>Pregnant detainees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_Toc153191658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4</w:t>
        </w:r>
        <w:r w:rsidR="000B5864">
          <w:rPr>
            <w:noProof/>
            <w:webHidden/>
          </w:rPr>
          <w:fldChar w:fldCharType="end"/>
        </w:r>
      </w:hyperlink>
    </w:p>
    <w:p w14:paraId="21B09F3E" w14:textId="755AD671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59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Searches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_Toc153191659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5</w:t>
        </w:r>
        <w:r w:rsidR="000B5864">
          <w:rPr>
            <w:noProof/>
            <w:webHidden/>
          </w:rPr>
          <w:fldChar w:fldCharType="end"/>
        </w:r>
      </w:hyperlink>
    </w:p>
    <w:p w14:paraId="0FD9E199" w14:textId="40A844EF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0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Use of force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_Toc153191660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5</w:t>
        </w:r>
        <w:r w:rsidR="000B5864">
          <w:rPr>
            <w:noProof/>
            <w:webHidden/>
          </w:rPr>
          <w:fldChar w:fldCharType="end"/>
        </w:r>
      </w:hyperlink>
    </w:p>
    <w:p w14:paraId="34B0566B" w14:textId="21BDA5D3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1" w:history="1">
        <w:r w:rsidR="000B5864" w:rsidRPr="000801F3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3.6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  <w:lang w:eastAsia="en-AU"/>
          </w:rPr>
          <w:t>Escorts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_Toc153191661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5</w:t>
        </w:r>
        <w:r w:rsidR="000B5864">
          <w:rPr>
            <w:noProof/>
            <w:webHidden/>
          </w:rPr>
          <w:fldChar w:fldCharType="end"/>
        </w:r>
      </w:hyperlink>
    </w:p>
    <w:p w14:paraId="6BF0044F" w14:textId="49683CFB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2" w:history="1">
        <w:r w:rsidR="000B5864" w:rsidRPr="000801F3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3.7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  <w:lang w:eastAsia="en-AU"/>
          </w:rPr>
          <w:t>Health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_Toc153191662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5</w:t>
        </w:r>
        <w:r w:rsidR="000B5864">
          <w:rPr>
            <w:noProof/>
            <w:webHidden/>
          </w:rPr>
          <w:fldChar w:fldCharType="end"/>
        </w:r>
      </w:hyperlink>
    </w:p>
    <w:p w14:paraId="71E248CD" w14:textId="1DFD047A" w:rsidR="000B5864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53191663" w:history="1">
        <w:r w:rsidR="000B5864" w:rsidRPr="000801F3">
          <w:rPr>
            <w:rStyle w:val="Hyperlink"/>
            <w:noProof/>
          </w:rPr>
          <w:t>4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Annexures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_Toc153191663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6</w:t>
        </w:r>
        <w:r w:rsidR="000B5864">
          <w:rPr>
            <w:noProof/>
            <w:webHidden/>
          </w:rPr>
          <w:fldChar w:fldCharType="end"/>
        </w:r>
      </w:hyperlink>
    </w:p>
    <w:p w14:paraId="110FD54A" w14:textId="56E4AC77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4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Related COPPs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_Toc153191664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6</w:t>
        </w:r>
        <w:r w:rsidR="000B5864">
          <w:rPr>
            <w:noProof/>
            <w:webHidden/>
          </w:rPr>
          <w:fldChar w:fldCharType="end"/>
        </w:r>
      </w:hyperlink>
    </w:p>
    <w:p w14:paraId="27763241" w14:textId="202CE0FF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5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Definitions and acronyms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_Toc153191665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6</w:t>
        </w:r>
        <w:r w:rsidR="000B5864">
          <w:rPr>
            <w:noProof/>
            <w:webHidden/>
          </w:rPr>
          <w:fldChar w:fldCharType="end"/>
        </w:r>
      </w:hyperlink>
    </w:p>
    <w:p w14:paraId="7C72AE31" w14:textId="5D2F26AF" w:rsidR="000B5864" w:rsidRDefault="0000000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53191666" w:history="1">
        <w:r w:rsidR="000B5864" w:rsidRPr="000801F3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0B586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Related legislation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_Toc153191666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7</w:t>
        </w:r>
        <w:r w:rsidR="000B5864">
          <w:rPr>
            <w:noProof/>
            <w:webHidden/>
          </w:rPr>
          <w:fldChar w:fldCharType="end"/>
        </w:r>
      </w:hyperlink>
    </w:p>
    <w:p w14:paraId="5691920C" w14:textId="5CDF7D2A" w:rsidR="000B5864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53191667" w:history="1">
        <w:r w:rsidR="000B5864" w:rsidRPr="000801F3">
          <w:rPr>
            <w:rStyle w:val="Hyperlink"/>
            <w:noProof/>
          </w:rPr>
          <w:t>5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Assurance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_Toc153191667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7</w:t>
        </w:r>
        <w:r w:rsidR="000B5864">
          <w:rPr>
            <w:noProof/>
            <w:webHidden/>
          </w:rPr>
          <w:fldChar w:fldCharType="end"/>
        </w:r>
      </w:hyperlink>
    </w:p>
    <w:p w14:paraId="299CC721" w14:textId="39B7A038" w:rsidR="000B5864" w:rsidRDefault="00000000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153191668" w:history="1">
        <w:r w:rsidR="000B5864" w:rsidRPr="000801F3">
          <w:rPr>
            <w:rStyle w:val="Hyperlink"/>
            <w:noProof/>
          </w:rPr>
          <w:t>6</w:t>
        </w:r>
        <w:r w:rsidR="000B586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0B5864" w:rsidRPr="000801F3">
          <w:rPr>
            <w:rStyle w:val="Hyperlink"/>
            <w:noProof/>
          </w:rPr>
          <w:t>Document Version History</w:t>
        </w:r>
        <w:r w:rsidR="000B5864">
          <w:rPr>
            <w:noProof/>
            <w:webHidden/>
          </w:rPr>
          <w:tab/>
        </w:r>
        <w:r w:rsidR="000B5864">
          <w:rPr>
            <w:noProof/>
            <w:webHidden/>
          </w:rPr>
          <w:fldChar w:fldCharType="begin"/>
        </w:r>
        <w:r w:rsidR="000B5864">
          <w:rPr>
            <w:noProof/>
            <w:webHidden/>
          </w:rPr>
          <w:instrText xml:space="preserve"> PAGEREF _Toc153191668 \h </w:instrText>
        </w:r>
        <w:r w:rsidR="000B5864">
          <w:rPr>
            <w:noProof/>
            <w:webHidden/>
          </w:rPr>
        </w:r>
        <w:r w:rsidR="000B5864">
          <w:rPr>
            <w:noProof/>
            <w:webHidden/>
          </w:rPr>
          <w:fldChar w:fldCharType="separate"/>
        </w:r>
        <w:r w:rsidR="000B5864">
          <w:rPr>
            <w:noProof/>
            <w:webHidden/>
          </w:rPr>
          <w:t>8</w:t>
        </w:r>
        <w:r w:rsidR="000B5864">
          <w:rPr>
            <w:noProof/>
            <w:webHidden/>
          </w:rPr>
          <w:fldChar w:fldCharType="end"/>
        </w:r>
      </w:hyperlink>
    </w:p>
    <w:p w14:paraId="6C6D09E9" w14:textId="7E8FFE9F" w:rsidR="00634C54" w:rsidRDefault="00F2491B" w:rsidP="004E571B">
      <w:r>
        <w:rPr>
          <w:b/>
        </w:rPr>
        <w:fldChar w:fldCharType="end"/>
      </w:r>
    </w:p>
    <w:p w14:paraId="2E22262F" w14:textId="77777777" w:rsidR="00634C54" w:rsidRDefault="00634C54">
      <w:r>
        <w:br w:type="page"/>
      </w:r>
    </w:p>
    <w:p w14:paraId="6F1F9A56" w14:textId="77777777" w:rsidR="00C8272F" w:rsidRPr="00EF15AC" w:rsidRDefault="00C8272F" w:rsidP="008E48AB">
      <w:pPr>
        <w:pStyle w:val="Heading1"/>
        <w:spacing w:before="360" w:after="240"/>
      </w:pPr>
      <w:bookmarkStart w:id="3" w:name="_Toc153191653"/>
      <w:r w:rsidRPr="00EF15AC">
        <w:lastRenderedPageBreak/>
        <w:t>Scope</w:t>
      </w:r>
      <w:bookmarkEnd w:id="3"/>
    </w:p>
    <w:p w14:paraId="2A70B71A" w14:textId="4EC25BA0" w:rsidR="00EC5AF1" w:rsidRPr="00EF15AC" w:rsidRDefault="00AF3EDE" w:rsidP="008E48AB">
      <w:pPr>
        <w:spacing w:before="360" w:after="240"/>
      </w:pPr>
      <w:r w:rsidRPr="00AF3EDE">
        <w:t xml:space="preserve">This Commissioner’s Operating Policy and Procedure (COPP) applies to all Banksia Hill </w:t>
      </w:r>
      <w:r w:rsidR="00EE3D97">
        <w:t xml:space="preserve">Youth </w:t>
      </w:r>
      <w:r w:rsidRPr="00AF3EDE">
        <w:t>Detention Centre (BH</w:t>
      </w:r>
      <w:r w:rsidR="00EE3D97">
        <w:t>Y</w:t>
      </w:r>
      <w:r w:rsidRPr="00AF3EDE">
        <w:t>DC) Custodial Officers and staff</w:t>
      </w:r>
      <w:r w:rsidR="000031D7">
        <w:t>.</w:t>
      </w:r>
    </w:p>
    <w:p w14:paraId="412D1C9D" w14:textId="6A5FDA7C" w:rsidR="00EC5AF1" w:rsidRDefault="00EC5AF1" w:rsidP="008E48AB">
      <w:pPr>
        <w:pStyle w:val="Heading1"/>
        <w:spacing w:before="360" w:after="240"/>
      </w:pPr>
      <w:bookmarkStart w:id="4" w:name="_Toc153191654"/>
      <w:r w:rsidRPr="00EF15AC">
        <w:t>Policy</w:t>
      </w:r>
      <w:bookmarkEnd w:id="4"/>
    </w:p>
    <w:p w14:paraId="4FD25B45" w14:textId="05C68790" w:rsidR="00D73A38" w:rsidRDefault="002E075A" w:rsidP="008E48AB">
      <w:pPr>
        <w:spacing w:before="360" w:after="240"/>
      </w:pPr>
      <w:r>
        <w:t>The purpose of this document is to establish clear and consistent practices when working with female detainees</w:t>
      </w:r>
      <w:r w:rsidR="00D53880">
        <w:t xml:space="preserve">. </w:t>
      </w:r>
    </w:p>
    <w:p w14:paraId="7AAF8767" w14:textId="7016932D" w:rsidR="002E075A" w:rsidRDefault="00D53880" w:rsidP="002E075A">
      <w:r>
        <w:t xml:space="preserve">Some people may identify with a gender different to that they were assigned at birth. Where a Trans or gender diverse detainee identifies as female this COPP is to be read </w:t>
      </w:r>
      <w:r w:rsidR="006E0C41">
        <w:t>i</w:t>
      </w:r>
      <w:r>
        <w:t xml:space="preserve">n conjunction with </w:t>
      </w:r>
      <w:hyperlink r:id="rId16" w:history="1">
        <w:r w:rsidR="0020231C" w:rsidRPr="00B620B9">
          <w:rPr>
            <w:rStyle w:val="Hyperlink"/>
          </w:rPr>
          <w:t>COPP 7.5 – Trans, Gender Diverse and Intersex</w:t>
        </w:r>
        <w:r w:rsidR="007A1DBF" w:rsidRPr="00B620B9">
          <w:rPr>
            <w:rStyle w:val="Hyperlink"/>
          </w:rPr>
          <w:t>.</w:t>
        </w:r>
      </w:hyperlink>
    </w:p>
    <w:p w14:paraId="3AEA687D" w14:textId="77777777" w:rsidR="002E075A" w:rsidRDefault="002E075A" w:rsidP="002E075A"/>
    <w:p w14:paraId="4DB756CE" w14:textId="5FA51207" w:rsidR="0029220E" w:rsidRDefault="0029220E" w:rsidP="0029220E">
      <w:r>
        <w:t xml:space="preserve">The female </w:t>
      </w:r>
      <w:r w:rsidR="00D53880">
        <w:t xml:space="preserve">unit </w:t>
      </w:r>
      <w:r>
        <w:t>at BH</w:t>
      </w:r>
      <w:r w:rsidR="00EE3D97">
        <w:t>Y</w:t>
      </w:r>
      <w:r>
        <w:t xml:space="preserve">DC </w:t>
      </w:r>
      <w:r w:rsidR="00FF1A6E">
        <w:t xml:space="preserve">will </w:t>
      </w:r>
      <w:r>
        <w:t xml:space="preserve">operate on the principles of </w:t>
      </w:r>
      <w:r w:rsidR="004E69FF">
        <w:t xml:space="preserve">a </w:t>
      </w:r>
      <w:r>
        <w:t xml:space="preserve">trauma informed </w:t>
      </w:r>
      <w:r w:rsidR="008122D3">
        <w:t>approach.</w:t>
      </w:r>
    </w:p>
    <w:p w14:paraId="0D89FD0C" w14:textId="77777777" w:rsidR="00DC07D3" w:rsidRDefault="00DC07D3" w:rsidP="0029220E"/>
    <w:p w14:paraId="01BD7188" w14:textId="369C4907" w:rsidR="00DC07D3" w:rsidRDefault="00DC07D3" w:rsidP="0029220E">
      <w:r>
        <w:t>BH</w:t>
      </w:r>
      <w:r w:rsidR="00EE3D97">
        <w:t>Y</w:t>
      </w:r>
      <w:r>
        <w:t>DC will promote positive re-entry into the community by supporting female detainees to build and maintain relationships with family and significant others.</w:t>
      </w:r>
    </w:p>
    <w:p w14:paraId="5BB91C69" w14:textId="77777777" w:rsidR="0029220E" w:rsidRDefault="0029220E" w:rsidP="0029220E"/>
    <w:p w14:paraId="6783D637" w14:textId="1C3160FB" w:rsidR="0029220E" w:rsidRDefault="0029220E" w:rsidP="0029220E">
      <w:r>
        <w:t xml:space="preserve">The management of female detainees shall occur in a manner that </w:t>
      </w:r>
      <w:r w:rsidR="0042094B">
        <w:t>is sensitive and appropriate to their individual needs</w:t>
      </w:r>
      <w:r w:rsidR="004E69FF">
        <w:t>,</w:t>
      </w:r>
      <w:r w:rsidR="0042094B">
        <w:t xml:space="preserve"> and </w:t>
      </w:r>
      <w:r>
        <w:t>treats the detainee wit</w:t>
      </w:r>
      <w:r w:rsidR="004E69FF">
        <w:t>h dignity, humanity, respect,</w:t>
      </w:r>
      <w:r>
        <w:t xml:space="preserve"> with due consideration to cultural and religious requirements</w:t>
      </w:r>
      <w:r w:rsidR="0042094B">
        <w:t>.</w:t>
      </w:r>
    </w:p>
    <w:p w14:paraId="47BDE64E" w14:textId="77777777" w:rsidR="002E075A" w:rsidRDefault="002E075A" w:rsidP="002E075A"/>
    <w:p w14:paraId="5B390E82" w14:textId="77777777" w:rsidR="002E075A" w:rsidRDefault="002E075A" w:rsidP="002E075A">
      <w:r>
        <w:t xml:space="preserve">The </w:t>
      </w:r>
      <w:r w:rsidR="0042094B">
        <w:t xml:space="preserve">gender specific and developmental </w:t>
      </w:r>
      <w:r>
        <w:t xml:space="preserve">needs of female detainees should be recognised and </w:t>
      </w:r>
      <w:r w:rsidR="00DD57F8">
        <w:t xml:space="preserve">access to an equal </w:t>
      </w:r>
      <w:r>
        <w:t xml:space="preserve">range of services including education, vocational training, skill development, </w:t>
      </w:r>
      <w:r w:rsidR="00DC07D3">
        <w:t xml:space="preserve">employment opportunities, </w:t>
      </w:r>
      <w:r>
        <w:t>health, programs and recreational activities shall be made available.</w:t>
      </w:r>
    </w:p>
    <w:p w14:paraId="36EE78B4" w14:textId="19FC5588" w:rsidR="002E075A" w:rsidRDefault="002E075A" w:rsidP="002E075A"/>
    <w:p w14:paraId="7599654F" w14:textId="77777777" w:rsidR="002E075A" w:rsidRDefault="002E075A" w:rsidP="002E075A">
      <w:r>
        <w:t xml:space="preserve">The management of female detainees is governed by a rigorous recording and reporting regime which provides transparency and accountability. </w:t>
      </w:r>
    </w:p>
    <w:p w14:paraId="7C6F8D4E" w14:textId="77777777" w:rsidR="00EF15AC" w:rsidRPr="00967E5F" w:rsidRDefault="00EF15AC" w:rsidP="00967E5F">
      <w:r w:rsidRPr="00967E5F">
        <w:br w:type="page"/>
      </w:r>
    </w:p>
    <w:p w14:paraId="0A9F3026" w14:textId="300F4779" w:rsidR="001D18BC" w:rsidRPr="00EF15AC" w:rsidRDefault="00F2491B" w:rsidP="00E53B69">
      <w:pPr>
        <w:pStyle w:val="Heading1"/>
        <w:spacing w:before="360" w:after="240"/>
      </w:pPr>
      <w:bookmarkStart w:id="5" w:name="_Toc153191655"/>
      <w:r w:rsidRPr="00EF15AC">
        <w:lastRenderedPageBreak/>
        <w:t xml:space="preserve">General </w:t>
      </w:r>
      <w:r w:rsidR="00414DA5">
        <w:t>R</w:t>
      </w:r>
      <w:r w:rsidRPr="00EF15AC">
        <w:t>equirements</w:t>
      </w:r>
      <w:bookmarkEnd w:id="5"/>
    </w:p>
    <w:p w14:paraId="1806DF53" w14:textId="5ECB20E9" w:rsidR="003D708E" w:rsidRDefault="001D18BC" w:rsidP="00E53B69">
      <w:pPr>
        <w:pStyle w:val="Heading2"/>
        <w:spacing w:before="360" w:after="240"/>
      </w:pPr>
      <w:bookmarkStart w:id="6" w:name="_Toc153191656"/>
      <w:r>
        <w:t>R</w:t>
      </w:r>
      <w:r w:rsidR="002E075A">
        <w:t>eception and admission</w:t>
      </w:r>
      <w:bookmarkEnd w:id="6"/>
    </w:p>
    <w:p w14:paraId="5AB22B7F" w14:textId="06D1F720" w:rsidR="001756E0" w:rsidRPr="001756E0" w:rsidRDefault="001756E0" w:rsidP="00EF15AC">
      <w:pPr>
        <w:pStyle w:val="Heading3"/>
        <w:rPr>
          <w:lang w:eastAsia="en-AU"/>
        </w:rPr>
      </w:pPr>
      <w:r>
        <w:t xml:space="preserve">Detainees </w:t>
      </w:r>
      <w:r w:rsidRPr="001756E0">
        <w:rPr>
          <w:lang w:eastAsia="en-AU"/>
        </w:rPr>
        <w:t xml:space="preserve">should be transitioned through the admission process promptly and </w:t>
      </w:r>
      <w:r w:rsidR="0013447A">
        <w:rPr>
          <w:lang w:eastAsia="en-AU"/>
        </w:rPr>
        <w:t>then transferred to</w:t>
      </w:r>
      <w:r w:rsidR="00C75DCF">
        <w:rPr>
          <w:lang w:eastAsia="en-AU"/>
        </w:rPr>
        <w:t xml:space="preserve"> the</w:t>
      </w:r>
      <w:r w:rsidR="0013447A">
        <w:rPr>
          <w:lang w:eastAsia="en-AU"/>
        </w:rPr>
        <w:t xml:space="preserve"> Yeeda Unit </w:t>
      </w:r>
      <w:r w:rsidRPr="001756E0">
        <w:rPr>
          <w:lang w:eastAsia="en-AU"/>
        </w:rPr>
        <w:t>or Cue Unit for observation if required.</w:t>
      </w:r>
    </w:p>
    <w:p w14:paraId="003B97C2" w14:textId="0AA447AB" w:rsidR="000D4FC1" w:rsidRPr="000D4FC1" w:rsidRDefault="000D4FC1" w:rsidP="00967E5F">
      <w:pPr>
        <w:pStyle w:val="Heading3"/>
        <w:rPr>
          <w:lang w:eastAsia="en-AU"/>
        </w:rPr>
      </w:pPr>
      <w:r w:rsidRPr="000D4FC1">
        <w:rPr>
          <w:lang w:eastAsia="en-AU"/>
        </w:rPr>
        <w:t xml:space="preserve">During the admission process, detainees shall participate in a preliminary assessment which may identify a need for </w:t>
      </w:r>
      <w:r w:rsidR="00AA79A9">
        <w:rPr>
          <w:lang w:eastAsia="en-AU"/>
        </w:rPr>
        <w:t>assistance</w:t>
      </w:r>
      <w:r w:rsidR="00AA79A9" w:rsidRPr="000D4FC1">
        <w:rPr>
          <w:lang w:eastAsia="en-AU"/>
        </w:rPr>
        <w:t xml:space="preserve"> </w:t>
      </w:r>
      <w:r w:rsidRPr="000D4FC1">
        <w:rPr>
          <w:lang w:eastAsia="en-AU"/>
        </w:rPr>
        <w:t xml:space="preserve">in </w:t>
      </w:r>
      <w:r w:rsidR="0022152C">
        <w:rPr>
          <w:lang w:eastAsia="en-AU"/>
        </w:rPr>
        <w:t>one</w:t>
      </w:r>
      <w:r w:rsidRPr="000D4FC1">
        <w:rPr>
          <w:lang w:eastAsia="en-AU"/>
        </w:rPr>
        <w:t xml:space="preserve"> of the following areas:</w:t>
      </w:r>
    </w:p>
    <w:p w14:paraId="02E921EE" w14:textId="77777777" w:rsidR="000D4FC1" w:rsidRPr="00EF15AC" w:rsidRDefault="000D4FC1" w:rsidP="00EF15AC">
      <w:pPr>
        <w:pStyle w:val="List"/>
      </w:pPr>
      <w:r w:rsidRPr="00EF15AC">
        <w:t>general health</w:t>
      </w:r>
    </w:p>
    <w:p w14:paraId="44C75C80" w14:textId="77777777" w:rsidR="002172DA" w:rsidRPr="00EF15AC" w:rsidRDefault="000D4FC1" w:rsidP="00EF15AC">
      <w:pPr>
        <w:pStyle w:val="List"/>
      </w:pPr>
      <w:r w:rsidRPr="00EF15AC">
        <w:t>mental health</w:t>
      </w:r>
    </w:p>
    <w:p w14:paraId="2F347C2A" w14:textId="295AC9EF" w:rsidR="000D4FC1" w:rsidRPr="00EF15AC" w:rsidRDefault="00AA79A9" w:rsidP="00EF15AC">
      <w:pPr>
        <w:pStyle w:val="List"/>
      </w:pPr>
      <w:r w:rsidRPr="00EF15AC">
        <w:t xml:space="preserve">diagnosed </w:t>
      </w:r>
      <w:r w:rsidR="002172DA" w:rsidRPr="00EF15AC">
        <w:t>intel</w:t>
      </w:r>
      <w:r w:rsidR="00EF15AC">
        <w:t>lectual or cognitive disability</w:t>
      </w:r>
    </w:p>
    <w:p w14:paraId="0B8C1CCB" w14:textId="77777777" w:rsidR="000D4FC1" w:rsidRPr="00EF15AC" w:rsidRDefault="000D4FC1" w:rsidP="00EF15AC">
      <w:pPr>
        <w:pStyle w:val="List"/>
      </w:pPr>
      <w:r w:rsidRPr="00EF15AC">
        <w:t>substance misuse</w:t>
      </w:r>
    </w:p>
    <w:p w14:paraId="193960CE" w14:textId="77777777" w:rsidR="000D4FC1" w:rsidRPr="00EF15AC" w:rsidRDefault="000D4FC1" w:rsidP="00EF15AC">
      <w:pPr>
        <w:pStyle w:val="List"/>
      </w:pPr>
      <w:r w:rsidRPr="00EF15AC">
        <w:t>childcare</w:t>
      </w:r>
    </w:p>
    <w:p w14:paraId="49437622" w14:textId="77777777" w:rsidR="000D4FC1" w:rsidRPr="00EF15AC" w:rsidRDefault="000D4FC1" w:rsidP="00EF15AC">
      <w:pPr>
        <w:pStyle w:val="List"/>
      </w:pPr>
      <w:r w:rsidRPr="00EF15AC">
        <w:t xml:space="preserve">pregnancy </w:t>
      </w:r>
    </w:p>
    <w:p w14:paraId="3C17D224" w14:textId="4AD506C1" w:rsidR="00460C5E" w:rsidRPr="00EF15AC" w:rsidRDefault="00F2491B" w:rsidP="00EF15AC">
      <w:pPr>
        <w:pStyle w:val="List"/>
      </w:pPr>
      <w:r w:rsidRPr="00EF15AC">
        <w:t>f</w:t>
      </w:r>
      <w:r w:rsidR="00BF1ED0" w:rsidRPr="00EF15AC">
        <w:t>amily</w:t>
      </w:r>
      <w:r w:rsidR="000D4FC1" w:rsidRPr="00EF15AC">
        <w:t xml:space="preserve"> issues.</w:t>
      </w:r>
    </w:p>
    <w:p w14:paraId="78E5761B" w14:textId="0C58EF5B" w:rsidR="000D4FC1" w:rsidRPr="000D4FC1" w:rsidRDefault="000D4FC1" w:rsidP="00967E5F">
      <w:pPr>
        <w:pStyle w:val="Heading3"/>
        <w:rPr>
          <w:lang w:eastAsia="en-AU"/>
        </w:rPr>
      </w:pPr>
      <w:r w:rsidRPr="000D4FC1">
        <w:rPr>
          <w:lang w:eastAsia="en-AU"/>
        </w:rPr>
        <w:t xml:space="preserve">After the initial induction and transfer to the Yeeda </w:t>
      </w:r>
      <w:r w:rsidR="006E0C41">
        <w:rPr>
          <w:lang w:eastAsia="en-AU"/>
        </w:rPr>
        <w:t>U</w:t>
      </w:r>
      <w:r w:rsidR="00BF1ED0">
        <w:rPr>
          <w:lang w:eastAsia="en-AU"/>
        </w:rPr>
        <w:t>nit</w:t>
      </w:r>
      <w:r w:rsidRPr="000D4FC1">
        <w:rPr>
          <w:lang w:eastAsia="en-AU"/>
        </w:rPr>
        <w:t>, detainees shall be provided with more detailed information via a site orientation</w:t>
      </w:r>
      <w:r w:rsidR="00D23DFB">
        <w:rPr>
          <w:lang w:eastAsia="en-AU"/>
        </w:rPr>
        <w:t xml:space="preserve"> refer </w:t>
      </w:r>
      <w:r w:rsidR="00773E02">
        <w:rPr>
          <w:lang w:eastAsia="en-AU"/>
        </w:rPr>
        <w:t xml:space="preserve">to </w:t>
      </w:r>
      <w:hyperlink r:id="rId17" w:history="1">
        <w:r w:rsidR="0020231C" w:rsidRPr="00DF6673">
          <w:rPr>
            <w:rStyle w:val="Hyperlink"/>
          </w:rPr>
          <w:t>COPP 5.1 – Orientation</w:t>
        </w:r>
      </w:hyperlink>
      <w:r w:rsidRPr="00967E5F">
        <w:t>.</w:t>
      </w:r>
      <w:r w:rsidRPr="000D4FC1">
        <w:rPr>
          <w:lang w:eastAsia="en-AU"/>
        </w:rPr>
        <w:t xml:space="preserve"> The site orientation is completed by the Yeeda Unit Manager within 5 days of being admitted.</w:t>
      </w:r>
    </w:p>
    <w:p w14:paraId="15F0F182" w14:textId="564B93AB" w:rsidR="000D4FC1" w:rsidRDefault="00BF1ED0" w:rsidP="00EF15AC">
      <w:pPr>
        <w:pStyle w:val="Heading3"/>
        <w:rPr>
          <w:lang w:eastAsia="en-AU"/>
        </w:rPr>
      </w:pPr>
      <w:r>
        <w:rPr>
          <w:lang w:eastAsia="en-AU"/>
        </w:rPr>
        <w:t>U</w:t>
      </w:r>
      <w:r w:rsidR="000D4FC1" w:rsidRPr="00AC25FC">
        <w:rPr>
          <w:lang w:eastAsia="en-AU"/>
        </w:rPr>
        <w:t xml:space="preserve">nit orientation </w:t>
      </w:r>
      <w:r>
        <w:rPr>
          <w:lang w:eastAsia="en-AU"/>
        </w:rPr>
        <w:t>shall be arranged</w:t>
      </w:r>
      <w:r w:rsidR="00977B69">
        <w:rPr>
          <w:lang w:eastAsia="en-AU"/>
        </w:rPr>
        <w:t xml:space="preserve"> by the Unit Manager</w:t>
      </w:r>
      <w:r>
        <w:rPr>
          <w:lang w:eastAsia="en-AU"/>
        </w:rPr>
        <w:t xml:space="preserve"> and </w:t>
      </w:r>
      <w:r w:rsidR="00977B69">
        <w:rPr>
          <w:lang w:eastAsia="en-AU"/>
        </w:rPr>
        <w:t>occur within 72</w:t>
      </w:r>
      <w:r w:rsidR="000D4FC1" w:rsidRPr="00AC25FC">
        <w:rPr>
          <w:lang w:eastAsia="en-AU"/>
        </w:rPr>
        <w:t xml:space="preserve"> hours of </w:t>
      </w:r>
      <w:r>
        <w:rPr>
          <w:lang w:eastAsia="en-AU"/>
        </w:rPr>
        <w:t xml:space="preserve">the detainee </w:t>
      </w:r>
      <w:r w:rsidR="000D4FC1" w:rsidRPr="00AC25FC">
        <w:rPr>
          <w:lang w:eastAsia="en-AU"/>
        </w:rPr>
        <w:t xml:space="preserve">being transferred into general living within </w:t>
      </w:r>
      <w:r w:rsidR="00391CEF">
        <w:rPr>
          <w:lang w:eastAsia="en-AU"/>
        </w:rPr>
        <w:t xml:space="preserve">the </w:t>
      </w:r>
      <w:r w:rsidR="000D4FC1" w:rsidRPr="00AC25FC">
        <w:rPr>
          <w:lang w:eastAsia="en-AU"/>
        </w:rPr>
        <w:t xml:space="preserve">Yeeda </w:t>
      </w:r>
      <w:r w:rsidR="006E0C41">
        <w:rPr>
          <w:lang w:eastAsia="en-AU"/>
        </w:rPr>
        <w:t>U</w:t>
      </w:r>
      <w:r>
        <w:rPr>
          <w:lang w:eastAsia="en-AU"/>
        </w:rPr>
        <w:t>nit.</w:t>
      </w:r>
    </w:p>
    <w:p w14:paraId="576DB9E7" w14:textId="02631718" w:rsidR="004B4E1F" w:rsidRDefault="00D95531" w:rsidP="00EF15AC">
      <w:pPr>
        <w:pStyle w:val="Heading2"/>
      </w:pPr>
      <w:bookmarkStart w:id="7" w:name="_Toc153191657"/>
      <w:r>
        <w:t>Supervision of</w:t>
      </w:r>
      <w:r w:rsidR="009349FB">
        <w:t xml:space="preserve"> female detainees</w:t>
      </w:r>
      <w:bookmarkEnd w:id="7"/>
      <w:r w:rsidR="009349FB">
        <w:t xml:space="preserve"> </w:t>
      </w:r>
    </w:p>
    <w:p w14:paraId="2781BD2B" w14:textId="6DBF6F36" w:rsidR="009349FB" w:rsidRPr="00AC25FC" w:rsidRDefault="009349FB" w:rsidP="00EF15AC">
      <w:pPr>
        <w:pStyle w:val="Heading3"/>
        <w:rPr>
          <w:lang w:eastAsia="en-AU"/>
        </w:rPr>
      </w:pPr>
      <w:r w:rsidRPr="00AC25FC">
        <w:rPr>
          <w:lang w:eastAsia="en-AU"/>
        </w:rPr>
        <w:t xml:space="preserve">The </w:t>
      </w:r>
      <w:r w:rsidR="00B779A2">
        <w:rPr>
          <w:lang w:eastAsia="en-AU"/>
        </w:rPr>
        <w:t>placemen</w:t>
      </w:r>
      <w:r w:rsidRPr="00AC25FC">
        <w:rPr>
          <w:lang w:eastAsia="en-AU"/>
        </w:rPr>
        <w:t>t of female detainees</w:t>
      </w:r>
      <w:r w:rsidR="00D95531">
        <w:rPr>
          <w:lang w:eastAsia="en-AU"/>
        </w:rPr>
        <w:t xml:space="preserve"> </w:t>
      </w:r>
      <w:r w:rsidRPr="00AC25FC">
        <w:rPr>
          <w:lang w:eastAsia="en-AU"/>
        </w:rPr>
        <w:t xml:space="preserve">is in accordance with </w:t>
      </w:r>
      <w:hyperlink r:id="rId18" w:history="1">
        <w:r w:rsidR="0020231C" w:rsidRPr="00FC0EEA">
          <w:rPr>
            <w:rStyle w:val="Hyperlink"/>
          </w:rPr>
          <w:t>COPP 2.3 – Placements</w:t>
        </w:r>
      </w:hyperlink>
      <w:r w:rsidR="0020231C" w:rsidRPr="00693A68">
        <w:t>.</w:t>
      </w:r>
    </w:p>
    <w:p w14:paraId="3CC2173A" w14:textId="77777777" w:rsidR="00EE3D97" w:rsidRDefault="00D23DFB" w:rsidP="00EF15AC">
      <w:pPr>
        <w:pStyle w:val="Heading3"/>
        <w:rPr>
          <w:lang w:eastAsia="en-AU"/>
        </w:rPr>
      </w:pPr>
      <w:r>
        <w:rPr>
          <w:lang w:eastAsia="en-AU"/>
        </w:rPr>
        <w:t>C</w:t>
      </w:r>
      <w:r w:rsidR="00BB6039">
        <w:rPr>
          <w:lang w:eastAsia="en-AU"/>
        </w:rPr>
        <w:t xml:space="preserve">ustodial </w:t>
      </w:r>
      <w:r>
        <w:rPr>
          <w:lang w:eastAsia="en-AU"/>
        </w:rPr>
        <w:t>O</w:t>
      </w:r>
      <w:r w:rsidR="00BB6039">
        <w:rPr>
          <w:lang w:eastAsia="en-AU"/>
        </w:rPr>
        <w:t>fficer</w:t>
      </w:r>
      <w:r w:rsidR="00BC1160">
        <w:rPr>
          <w:lang w:eastAsia="en-AU"/>
        </w:rPr>
        <w:t>s</w:t>
      </w:r>
      <w:r w:rsidR="00B35203" w:rsidRPr="00AC25FC">
        <w:rPr>
          <w:lang w:eastAsia="en-AU"/>
        </w:rPr>
        <w:t xml:space="preserve"> working with female detainees shall at no time, except in an emergency, enter a female detainee’s cell when occupied, unless accompanied by </w:t>
      </w:r>
      <w:r w:rsidR="00F2491B" w:rsidRPr="00AC25FC">
        <w:rPr>
          <w:lang w:eastAsia="en-AU"/>
        </w:rPr>
        <w:t xml:space="preserve">another </w:t>
      </w:r>
      <w:r w:rsidR="00F2491B">
        <w:rPr>
          <w:lang w:eastAsia="en-AU"/>
        </w:rPr>
        <w:t>Custodial O</w:t>
      </w:r>
      <w:r w:rsidR="00B35203" w:rsidRPr="00AC25FC">
        <w:rPr>
          <w:lang w:eastAsia="en-AU"/>
        </w:rPr>
        <w:t xml:space="preserve">fficer.  </w:t>
      </w:r>
    </w:p>
    <w:p w14:paraId="1C2B0140" w14:textId="3E221666" w:rsidR="00B35203" w:rsidRPr="009E5CA1" w:rsidRDefault="00B35203" w:rsidP="00EF15AC">
      <w:pPr>
        <w:pStyle w:val="Heading3"/>
        <w:rPr>
          <w:lang w:eastAsia="en-AU"/>
        </w:rPr>
      </w:pPr>
      <w:r w:rsidRPr="00AC25FC">
        <w:rPr>
          <w:lang w:eastAsia="en-AU"/>
        </w:rPr>
        <w:t xml:space="preserve">A </w:t>
      </w:r>
      <w:r w:rsidR="00D23DFB">
        <w:rPr>
          <w:lang w:eastAsia="en-AU"/>
        </w:rPr>
        <w:t>C</w:t>
      </w:r>
      <w:r w:rsidR="00BB6039">
        <w:rPr>
          <w:lang w:eastAsia="en-AU"/>
        </w:rPr>
        <w:t xml:space="preserve">ustodial </w:t>
      </w:r>
      <w:r w:rsidR="00D23DFB">
        <w:rPr>
          <w:lang w:eastAsia="en-AU"/>
        </w:rPr>
        <w:t>O</w:t>
      </w:r>
      <w:r w:rsidR="00BB6039">
        <w:rPr>
          <w:lang w:eastAsia="en-AU"/>
        </w:rPr>
        <w:t>fficer</w:t>
      </w:r>
      <w:r w:rsidR="00D23DFB">
        <w:rPr>
          <w:lang w:eastAsia="en-AU"/>
        </w:rPr>
        <w:t xml:space="preserve"> </w:t>
      </w:r>
      <w:r w:rsidRPr="00AC25FC">
        <w:rPr>
          <w:lang w:eastAsia="en-AU"/>
        </w:rPr>
        <w:t xml:space="preserve">entering a cell in an emergency must advise the </w:t>
      </w:r>
      <w:r w:rsidR="004C457F">
        <w:rPr>
          <w:lang w:eastAsia="en-AU"/>
        </w:rPr>
        <w:t>Senior Officer Operations</w:t>
      </w:r>
      <w:r w:rsidRPr="00AC25FC">
        <w:rPr>
          <w:lang w:eastAsia="en-AU"/>
        </w:rPr>
        <w:t xml:space="preserve"> by radio of their intention to do so.</w:t>
      </w:r>
    </w:p>
    <w:p w14:paraId="38DBC7CC" w14:textId="1C2FB8CE" w:rsidR="00B35203" w:rsidRDefault="001F7986" w:rsidP="00EF15AC">
      <w:pPr>
        <w:pStyle w:val="Heading3"/>
        <w:rPr>
          <w:lang w:eastAsia="en-AU"/>
        </w:rPr>
      </w:pPr>
      <w:r>
        <w:rPr>
          <w:lang w:eastAsia="en-AU"/>
        </w:rPr>
        <w:t>Where</w:t>
      </w:r>
      <w:r w:rsidR="00B35203" w:rsidRPr="00AC25FC">
        <w:rPr>
          <w:lang w:eastAsia="en-AU"/>
        </w:rPr>
        <w:t xml:space="preserve"> a detainee </w:t>
      </w:r>
      <w:r>
        <w:rPr>
          <w:lang w:eastAsia="en-AU"/>
        </w:rPr>
        <w:t xml:space="preserve">is </w:t>
      </w:r>
      <w:r w:rsidR="00B35203" w:rsidRPr="00AC25FC">
        <w:rPr>
          <w:lang w:eastAsia="en-AU"/>
        </w:rPr>
        <w:t xml:space="preserve">on a unit based </w:t>
      </w:r>
      <w:r w:rsidR="00F16D9D">
        <w:rPr>
          <w:lang w:eastAsia="en-AU"/>
        </w:rPr>
        <w:t xml:space="preserve">Personal Support </w:t>
      </w:r>
      <w:r w:rsidR="00BF1ED0">
        <w:rPr>
          <w:lang w:eastAsia="en-AU"/>
        </w:rPr>
        <w:t>Plan please</w:t>
      </w:r>
      <w:r w:rsidR="00AA79A9">
        <w:rPr>
          <w:lang w:eastAsia="en-AU"/>
        </w:rPr>
        <w:t xml:space="preserve"> </w:t>
      </w:r>
      <w:r w:rsidR="0022152C" w:rsidRPr="00293CB8">
        <w:rPr>
          <w:lang w:eastAsia="en-AU"/>
        </w:rPr>
        <w:t xml:space="preserve">refer to </w:t>
      </w:r>
      <w:hyperlink r:id="rId19" w:history="1">
        <w:r w:rsidR="00EE3D97" w:rsidRPr="00EE3D97">
          <w:rPr>
            <w:rStyle w:val="Hyperlink"/>
            <w:lang w:eastAsia="en-AU"/>
          </w:rPr>
          <w:t xml:space="preserve">BHYDC </w:t>
        </w:r>
        <w:r w:rsidR="0020231C" w:rsidRPr="00EE3D97">
          <w:rPr>
            <w:rStyle w:val="Hyperlink"/>
          </w:rPr>
          <w:t>COPP 7.6 – Personal Support Plans</w:t>
        </w:r>
      </w:hyperlink>
      <w:r w:rsidR="0020231C" w:rsidRPr="00693A68">
        <w:t xml:space="preserve">. </w:t>
      </w:r>
      <w:r w:rsidR="00F16D9D">
        <w:rPr>
          <w:lang w:eastAsia="en-AU"/>
        </w:rPr>
        <w:t xml:space="preserve"> </w:t>
      </w:r>
    </w:p>
    <w:p w14:paraId="489E991E" w14:textId="38D7E2A2" w:rsidR="00CF383F" w:rsidRDefault="00CF383F" w:rsidP="00EF15AC">
      <w:pPr>
        <w:pStyle w:val="Heading3"/>
        <w:rPr>
          <w:lang w:eastAsia="en-AU"/>
        </w:rPr>
      </w:pPr>
      <w:r w:rsidRPr="00AC25FC">
        <w:rPr>
          <w:lang w:eastAsia="en-AU"/>
        </w:rPr>
        <w:t xml:space="preserve">Female detainees shall </w:t>
      </w:r>
      <w:r w:rsidR="00D23DFB">
        <w:rPr>
          <w:lang w:eastAsia="en-AU"/>
        </w:rPr>
        <w:t xml:space="preserve">always be supervised whilst moving </w:t>
      </w:r>
      <w:r w:rsidRPr="00AC25FC">
        <w:rPr>
          <w:lang w:eastAsia="en-AU"/>
        </w:rPr>
        <w:t xml:space="preserve">around </w:t>
      </w:r>
      <w:r>
        <w:rPr>
          <w:lang w:eastAsia="en-AU"/>
        </w:rPr>
        <w:t>BH</w:t>
      </w:r>
      <w:r w:rsidR="00EE3D97">
        <w:rPr>
          <w:lang w:eastAsia="en-AU"/>
        </w:rPr>
        <w:t>Y</w:t>
      </w:r>
      <w:r>
        <w:rPr>
          <w:lang w:eastAsia="en-AU"/>
        </w:rPr>
        <w:t>DC</w:t>
      </w:r>
      <w:r w:rsidR="00BD7274">
        <w:rPr>
          <w:lang w:eastAsia="en-AU"/>
        </w:rPr>
        <w:t>,</w:t>
      </w:r>
      <w:r w:rsidR="00BD7274" w:rsidRPr="00BD7274">
        <w:rPr>
          <w:lang w:eastAsia="en-AU"/>
        </w:rPr>
        <w:t xml:space="preserve"> </w:t>
      </w:r>
      <w:r w:rsidR="00BD7274">
        <w:rPr>
          <w:lang w:eastAsia="en-AU"/>
        </w:rPr>
        <w:t>by a staff member or approved contractor employed to work with detainees</w:t>
      </w:r>
      <w:r w:rsidR="00D23DFB">
        <w:rPr>
          <w:lang w:eastAsia="en-AU"/>
        </w:rPr>
        <w:t>.</w:t>
      </w:r>
    </w:p>
    <w:p w14:paraId="454C257B" w14:textId="16BDA169" w:rsidR="00AD465F" w:rsidRDefault="00421BE7" w:rsidP="00EF15AC">
      <w:pPr>
        <w:pStyle w:val="Heading3"/>
        <w:rPr>
          <w:lang w:eastAsia="en-AU"/>
        </w:rPr>
      </w:pPr>
      <w:r>
        <w:rPr>
          <w:lang w:eastAsia="en-AU"/>
        </w:rPr>
        <w:t>For a</w:t>
      </w:r>
      <w:r w:rsidR="009F481D">
        <w:rPr>
          <w:lang w:eastAsia="en-AU"/>
        </w:rPr>
        <w:t xml:space="preserve">ssociation of male and female detainees refer to </w:t>
      </w:r>
      <w:hyperlink r:id="rId20" w:history="1">
        <w:r w:rsidR="0020231C" w:rsidRPr="0095431C">
          <w:rPr>
            <w:rStyle w:val="Hyperlink"/>
          </w:rPr>
          <w:t xml:space="preserve">COPP </w:t>
        </w:r>
        <w:r w:rsidR="00693A68" w:rsidRPr="0095431C">
          <w:rPr>
            <w:rStyle w:val="Hyperlink"/>
          </w:rPr>
          <w:t>2.3</w:t>
        </w:r>
        <w:r w:rsidR="004500A2" w:rsidRPr="0095431C">
          <w:rPr>
            <w:rStyle w:val="Hyperlink"/>
          </w:rPr>
          <w:t xml:space="preserve"> –</w:t>
        </w:r>
        <w:r w:rsidR="00693A68" w:rsidRPr="0095431C">
          <w:rPr>
            <w:rStyle w:val="Hyperlink"/>
          </w:rPr>
          <w:t xml:space="preserve"> Pla</w:t>
        </w:r>
        <w:r w:rsidR="00010D45" w:rsidRPr="0095431C">
          <w:rPr>
            <w:rStyle w:val="Hyperlink"/>
          </w:rPr>
          <w:t>cements</w:t>
        </w:r>
      </w:hyperlink>
      <w:r w:rsidR="00010D45">
        <w:t xml:space="preserve"> </w:t>
      </w:r>
    </w:p>
    <w:p w14:paraId="53E0CB84" w14:textId="5691DE87" w:rsidR="00AD465F" w:rsidRDefault="00BF5D29" w:rsidP="00EF15AC">
      <w:pPr>
        <w:pStyle w:val="Heading2"/>
        <w:rPr>
          <w:lang w:eastAsia="en-AU"/>
        </w:rPr>
      </w:pPr>
      <w:bookmarkStart w:id="8" w:name="_Toc153191658"/>
      <w:r>
        <w:rPr>
          <w:lang w:eastAsia="en-AU"/>
        </w:rPr>
        <w:t>Pregnant detainees</w:t>
      </w:r>
      <w:bookmarkEnd w:id="8"/>
    </w:p>
    <w:p w14:paraId="5B5B329B" w14:textId="045E040C" w:rsidR="00AA79A9" w:rsidRDefault="00072B7A" w:rsidP="00EF15AC">
      <w:pPr>
        <w:pStyle w:val="Heading3"/>
        <w:rPr>
          <w:lang w:eastAsia="en-AU"/>
        </w:rPr>
      </w:pPr>
      <w:r>
        <w:rPr>
          <w:lang w:eastAsia="en-AU"/>
        </w:rPr>
        <w:t>C</w:t>
      </w:r>
      <w:r w:rsidR="00E117BE">
        <w:rPr>
          <w:lang w:eastAsia="en-AU"/>
        </w:rPr>
        <w:t xml:space="preserve">ustodial </w:t>
      </w:r>
      <w:r>
        <w:rPr>
          <w:lang w:eastAsia="en-AU"/>
        </w:rPr>
        <w:t>O</w:t>
      </w:r>
      <w:r w:rsidR="00E117BE">
        <w:rPr>
          <w:lang w:eastAsia="en-AU"/>
        </w:rPr>
        <w:t>fficer</w:t>
      </w:r>
      <w:r>
        <w:rPr>
          <w:lang w:eastAsia="en-AU"/>
        </w:rPr>
        <w:t>s shall check the Total Offender Management Solution (TOMS) ‘Medical</w:t>
      </w:r>
      <w:r w:rsidR="0098035B">
        <w:rPr>
          <w:lang w:eastAsia="en-AU"/>
        </w:rPr>
        <w:t xml:space="preserve"> Status’ to confirm a detainee</w:t>
      </w:r>
      <w:r w:rsidR="00F83F78">
        <w:rPr>
          <w:lang w:eastAsia="en-AU"/>
        </w:rPr>
        <w:t>’s</w:t>
      </w:r>
      <w:r>
        <w:rPr>
          <w:lang w:eastAsia="en-AU"/>
        </w:rPr>
        <w:t xml:space="preserve"> pregnancy.</w:t>
      </w:r>
      <w:r w:rsidR="00AA79A9">
        <w:rPr>
          <w:lang w:eastAsia="en-AU"/>
        </w:rPr>
        <w:t xml:space="preserve"> </w:t>
      </w:r>
    </w:p>
    <w:p w14:paraId="589BC22F" w14:textId="0785FAC1" w:rsidR="00F822BA" w:rsidRPr="00F822BA" w:rsidRDefault="00AA79A9" w:rsidP="00F822BA">
      <w:pPr>
        <w:pStyle w:val="Heading3"/>
        <w:rPr>
          <w:lang w:eastAsia="en-AU"/>
        </w:rPr>
      </w:pPr>
      <w:r>
        <w:rPr>
          <w:lang w:eastAsia="en-AU"/>
        </w:rPr>
        <w:t>For management of a pregnant detainee refer to</w:t>
      </w:r>
      <w:hyperlink r:id="rId21" w:history="1">
        <w:r w:rsidRPr="00EE7495">
          <w:rPr>
            <w:rStyle w:val="Hyperlink"/>
            <w:lang w:eastAsia="en-AU"/>
          </w:rPr>
          <w:t xml:space="preserve"> </w:t>
        </w:r>
        <w:r w:rsidR="00EE3D97">
          <w:rPr>
            <w:rStyle w:val="Hyperlink"/>
            <w:lang w:eastAsia="en-AU"/>
          </w:rPr>
          <w:t xml:space="preserve">BHYDC </w:t>
        </w:r>
        <w:r w:rsidR="0020231C" w:rsidRPr="00EE7495">
          <w:rPr>
            <w:rStyle w:val="Hyperlink"/>
          </w:rPr>
          <w:t>COPP 7.2 – Pregnant Detainees</w:t>
        </w:r>
      </w:hyperlink>
      <w:r w:rsidRPr="00544EA7">
        <w:rPr>
          <w:lang w:eastAsia="en-AU"/>
        </w:rPr>
        <w:t>.</w:t>
      </w:r>
    </w:p>
    <w:p w14:paraId="2A2AEC7B" w14:textId="7EF05AD1" w:rsidR="000350A4" w:rsidRDefault="000350A4" w:rsidP="00EF15AC">
      <w:pPr>
        <w:pStyle w:val="Heading2"/>
      </w:pPr>
      <w:bookmarkStart w:id="9" w:name="_Toc153191659"/>
      <w:r>
        <w:lastRenderedPageBreak/>
        <w:t>Searches</w:t>
      </w:r>
      <w:bookmarkEnd w:id="9"/>
    </w:p>
    <w:p w14:paraId="4BBEE13B" w14:textId="43ABD75F" w:rsidR="005943FA" w:rsidRDefault="000350A4" w:rsidP="00EF15AC">
      <w:pPr>
        <w:pStyle w:val="Heading3"/>
        <w:rPr>
          <w:lang w:eastAsia="en-AU"/>
        </w:rPr>
      </w:pPr>
      <w:r w:rsidRPr="00AC25FC">
        <w:rPr>
          <w:lang w:eastAsia="en-AU"/>
        </w:rPr>
        <w:t xml:space="preserve">Searches of female detainees will be carried out in accordance with </w:t>
      </w:r>
      <w:hyperlink r:id="rId22" w:history="1">
        <w:r w:rsidR="00EE3D97" w:rsidRPr="00EE3D97">
          <w:rPr>
            <w:rStyle w:val="Hyperlink"/>
            <w:lang w:eastAsia="en-AU"/>
          </w:rPr>
          <w:t xml:space="preserve">BHYDC </w:t>
        </w:r>
        <w:r w:rsidR="0020231C" w:rsidRPr="00EE3D97">
          <w:rPr>
            <w:rStyle w:val="Hyperlink"/>
          </w:rPr>
          <w:t>COPP 9.6 – Searching</w:t>
        </w:r>
      </w:hyperlink>
      <w:r w:rsidRPr="00EF15AC">
        <w:rPr>
          <w:lang w:eastAsia="en-AU"/>
        </w:rPr>
        <w:t>.</w:t>
      </w:r>
    </w:p>
    <w:p w14:paraId="74D37743" w14:textId="7B7E1F65" w:rsidR="000350A4" w:rsidRDefault="000350A4" w:rsidP="00EF15AC">
      <w:pPr>
        <w:pStyle w:val="Heading2"/>
      </w:pPr>
      <w:bookmarkStart w:id="10" w:name="_Toc153191660"/>
      <w:r>
        <w:t>Use of force</w:t>
      </w:r>
      <w:bookmarkEnd w:id="10"/>
      <w:r>
        <w:t xml:space="preserve"> </w:t>
      </w:r>
    </w:p>
    <w:p w14:paraId="6F933594" w14:textId="073D3C0E" w:rsidR="000350A4" w:rsidRPr="000350A4" w:rsidRDefault="000350A4" w:rsidP="00EF15AC">
      <w:pPr>
        <w:pStyle w:val="Heading3"/>
        <w:rPr>
          <w:lang w:eastAsia="en-AU"/>
        </w:rPr>
      </w:pPr>
      <w:r w:rsidRPr="00AC25FC">
        <w:rPr>
          <w:lang w:eastAsia="en-AU"/>
        </w:rPr>
        <w:t>C</w:t>
      </w:r>
      <w:r w:rsidR="00BB6039">
        <w:rPr>
          <w:lang w:eastAsia="en-AU"/>
        </w:rPr>
        <w:t xml:space="preserve">ustodial </w:t>
      </w:r>
      <w:r w:rsidRPr="00AC25FC">
        <w:rPr>
          <w:lang w:eastAsia="en-AU"/>
        </w:rPr>
        <w:t>O</w:t>
      </w:r>
      <w:r w:rsidR="00BB6039">
        <w:rPr>
          <w:lang w:eastAsia="en-AU"/>
        </w:rPr>
        <w:t>fficer</w:t>
      </w:r>
      <w:r w:rsidRPr="00AC25FC">
        <w:rPr>
          <w:lang w:eastAsia="en-AU"/>
        </w:rPr>
        <w:t xml:space="preserve">s shall ensure the use of force and the application of restraints is carried out in accordance with </w:t>
      </w:r>
      <w:hyperlink r:id="rId23" w:history="1">
        <w:r w:rsidR="0020231C" w:rsidRPr="00EB5CBB">
          <w:rPr>
            <w:rStyle w:val="Hyperlink"/>
          </w:rPr>
          <w:t>COPP 8.2 – Use of Force and Restraints</w:t>
        </w:r>
      </w:hyperlink>
      <w:r w:rsidR="00EE7495">
        <w:t xml:space="preserve"> (Restricted Access)</w:t>
      </w:r>
      <w:r w:rsidR="007A1DBF" w:rsidRPr="00967E5F">
        <w:t>.</w:t>
      </w:r>
    </w:p>
    <w:p w14:paraId="7D7B72DC" w14:textId="67763EC2" w:rsidR="000350A4" w:rsidRDefault="000350A4" w:rsidP="00EF15AC">
      <w:pPr>
        <w:pStyle w:val="Heading2"/>
        <w:rPr>
          <w:lang w:eastAsia="en-AU"/>
        </w:rPr>
      </w:pPr>
      <w:bookmarkStart w:id="11" w:name="_Toc153191661"/>
      <w:r>
        <w:rPr>
          <w:lang w:eastAsia="en-AU"/>
        </w:rPr>
        <w:t>Escorts</w:t>
      </w:r>
      <w:bookmarkEnd w:id="11"/>
      <w:r>
        <w:rPr>
          <w:lang w:eastAsia="en-AU"/>
        </w:rPr>
        <w:t xml:space="preserve"> </w:t>
      </w:r>
    </w:p>
    <w:p w14:paraId="03F26B1F" w14:textId="258E1430" w:rsidR="000350A4" w:rsidRPr="00812CE7" w:rsidRDefault="000350A4" w:rsidP="00EF15AC">
      <w:pPr>
        <w:pStyle w:val="Heading3"/>
        <w:rPr>
          <w:lang w:eastAsia="en-AU"/>
        </w:rPr>
      </w:pPr>
      <w:r w:rsidRPr="00812CE7">
        <w:rPr>
          <w:lang w:eastAsia="en-AU"/>
        </w:rPr>
        <w:t xml:space="preserve">Escorts of female detainees will be carried out in accordance </w:t>
      </w:r>
      <w:r w:rsidRPr="00812CE7">
        <w:t xml:space="preserve">with </w:t>
      </w:r>
      <w:hyperlink r:id="rId24" w:history="1">
        <w:r w:rsidR="0020231C" w:rsidRPr="00812CE7">
          <w:rPr>
            <w:rStyle w:val="Hyperlink"/>
          </w:rPr>
          <w:t>COPP 10.1 – Scheduling Escorts</w:t>
        </w:r>
      </w:hyperlink>
      <w:r w:rsidR="000527C1" w:rsidRPr="00812CE7">
        <w:t xml:space="preserve"> (</w:t>
      </w:r>
      <w:r w:rsidR="00187DC3" w:rsidRPr="00812CE7">
        <w:t>Restricted</w:t>
      </w:r>
      <w:r w:rsidR="000527C1" w:rsidRPr="00812CE7">
        <w:t xml:space="preserve"> Access)</w:t>
      </w:r>
      <w:r w:rsidRPr="00812CE7">
        <w:t xml:space="preserve"> and </w:t>
      </w:r>
      <w:hyperlink r:id="rId25" w:history="1">
        <w:r w:rsidR="0020231C" w:rsidRPr="00812CE7">
          <w:rPr>
            <w:rStyle w:val="Hyperlink"/>
          </w:rPr>
          <w:t>COPP 10.2 – External Detainee Escorts</w:t>
        </w:r>
        <w:r w:rsidR="000527C1" w:rsidRPr="00812CE7">
          <w:rPr>
            <w:rStyle w:val="Hyperlink"/>
          </w:rPr>
          <w:t xml:space="preserve"> (Restricted Access)</w:t>
        </w:r>
        <w:r w:rsidR="004E69FF" w:rsidRPr="00812CE7">
          <w:rPr>
            <w:rStyle w:val="Hyperlink"/>
            <w:lang w:eastAsia="en-AU"/>
          </w:rPr>
          <w:t>.</w:t>
        </w:r>
      </w:hyperlink>
    </w:p>
    <w:p w14:paraId="060427DB" w14:textId="0CB2696C" w:rsidR="000C57FE" w:rsidRDefault="00F50DE4" w:rsidP="00EF15AC">
      <w:pPr>
        <w:pStyle w:val="Heading2"/>
        <w:rPr>
          <w:lang w:eastAsia="en-AU"/>
        </w:rPr>
      </w:pPr>
      <w:bookmarkStart w:id="12" w:name="_Toc153191662"/>
      <w:r>
        <w:rPr>
          <w:lang w:eastAsia="en-AU"/>
        </w:rPr>
        <w:t>Health</w:t>
      </w:r>
      <w:bookmarkEnd w:id="12"/>
    </w:p>
    <w:p w14:paraId="751A3043" w14:textId="56C7DC93" w:rsidR="0064438C" w:rsidRDefault="00F16D9D" w:rsidP="00EF15AC">
      <w:pPr>
        <w:pStyle w:val="Heading3"/>
        <w:rPr>
          <w:lang w:eastAsia="en-AU"/>
        </w:rPr>
      </w:pPr>
      <w:r>
        <w:rPr>
          <w:lang w:eastAsia="en-AU"/>
        </w:rPr>
        <w:t xml:space="preserve">Access to Health Services and the issue of medication to female detainees will be carried out in accordance with </w:t>
      </w:r>
      <w:hyperlink r:id="rId26" w:history="1">
        <w:r w:rsidR="0020231C" w:rsidRPr="001F70AC">
          <w:rPr>
            <w:rStyle w:val="Hyperlink"/>
          </w:rPr>
          <w:t>COPP 3.1 – Access to Health Services</w:t>
        </w:r>
      </w:hyperlink>
      <w:r w:rsidRPr="00EF15AC">
        <w:t xml:space="preserve"> and</w:t>
      </w:r>
      <w:r w:rsidR="0084591B" w:rsidRPr="00EF15AC">
        <w:t xml:space="preserve"> </w:t>
      </w:r>
      <w:hyperlink r:id="rId27" w:history="1">
        <w:r w:rsidR="0020231C" w:rsidRPr="001F70AC">
          <w:rPr>
            <w:rStyle w:val="Hyperlink"/>
          </w:rPr>
          <w:t>COPP 3.2 – Issue of Medication by Custodial Officers</w:t>
        </w:r>
      </w:hyperlink>
      <w:r w:rsidR="0020231C" w:rsidRPr="00EF15AC">
        <w:t>.</w:t>
      </w:r>
    </w:p>
    <w:p w14:paraId="651D195C" w14:textId="70BEF76E" w:rsidR="0064438C" w:rsidRPr="00967E5F" w:rsidRDefault="0064438C" w:rsidP="00967E5F">
      <w:r>
        <w:rPr>
          <w:lang w:eastAsia="en-AU"/>
        </w:rPr>
        <w:br w:type="page"/>
      </w:r>
    </w:p>
    <w:p w14:paraId="20FE2873" w14:textId="77777777" w:rsidR="000755EE" w:rsidRPr="00EF15AC" w:rsidRDefault="003D708E" w:rsidP="006074C4">
      <w:pPr>
        <w:pStyle w:val="Heading1"/>
        <w:spacing w:before="360" w:after="240"/>
      </w:pPr>
      <w:bookmarkStart w:id="13" w:name="_Toc66095275"/>
      <w:bookmarkStart w:id="14" w:name="_Toc153191663"/>
      <w:bookmarkEnd w:id="13"/>
      <w:r w:rsidRPr="00EF15AC">
        <w:lastRenderedPageBreak/>
        <w:t>Annexures</w:t>
      </w:r>
      <w:bookmarkEnd w:id="14"/>
    </w:p>
    <w:p w14:paraId="51628F4E" w14:textId="7087901C" w:rsidR="000157FF" w:rsidRPr="009F481D" w:rsidRDefault="003D708E" w:rsidP="006074C4">
      <w:pPr>
        <w:pStyle w:val="Heading2"/>
        <w:spacing w:before="360" w:after="240"/>
      </w:pPr>
      <w:bookmarkStart w:id="15" w:name="_Toc153191664"/>
      <w:r>
        <w:t>Related COPP</w:t>
      </w:r>
      <w:r w:rsidR="00F2491B">
        <w:t>s</w:t>
      </w:r>
      <w:bookmarkEnd w:id="15"/>
      <w:r>
        <w:t xml:space="preserve"> </w:t>
      </w:r>
    </w:p>
    <w:p w14:paraId="4B661D0C" w14:textId="3B3407C3" w:rsidR="0020231C" w:rsidRPr="00CE3F73" w:rsidRDefault="00000000" w:rsidP="0020231C">
      <w:pPr>
        <w:pStyle w:val="ListBullet"/>
        <w:rPr>
          <w:rStyle w:val="Hyperlink"/>
          <w:color w:val="auto"/>
          <w:u w:val="none"/>
        </w:rPr>
      </w:pPr>
      <w:hyperlink r:id="rId28" w:history="1">
        <w:r w:rsidR="0020231C" w:rsidRPr="00812CE7">
          <w:rPr>
            <w:rStyle w:val="Hyperlink"/>
          </w:rPr>
          <w:t>COPP 2.3 – Placements</w:t>
        </w:r>
      </w:hyperlink>
    </w:p>
    <w:p w14:paraId="72F8F2CF" w14:textId="1F1AC14A" w:rsidR="00F16D9D" w:rsidRPr="00CE3F73" w:rsidRDefault="00000000" w:rsidP="00967E5F">
      <w:pPr>
        <w:pStyle w:val="ListBullet"/>
      </w:pPr>
      <w:hyperlink r:id="rId29" w:history="1">
        <w:r w:rsidR="0020231C" w:rsidRPr="00812CE7">
          <w:rPr>
            <w:rStyle w:val="Hyperlink"/>
          </w:rPr>
          <w:t>COPP 3.1 – Access to Health Services</w:t>
        </w:r>
      </w:hyperlink>
      <w:r w:rsidR="00F16D9D" w:rsidRPr="00CE3F73">
        <w:t xml:space="preserve"> </w:t>
      </w:r>
    </w:p>
    <w:p w14:paraId="3464766E" w14:textId="1B464F4E" w:rsidR="0020231C" w:rsidRPr="00CE3F73" w:rsidRDefault="00000000" w:rsidP="0020231C">
      <w:pPr>
        <w:pStyle w:val="ListBullet"/>
        <w:rPr>
          <w:rStyle w:val="Hyperlink"/>
          <w:color w:val="auto"/>
          <w:u w:val="none"/>
        </w:rPr>
      </w:pPr>
      <w:hyperlink r:id="rId30" w:history="1">
        <w:r w:rsidR="0020231C" w:rsidRPr="00812CE7">
          <w:rPr>
            <w:rStyle w:val="Hyperlink"/>
          </w:rPr>
          <w:t>COPP 3.2 – Issue of Medication by Custodial Officers</w:t>
        </w:r>
      </w:hyperlink>
    </w:p>
    <w:p w14:paraId="5C82DD04" w14:textId="386ADA1C" w:rsidR="00F16D9D" w:rsidRPr="00CE3F73" w:rsidRDefault="00000000" w:rsidP="00967E5F">
      <w:pPr>
        <w:pStyle w:val="ListBullet"/>
        <w:rPr>
          <w:rStyle w:val="Hyperlink"/>
          <w:color w:val="auto"/>
          <w:u w:val="none"/>
        </w:rPr>
      </w:pPr>
      <w:hyperlink r:id="rId31" w:history="1">
        <w:r w:rsidR="0020231C" w:rsidRPr="00812CE7">
          <w:rPr>
            <w:rStyle w:val="Hyperlink"/>
          </w:rPr>
          <w:t>COPP 5.1 – Orientation</w:t>
        </w:r>
      </w:hyperlink>
      <w:r w:rsidR="00020FEB" w:rsidRPr="00CE3F73">
        <w:rPr>
          <w:rStyle w:val="Hyperlink"/>
          <w:color w:val="auto"/>
          <w:u w:val="none"/>
        </w:rPr>
        <w:t xml:space="preserve"> </w:t>
      </w:r>
    </w:p>
    <w:p w14:paraId="29D801FB" w14:textId="2D054603" w:rsidR="0084591B" w:rsidRPr="00CE3F73" w:rsidRDefault="00000000" w:rsidP="00967E5F">
      <w:pPr>
        <w:pStyle w:val="ListBullet"/>
      </w:pPr>
      <w:hyperlink r:id="rId32" w:history="1">
        <w:r w:rsidR="0020231C" w:rsidRPr="00812CE7">
          <w:rPr>
            <w:rStyle w:val="Hyperlink"/>
          </w:rPr>
          <w:t>COPP 6.3 – Behaviour Management</w:t>
        </w:r>
      </w:hyperlink>
    </w:p>
    <w:p w14:paraId="233452BC" w14:textId="277A3558" w:rsidR="00AA79A9" w:rsidRPr="00664451" w:rsidRDefault="00664451" w:rsidP="00967E5F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"https://dojwa.sharepoint.com/sites/intranet/prison-operations/Pages/bhdc-copps.aspx" </w:instrText>
      </w:r>
      <w:r>
        <w:fldChar w:fldCharType="separate"/>
      </w:r>
      <w:r w:rsidR="00812CE7" w:rsidRPr="00664451">
        <w:rPr>
          <w:rStyle w:val="Hyperlink"/>
        </w:rPr>
        <w:t xml:space="preserve">BHYDC </w:t>
      </w:r>
      <w:r w:rsidR="0020231C" w:rsidRPr="00664451">
        <w:rPr>
          <w:rStyle w:val="Hyperlink"/>
        </w:rPr>
        <w:t>COPP 7.2 – Pregnant Detainees</w:t>
      </w:r>
    </w:p>
    <w:p w14:paraId="351BCA18" w14:textId="52AD2362" w:rsidR="0020231C" w:rsidRPr="00664451" w:rsidRDefault="0020231C" w:rsidP="0020231C">
      <w:pPr>
        <w:pStyle w:val="ListBullet"/>
        <w:rPr>
          <w:rStyle w:val="Hyperlink"/>
        </w:rPr>
      </w:pPr>
      <w:r w:rsidRPr="00664451">
        <w:rPr>
          <w:rStyle w:val="Hyperlink"/>
        </w:rPr>
        <w:t>COPP 7.5 – Trans, Gender Diverse and Intersex</w:t>
      </w:r>
    </w:p>
    <w:p w14:paraId="6FB8C76A" w14:textId="7D4E55D9" w:rsidR="00F23F57" w:rsidRPr="00664451" w:rsidRDefault="00812CE7" w:rsidP="00967E5F">
      <w:pPr>
        <w:pStyle w:val="ListBullet"/>
        <w:rPr>
          <w:rStyle w:val="Hyperlink"/>
        </w:rPr>
      </w:pPr>
      <w:r w:rsidRPr="00664451">
        <w:rPr>
          <w:rStyle w:val="Hyperlink"/>
        </w:rPr>
        <w:t xml:space="preserve">BHYDC </w:t>
      </w:r>
      <w:r w:rsidR="0020231C" w:rsidRPr="00664451">
        <w:rPr>
          <w:rStyle w:val="Hyperlink"/>
        </w:rPr>
        <w:t>COPP 7.6 – Personal Support Plans</w:t>
      </w:r>
      <w:r w:rsidR="00F23F57" w:rsidRPr="00664451">
        <w:rPr>
          <w:rStyle w:val="Hyperlink"/>
          <w:lang w:eastAsia="en-AU"/>
        </w:rPr>
        <w:t xml:space="preserve"> </w:t>
      </w:r>
    </w:p>
    <w:p w14:paraId="7EB92575" w14:textId="1AFFCE74" w:rsidR="007A1DBF" w:rsidRPr="00664451" w:rsidRDefault="0020231C" w:rsidP="00967E5F">
      <w:pPr>
        <w:pStyle w:val="ListBullet"/>
        <w:rPr>
          <w:rStyle w:val="Hyperlink"/>
        </w:rPr>
      </w:pPr>
      <w:r w:rsidRPr="00664451">
        <w:rPr>
          <w:rStyle w:val="Hyperlink"/>
        </w:rPr>
        <w:t>COPP 8.2 – Use of Force and Restraints</w:t>
      </w:r>
    </w:p>
    <w:p w14:paraId="170FF9D8" w14:textId="5197C88B" w:rsidR="008C3763" w:rsidRPr="00664451" w:rsidRDefault="00812CE7" w:rsidP="00967E5F">
      <w:pPr>
        <w:pStyle w:val="ListBullet"/>
        <w:rPr>
          <w:rStyle w:val="Hyperlink"/>
        </w:rPr>
      </w:pPr>
      <w:r w:rsidRPr="00664451">
        <w:rPr>
          <w:rStyle w:val="Hyperlink"/>
        </w:rPr>
        <w:t xml:space="preserve">BHYDC </w:t>
      </w:r>
      <w:r w:rsidR="0020231C" w:rsidRPr="00664451">
        <w:rPr>
          <w:rStyle w:val="Hyperlink"/>
        </w:rPr>
        <w:t>COPP 9.6 – Searching</w:t>
      </w:r>
    </w:p>
    <w:p w14:paraId="2A8DCEEE" w14:textId="257C5393" w:rsidR="006940AE" w:rsidRPr="00664451" w:rsidRDefault="0020231C" w:rsidP="00967E5F">
      <w:pPr>
        <w:pStyle w:val="ListBullet"/>
        <w:rPr>
          <w:rStyle w:val="Hyperlink"/>
        </w:rPr>
      </w:pPr>
      <w:r w:rsidRPr="00664451">
        <w:rPr>
          <w:rStyle w:val="Hyperlink"/>
        </w:rPr>
        <w:t>COPP 10.1 – Scheduling Escorts</w:t>
      </w:r>
    </w:p>
    <w:p w14:paraId="1D4842A0" w14:textId="743B3B1D" w:rsidR="006940AE" w:rsidRDefault="0020231C" w:rsidP="00967E5F">
      <w:pPr>
        <w:pStyle w:val="ListBullet"/>
      </w:pPr>
      <w:r w:rsidRPr="00664451">
        <w:rPr>
          <w:rStyle w:val="Hyperlink"/>
        </w:rPr>
        <w:t>COPP 10.2 – External Detainee Escorts</w:t>
      </w:r>
      <w:r w:rsidR="00664451">
        <w:fldChar w:fldCharType="end"/>
      </w:r>
    </w:p>
    <w:p w14:paraId="6667271A" w14:textId="77777777" w:rsidR="003D708E" w:rsidRDefault="003D708E" w:rsidP="00EF15AC">
      <w:pPr>
        <w:pStyle w:val="Heading2"/>
      </w:pPr>
      <w:bookmarkStart w:id="16" w:name="_Toc66095278"/>
      <w:bookmarkStart w:id="17" w:name="_Toc66095279"/>
      <w:bookmarkStart w:id="18" w:name="_Toc153191665"/>
      <w:bookmarkEnd w:id="16"/>
      <w:bookmarkEnd w:id="17"/>
      <w:r>
        <w:t>Definitions and acronyms</w:t>
      </w:r>
      <w:bookmarkEnd w:id="18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72D10C97" w14:textId="77777777" w:rsidTr="00F65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190CCD9E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1B38F30D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692DA9" w:rsidRPr="000E6F0A" w14:paraId="3938C6B3" w14:textId="77777777" w:rsidTr="00F6574B">
        <w:tc>
          <w:tcPr>
            <w:tcW w:w="2115" w:type="dxa"/>
          </w:tcPr>
          <w:p w14:paraId="25D4A947" w14:textId="77777777" w:rsidR="00692DA9" w:rsidRPr="003714BD" w:rsidRDefault="00D36FD1" w:rsidP="00D36FD1">
            <w:pPr>
              <w:pStyle w:val="Tabledata"/>
            </w:pPr>
            <w:r>
              <w:t>Commissioner’s Operating</w:t>
            </w:r>
            <w:r w:rsidR="00692DA9">
              <w:t xml:space="preserve"> Policy and Procedures (COPP)</w:t>
            </w:r>
          </w:p>
        </w:tc>
        <w:tc>
          <w:tcPr>
            <w:tcW w:w="7053" w:type="dxa"/>
          </w:tcPr>
          <w:p w14:paraId="6A6ED6F1" w14:textId="77777777" w:rsidR="00692DA9" w:rsidRPr="00344FBE" w:rsidRDefault="005F52DB" w:rsidP="00692DA9">
            <w:pPr>
              <w:pStyle w:val="Tabledata"/>
              <w:tabs>
                <w:tab w:val="right" w:pos="6883"/>
              </w:tabs>
            </w:pPr>
            <w:r w:rsidRPr="00E379B8">
              <w:rPr>
                <w:rFonts w:cs="Arial"/>
              </w:rPr>
              <w:t>Operational Instruments that provide instructions to staff how the relevant legislative requirements are implemented.</w:t>
            </w:r>
          </w:p>
        </w:tc>
      </w:tr>
      <w:tr w:rsidR="003B53C3" w:rsidRPr="000E6F0A" w14:paraId="40B4AC74" w14:textId="77777777" w:rsidTr="00F6574B">
        <w:tc>
          <w:tcPr>
            <w:tcW w:w="2115" w:type="dxa"/>
          </w:tcPr>
          <w:p w14:paraId="623DF7A6" w14:textId="77777777" w:rsidR="003B53C3" w:rsidRDefault="003B53C3" w:rsidP="00692DA9">
            <w:pPr>
              <w:pStyle w:val="Tabledata"/>
            </w:pPr>
            <w:r w:rsidRPr="00E379B8">
              <w:rPr>
                <w:rFonts w:cs="Arial"/>
              </w:rPr>
              <w:t>Cue Unit</w:t>
            </w:r>
          </w:p>
        </w:tc>
        <w:tc>
          <w:tcPr>
            <w:tcW w:w="7053" w:type="dxa"/>
          </w:tcPr>
          <w:p w14:paraId="7E5291EA" w14:textId="77777777" w:rsidR="003B53C3" w:rsidRDefault="003B53C3" w:rsidP="00692DA9">
            <w:pPr>
              <w:pStyle w:val="Tabledata"/>
            </w:pPr>
            <w:r w:rsidRPr="00E379B8">
              <w:rPr>
                <w:rFonts w:cs="Arial"/>
              </w:rPr>
              <w:t>A smaller unit of the Yeeda Unit that provides a higher level of care and support for female detainees with</w:t>
            </w:r>
            <w:r>
              <w:rPr>
                <w:rFonts w:cs="Arial"/>
              </w:rPr>
              <w:t>in</w:t>
            </w:r>
            <w:r w:rsidRPr="00E379B8">
              <w:rPr>
                <w:rFonts w:cs="Arial"/>
              </w:rPr>
              <w:t xml:space="preserve"> Banksia Hill Detention Centre than standard accommodation units.</w:t>
            </w:r>
          </w:p>
        </w:tc>
      </w:tr>
      <w:tr w:rsidR="00812CE7" w:rsidRPr="00344FBE" w14:paraId="1298CC1B" w14:textId="77777777" w:rsidTr="004E3197">
        <w:tc>
          <w:tcPr>
            <w:tcW w:w="2115" w:type="dxa"/>
          </w:tcPr>
          <w:p w14:paraId="4A999C26" w14:textId="77777777" w:rsidR="00812CE7" w:rsidRPr="00BE273A" w:rsidRDefault="00812CE7" w:rsidP="004E3197">
            <w:pPr>
              <w:pStyle w:val="Tabledata"/>
            </w:pPr>
            <w:r w:rsidRPr="00BE273A">
              <w:t>Custodial Officer</w:t>
            </w:r>
          </w:p>
        </w:tc>
        <w:tc>
          <w:tcPr>
            <w:tcW w:w="7053" w:type="dxa"/>
          </w:tcPr>
          <w:p w14:paraId="02084702" w14:textId="77777777" w:rsidR="00812CE7" w:rsidRPr="00344FBE" w:rsidRDefault="00812CE7" w:rsidP="004E3197">
            <w:pPr>
              <w:pStyle w:val="Tabledata"/>
            </w:pPr>
            <w:r>
              <w:t xml:space="preserve">An officer with custodial functions, appointed under section 11(1) of the </w:t>
            </w:r>
            <w:r>
              <w:rPr>
                <w:i/>
                <w:iCs/>
              </w:rPr>
              <w:t>Young Offenders Act 1994</w:t>
            </w:r>
            <w:r>
              <w:t>; or a person who is appointed under section 11(1a)(a) as a custodial officer. This includes but is not limited to Youth Custodial Officers, Unit Managers and Senior Officers.</w:t>
            </w:r>
          </w:p>
        </w:tc>
      </w:tr>
      <w:tr w:rsidR="00C0499E" w:rsidRPr="000E6F0A" w14:paraId="6BB7B687" w14:textId="77777777" w:rsidTr="00F6574B">
        <w:tc>
          <w:tcPr>
            <w:tcW w:w="2115" w:type="dxa"/>
          </w:tcPr>
          <w:p w14:paraId="6E48AE16" w14:textId="77777777" w:rsidR="00C0499E" w:rsidRDefault="00C0499E" w:rsidP="00C0499E">
            <w:pPr>
              <w:pStyle w:val="Tabledata"/>
            </w:pPr>
            <w:r>
              <w:t>Detainee</w:t>
            </w:r>
          </w:p>
        </w:tc>
        <w:tc>
          <w:tcPr>
            <w:tcW w:w="7053" w:type="dxa"/>
          </w:tcPr>
          <w:p w14:paraId="754B7AEC" w14:textId="1D88625A" w:rsidR="00C0499E" w:rsidRDefault="00FC2E77" w:rsidP="00C0499E">
            <w:pPr>
              <w:pStyle w:val="Tabledata"/>
            </w:pPr>
            <w:r>
              <w:t>A</w:t>
            </w:r>
            <w:r w:rsidR="00C0499E" w:rsidRPr="0037498C">
              <w:t xml:space="preserve"> person who is detained in a detention centre</w:t>
            </w:r>
            <w:r w:rsidR="00C0499E" w:rsidRPr="007F6AA5">
              <w:rPr>
                <w:rFonts w:eastAsia="MS Mincho"/>
                <w:lang w:eastAsia="en-US"/>
              </w:rPr>
              <w:t xml:space="preserve"> </w:t>
            </w:r>
            <w:r w:rsidR="00C0499E" w:rsidRPr="007F6AA5">
              <w:t>as defined in s</w:t>
            </w:r>
            <w:r w:rsidR="00AA79A9">
              <w:t xml:space="preserve">ection </w:t>
            </w:r>
            <w:r w:rsidR="00C0499E" w:rsidRPr="007F6AA5">
              <w:t xml:space="preserve">3 of the </w:t>
            </w:r>
            <w:r w:rsidR="00C0499E" w:rsidRPr="007F6AA5">
              <w:rPr>
                <w:i/>
              </w:rPr>
              <w:t>Young Offenders Act 1994</w:t>
            </w:r>
            <w:r w:rsidR="00C0499E" w:rsidRPr="007F6AA5">
              <w:t>.</w:t>
            </w:r>
          </w:p>
        </w:tc>
      </w:tr>
      <w:tr w:rsidR="00AA5BDE" w:rsidRPr="000E6F0A" w14:paraId="321C08F4" w14:textId="77777777" w:rsidTr="00F6574B">
        <w:tc>
          <w:tcPr>
            <w:tcW w:w="2115" w:type="dxa"/>
          </w:tcPr>
          <w:p w14:paraId="27F15B35" w14:textId="77777777" w:rsidR="00AA5BDE" w:rsidRDefault="00AA5BDE" w:rsidP="00AA5BDE">
            <w:pPr>
              <w:pStyle w:val="Tabledata"/>
            </w:pPr>
            <w:r w:rsidRPr="001B3E1E">
              <w:t>Officers and Employees of Particular Classes</w:t>
            </w:r>
          </w:p>
        </w:tc>
        <w:tc>
          <w:tcPr>
            <w:tcW w:w="7053" w:type="dxa"/>
          </w:tcPr>
          <w:p w14:paraId="7144B5D3" w14:textId="1F74CB79" w:rsidR="00AA5BDE" w:rsidRPr="000E68D8" w:rsidRDefault="00AA5BDE" w:rsidP="00AA5BDE">
            <w:pPr>
              <w:pStyle w:val="Tabledata"/>
            </w:pPr>
            <w:r w:rsidRPr="001B3E1E">
              <w:t>The following descriptions of classes of officers and employees are prescribed for the purpose of s</w:t>
            </w:r>
            <w:r w:rsidR="00AA79A9">
              <w:t>ection</w:t>
            </w:r>
            <w:r w:rsidRPr="001B3E1E">
              <w:t xml:space="preserve"> 11(1a)(b) of the </w:t>
            </w:r>
            <w:r w:rsidRPr="001B3E1E">
              <w:rPr>
                <w:i/>
                <w:iCs/>
              </w:rPr>
              <w:t>Young Offenders Act 1994</w:t>
            </w:r>
            <w:r w:rsidRPr="001B3E1E">
              <w:t>, in r</w:t>
            </w:r>
            <w:r w:rsidR="00AA79A9">
              <w:t>egulation</w:t>
            </w:r>
            <w:r w:rsidRPr="001B3E1E">
              <w:t xml:space="preserve"> 49(2) of the </w:t>
            </w:r>
            <w:r w:rsidRPr="00562EB2">
              <w:rPr>
                <w:i/>
                <w:iCs/>
              </w:rPr>
              <w:t>Young Offender</w:t>
            </w:r>
            <w:r w:rsidR="002012CB" w:rsidRPr="00562EB2">
              <w:rPr>
                <w:i/>
                <w:iCs/>
              </w:rPr>
              <w:t>s</w:t>
            </w:r>
            <w:r w:rsidRPr="00562EB2">
              <w:rPr>
                <w:i/>
                <w:iCs/>
              </w:rPr>
              <w:t xml:space="preserve"> Regulations 1995</w:t>
            </w:r>
            <w:r w:rsidRPr="000E68D8">
              <w:t>:</w:t>
            </w:r>
          </w:p>
          <w:p w14:paraId="74005AFB" w14:textId="5D19D1F5" w:rsidR="00AA5BDE" w:rsidRPr="001B3E1E" w:rsidRDefault="00AA5BDE" w:rsidP="00AA5BDE">
            <w:pPr>
              <w:pStyle w:val="Tabledata"/>
            </w:pPr>
            <w:r w:rsidRPr="001B3E1E">
              <w:t>a) Medical staff persons who have undergone medical, nursing or health training and hold qualifications indicating successful completion of that training.</w:t>
            </w:r>
          </w:p>
          <w:p w14:paraId="4CAF4EC9" w14:textId="4298930C" w:rsidR="00AA5BDE" w:rsidRPr="001B3E1E" w:rsidRDefault="00AA5BDE" w:rsidP="00AA5BDE">
            <w:pPr>
              <w:pStyle w:val="Tabledata"/>
            </w:pPr>
            <w:r w:rsidRPr="001B3E1E">
              <w:t>b) Teaching staff persons who provide recreation or sports supervision, teachers, vocational trainers and social trainers.</w:t>
            </w:r>
          </w:p>
          <w:p w14:paraId="7C6E5BBE" w14:textId="724E148A" w:rsidR="00AA5BDE" w:rsidRPr="001B3E1E" w:rsidRDefault="00AA5BDE" w:rsidP="00AA5BDE">
            <w:pPr>
              <w:pStyle w:val="Tabledata"/>
            </w:pPr>
            <w:r>
              <w:lastRenderedPageBreak/>
              <w:t>c)</w:t>
            </w:r>
            <w:r w:rsidRPr="001B3E1E">
              <w:t xml:space="preserve"> Program support staff counsellors, program facilitators and librarians.</w:t>
            </w:r>
          </w:p>
          <w:p w14:paraId="30C2895A" w14:textId="3876E287" w:rsidR="00AA5BDE" w:rsidRDefault="00AA5BDE" w:rsidP="00AA5BDE">
            <w:pPr>
              <w:rPr>
                <w:rFonts w:eastAsia="Times New Roman" w:cs="Arial"/>
                <w:color w:val="222222"/>
                <w:lang w:eastAsia="en-AU"/>
              </w:rPr>
            </w:pPr>
            <w:r w:rsidRPr="001B3E1E">
              <w:t>d) Centre support staff cleaning staff, laundry staff, gardening staff, vehicle driving staff, maintenance staff and hairdressers.</w:t>
            </w:r>
          </w:p>
        </w:tc>
      </w:tr>
      <w:tr w:rsidR="00F6574B" w14:paraId="28503299" w14:textId="77777777" w:rsidTr="00F6574B">
        <w:tc>
          <w:tcPr>
            <w:tcW w:w="2115" w:type="dxa"/>
          </w:tcPr>
          <w:p w14:paraId="7A2D24E7" w14:textId="77777777" w:rsidR="00F6574B" w:rsidRPr="005435AD" w:rsidRDefault="00BE273A" w:rsidP="00F6574B">
            <w:pPr>
              <w:pStyle w:val="Tabledata"/>
              <w:rPr>
                <w:b/>
              </w:rPr>
            </w:pPr>
            <w:r>
              <w:lastRenderedPageBreak/>
              <w:t>Senior Officer</w:t>
            </w:r>
          </w:p>
        </w:tc>
        <w:tc>
          <w:tcPr>
            <w:tcW w:w="7053" w:type="dxa"/>
          </w:tcPr>
          <w:p w14:paraId="30EDA7EE" w14:textId="11FA878B" w:rsidR="00F6574B" w:rsidRPr="00344FBE" w:rsidRDefault="00BE273A" w:rsidP="00F6574B">
            <w:pPr>
              <w:pStyle w:val="Tabledata"/>
            </w:pPr>
            <w:r w:rsidRPr="004D344D">
              <w:t>A Youth Custodial Officer who is substantive to this rank, or a Unit Manager, or Youth Custodial Officer acting in the capacity of Senior Officer, appointed by the Chief Executive Officer with reference to s</w:t>
            </w:r>
            <w:r w:rsidR="00AA79A9">
              <w:t xml:space="preserve">ection </w:t>
            </w:r>
            <w:r w:rsidRPr="004D344D">
              <w:t xml:space="preserve">11 of the </w:t>
            </w:r>
            <w:r w:rsidRPr="004D344D">
              <w:rPr>
                <w:i/>
              </w:rPr>
              <w:t>Young Offenders Act 1994</w:t>
            </w:r>
          </w:p>
        </w:tc>
      </w:tr>
      <w:tr w:rsidR="00302EE6" w14:paraId="6E471906" w14:textId="77777777" w:rsidTr="00F6574B">
        <w:tc>
          <w:tcPr>
            <w:tcW w:w="2115" w:type="dxa"/>
          </w:tcPr>
          <w:p w14:paraId="27B1E8F5" w14:textId="77777777" w:rsidR="00302EE6" w:rsidRPr="005D600F" w:rsidRDefault="00302EE6" w:rsidP="00302EE6">
            <w:pPr>
              <w:pStyle w:val="Tabledata"/>
            </w:pPr>
            <w:r>
              <w:t>Staff</w:t>
            </w:r>
          </w:p>
        </w:tc>
        <w:tc>
          <w:tcPr>
            <w:tcW w:w="7053" w:type="dxa"/>
          </w:tcPr>
          <w:p w14:paraId="6F42BC84" w14:textId="500DFBD3" w:rsidR="00302EE6" w:rsidRPr="00344FBE" w:rsidRDefault="00F2491B" w:rsidP="00302EE6">
            <w:pPr>
              <w:pStyle w:val="Tabledata"/>
            </w:pPr>
            <w:r>
              <w:t xml:space="preserve">Any </w:t>
            </w:r>
            <w:r w:rsidR="009A1953">
              <w:t xml:space="preserve">person or officer </w:t>
            </w:r>
            <w:r w:rsidR="00302EE6" w:rsidRPr="001B3E1E">
              <w:t>of the Department of Justice, including a Public Service Officer, Youth Custodial Officer or an employee of a particular class; and any contractor who provides services to the Department of Justice.</w:t>
            </w:r>
          </w:p>
        </w:tc>
      </w:tr>
      <w:tr w:rsidR="00692DA9" w14:paraId="50D2218F" w14:textId="77777777" w:rsidTr="00F6574B">
        <w:tc>
          <w:tcPr>
            <w:tcW w:w="2115" w:type="dxa"/>
          </w:tcPr>
          <w:p w14:paraId="3794F43B" w14:textId="77777777" w:rsidR="00692DA9" w:rsidRPr="004D344D" w:rsidRDefault="00692DA9" w:rsidP="00692DA9">
            <w:pPr>
              <w:pStyle w:val="Tabledata"/>
            </w:pPr>
            <w:r w:rsidRPr="00BB7AA0">
              <w:t>Total Offender Management Solution  (TOMS)</w:t>
            </w:r>
          </w:p>
        </w:tc>
        <w:tc>
          <w:tcPr>
            <w:tcW w:w="7053" w:type="dxa"/>
          </w:tcPr>
          <w:p w14:paraId="686A4B28" w14:textId="77777777" w:rsidR="00692DA9" w:rsidRPr="004D344D" w:rsidRDefault="00692DA9" w:rsidP="00692DA9">
            <w:pPr>
              <w:pStyle w:val="Tabledata"/>
            </w:pPr>
            <w:r w:rsidRPr="00BB7AA0">
              <w:t xml:space="preserve">The computer application used by the Department of </w:t>
            </w:r>
            <w:r>
              <w:t xml:space="preserve">Justice </w:t>
            </w:r>
            <w:r w:rsidRPr="00BB7AA0">
              <w:t xml:space="preserve">for the management of </w:t>
            </w:r>
            <w:r>
              <w:t xml:space="preserve">prisoners and </w:t>
            </w:r>
            <w:r w:rsidRPr="00BB7AA0">
              <w:t>detainees in custody</w:t>
            </w:r>
            <w:r>
              <w:t>.</w:t>
            </w:r>
          </w:p>
        </w:tc>
      </w:tr>
      <w:tr w:rsidR="00692DA9" w14:paraId="2C130671" w14:textId="77777777" w:rsidTr="00F6574B">
        <w:tc>
          <w:tcPr>
            <w:tcW w:w="2115" w:type="dxa"/>
          </w:tcPr>
          <w:p w14:paraId="46534A98" w14:textId="006A0A31" w:rsidR="00692DA9" w:rsidRPr="004D344D" w:rsidRDefault="00692DA9" w:rsidP="00692DA9">
            <w:pPr>
              <w:pStyle w:val="Tabledata"/>
            </w:pPr>
            <w:r w:rsidRPr="00EF1C0B">
              <w:t xml:space="preserve">Unit Manager </w:t>
            </w:r>
          </w:p>
        </w:tc>
        <w:tc>
          <w:tcPr>
            <w:tcW w:w="7053" w:type="dxa"/>
          </w:tcPr>
          <w:p w14:paraId="04618409" w14:textId="532EA51B" w:rsidR="00692DA9" w:rsidRPr="00EF1C0B" w:rsidRDefault="003B53C3" w:rsidP="00967E5F">
            <w:pPr>
              <w:pStyle w:val="Tabledata"/>
            </w:pPr>
            <w:r w:rsidRPr="00E379B8">
              <w:t>A Youth Custodial Officer substantive to this rank or Youth Custodial Officer acting in the capacity of Unit Manager, appointed by the Chief Executive Officer with reference to s</w:t>
            </w:r>
            <w:r w:rsidR="00AA79A9">
              <w:t xml:space="preserve">ection </w:t>
            </w:r>
            <w:r w:rsidRPr="00E379B8">
              <w:t xml:space="preserve">11 of the </w:t>
            </w:r>
            <w:r w:rsidRPr="00E379B8">
              <w:rPr>
                <w:i/>
              </w:rPr>
              <w:t>Young Offenders Act 1994</w:t>
            </w:r>
            <w:r w:rsidRPr="00E379B8">
              <w:t>.</w:t>
            </w:r>
          </w:p>
        </w:tc>
      </w:tr>
      <w:tr w:rsidR="00692DA9" w14:paraId="173646D2" w14:textId="77777777" w:rsidTr="00F6574B">
        <w:tc>
          <w:tcPr>
            <w:tcW w:w="2115" w:type="dxa"/>
          </w:tcPr>
          <w:p w14:paraId="70EAE73A" w14:textId="77777777" w:rsidR="00692DA9" w:rsidRPr="00EF1C0B" w:rsidRDefault="00692DA9" w:rsidP="00967E5F">
            <w:pPr>
              <w:pStyle w:val="Tabledata"/>
            </w:pPr>
            <w:r>
              <w:t>Yeeda Unit</w:t>
            </w:r>
          </w:p>
        </w:tc>
        <w:tc>
          <w:tcPr>
            <w:tcW w:w="7053" w:type="dxa"/>
          </w:tcPr>
          <w:p w14:paraId="7EB59587" w14:textId="77777777" w:rsidR="00692DA9" w:rsidRPr="00EF1C0B" w:rsidRDefault="00760E33" w:rsidP="00967E5F">
            <w:pPr>
              <w:pStyle w:val="Tabledata"/>
            </w:pPr>
            <w:r>
              <w:t xml:space="preserve">Separate </w:t>
            </w:r>
            <w:r w:rsidR="00692DA9">
              <w:t>accommodation area for female detainees within Banksia Hill Detention Centre.</w:t>
            </w:r>
          </w:p>
        </w:tc>
      </w:tr>
      <w:tr w:rsidR="00692DA9" w14:paraId="7D4010BA" w14:textId="77777777" w:rsidTr="00F6574B">
        <w:tc>
          <w:tcPr>
            <w:tcW w:w="2115" w:type="dxa"/>
          </w:tcPr>
          <w:p w14:paraId="184793A0" w14:textId="78396F9B" w:rsidR="00692DA9" w:rsidRPr="00BE273A" w:rsidRDefault="00812CE7" w:rsidP="00BB6039">
            <w:pPr>
              <w:pStyle w:val="Tabledata"/>
            </w:pPr>
            <w:bookmarkStart w:id="19" w:name="_Hlk146265028"/>
            <w:r>
              <w:t xml:space="preserve">Youth Detention Centre </w:t>
            </w:r>
          </w:p>
        </w:tc>
        <w:tc>
          <w:tcPr>
            <w:tcW w:w="7053" w:type="dxa"/>
          </w:tcPr>
          <w:p w14:paraId="0CF7107C" w14:textId="6DCF3F80" w:rsidR="00692DA9" w:rsidRPr="00344FBE" w:rsidRDefault="00812CE7" w:rsidP="00692DA9">
            <w:pPr>
              <w:pStyle w:val="Tabledata"/>
            </w:pPr>
            <w:r w:rsidRPr="00F33B91">
              <w:rPr>
                <w:rFonts w:cs="Arial"/>
              </w:rPr>
              <w:t xml:space="preserve">A gazetted detention centre declared by the Minister to be a detention centre to accommodate male and female, remanded or sentenced detainees. Refer to section 13 of </w:t>
            </w:r>
            <w:r w:rsidRPr="00F33B91">
              <w:rPr>
                <w:rFonts w:cs="Arial"/>
                <w:i/>
              </w:rPr>
              <w:t>Young Offenders Act 1994.</w:t>
            </w:r>
          </w:p>
        </w:tc>
      </w:tr>
    </w:tbl>
    <w:p w14:paraId="1CA1B79C" w14:textId="50F2DBA4" w:rsidR="00463F18" w:rsidRDefault="003D708E" w:rsidP="00EF15AC">
      <w:pPr>
        <w:pStyle w:val="Heading2"/>
      </w:pPr>
      <w:bookmarkStart w:id="20" w:name="_Toc153191666"/>
      <w:bookmarkEnd w:id="19"/>
      <w:r>
        <w:t>Related legislation</w:t>
      </w:r>
      <w:bookmarkEnd w:id="20"/>
    </w:p>
    <w:p w14:paraId="030D90E0" w14:textId="77777777" w:rsidR="00760E33" w:rsidRPr="00967E5F" w:rsidRDefault="00EA4CA8" w:rsidP="00967E5F">
      <w:pPr>
        <w:pStyle w:val="ListBullet"/>
        <w:rPr>
          <w:i/>
        </w:rPr>
      </w:pPr>
      <w:r w:rsidRPr="00967E5F">
        <w:rPr>
          <w:i/>
        </w:rPr>
        <w:t xml:space="preserve">Young Offenders Act 1994 </w:t>
      </w:r>
    </w:p>
    <w:p w14:paraId="6FFEA799" w14:textId="27CD4DC9" w:rsidR="00414DA5" w:rsidRPr="00E51395" w:rsidRDefault="00EA4CA8" w:rsidP="00E51395">
      <w:pPr>
        <w:pStyle w:val="ListBullet"/>
        <w:rPr>
          <w:i/>
        </w:rPr>
      </w:pPr>
      <w:r w:rsidRPr="00562EB2">
        <w:rPr>
          <w:i/>
        </w:rPr>
        <w:t xml:space="preserve">Young Offenders Regulations 1995 </w:t>
      </w:r>
      <w:bookmarkStart w:id="21" w:name="_Toc178286"/>
      <w:bookmarkStart w:id="22" w:name="_Toc5019569"/>
    </w:p>
    <w:p w14:paraId="1F22FD07" w14:textId="77777777" w:rsidR="00414DA5" w:rsidRPr="00EF15AC" w:rsidRDefault="00414DA5" w:rsidP="00E51395">
      <w:pPr>
        <w:pStyle w:val="Heading1"/>
        <w:spacing w:before="360" w:after="240"/>
      </w:pPr>
      <w:bookmarkStart w:id="23" w:name="_Toc153191667"/>
      <w:r w:rsidRPr="00EF15AC">
        <w:t>Assurance</w:t>
      </w:r>
      <w:bookmarkEnd w:id="23"/>
    </w:p>
    <w:p w14:paraId="1C51C232" w14:textId="77777777" w:rsidR="00414DA5" w:rsidRPr="00AA5BDE" w:rsidRDefault="00414DA5" w:rsidP="00E51395">
      <w:pPr>
        <w:spacing w:before="360" w:after="240"/>
      </w:pPr>
      <w:r w:rsidRPr="00AA5BDE">
        <w:t>It is expected that:</w:t>
      </w:r>
    </w:p>
    <w:p w14:paraId="0793CB0A" w14:textId="370AABD9" w:rsidR="00414DA5" w:rsidRPr="00EF15AC" w:rsidRDefault="00414DA5" w:rsidP="00414DA5">
      <w:pPr>
        <w:pStyle w:val="ListBullet"/>
      </w:pPr>
      <w:r w:rsidRPr="00EF15AC">
        <w:t>BH</w:t>
      </w:r>
      <w:r w:rsidR="00812CE7">
        <w:t>Y</w:t>
      </w:r>
      <w:r w:rsidRPr="00EF15AC">
        <w:t xml:space="preserve">DC will undertake local compliance in accordance with the </w:t>
      </w:r>
      <w:hyperlink r:id="rId33" w:history="1">
        <w:r w:rsidRPr="00967E5F">
          <w:rPr>
            <w:rStyle w:val="Hyperlink"/>
          </w:rPr>
          <w:t>Compliance Manual</w:t>
        </w:r>
      </w:hyperlink>
      <w:r w:rsidRPr="00EF15AC">
        <w:t>.</w:t>
      </w:r>
    </w:p>
    <w:p w14:paraId="4BE0EE10" w14:textId="77777777" w:rsidR="00414DA5" w:rsidRPr="00EF15AC" w:rsidRDefault="00414DA5" w:rsidP="00414DA5">
      <w:pPr>
        <w:pStyle w:val="ListBullet"/>
      </w:pPr>
      <w:r w:rsidRPr="00EF15AC">
        <w:t xml:space="preserve">Women and Young People, Corrective Services, will undertake management oversight as required. </w:t>
      </w:r>
    </w:p>
    <w:p w14:paraId="0F19B4D5" w14:textId="2326CBF9" w:rsidR="00414DA5" w:rsidRPr="00EF15AC" w:rsidRDefault="0007352A" w:rsidP="00414DA5">
      <w:pPr>
        <w:pStyle w:val="ListBullet"/>
      </w:pPr>
      <w:r>
        <w:t>Operational</w:t>
      </w:r>
      <w:r w:rsidR="00414DA5" w:rsidRPr="00EF15AC">
        <w:t xml:space="preserve"> Compliance Branch will undertake checks in accordance with the </w:t>
      </w:r>
      <w:hyperlink r:id="rId34" w:history="1">
        <w:r w:rsidR="00215380">
          <w:rPr>
            <w:rStyle w:val="Hyperlink"/>
          </w:rPr>
          <w:t>Operational</w:t>
        </w:r>
        <w:r w:rsidR="00414DA5" w:rsidRPr="00967E5F">
          <w:rPr>
            <w:rStyle w:val="Hyperlink"/>
          </w:rPr>
          <w:t xml:space="preserve"> Compliance Framework</w:t>
        </w:r>
        <w:r w:rsidR="00414DA5" w:rsidRPr="00EF15AC">
          <w:rPr>
            <w:rStyle w:val="Hyperlink"/>
            <w:color w:val="auto"/>
            <w:u w:val="none"/>
          </w:rPr>
          <w:t>.</w:t>
        </w:r>
      </w:hyperlink>
    </w:p>
    <w:p w14:paraId="14E67696" w14:textId="41269EE2" w:rsidR="00851886" w:rsidRPr="00EF15AC" w:rsidRDefault="00414DA5" w:rsidP="00414DA5">
      <w:pPr>
        <w:pStyle w:val="ListBullet"/>
      </w:pPr>
      <w:r w:rsidRPr="00EF15AC">
        <w:t xml:space="preserve">Independent oversight will be undertaken as required. </w:t>
      </w:r>
    </w:p>
    <w:p w14:paraId="20C42369" w14:textId="100803F4" w:rsidR="00293CB8" w:rsidRDefault="00293CB8">
      <w:r>
        <w:br w:type="page"/>
      </w:r>
    </w:p>
    <w:p w14:paraId="3AABE319" w14:textId="77B963A7" w:rsidR="00463F18" w:rsidRPr="00C0499E" w:rsidRDefault="00692DA9" w:rsidP="00414DA5">
      <w:pPr>
        <w:pStyle w:val="Heading1"/>
      </w:pPr>
      <w:bookmarkStart w:id="24" w:name="_Toc153191668"/>
      <w:bookmarkEnd w:id="21"/>
      <w:bookmarkEnd w:id="22"/>
      <w:r w:rsidRPr="00C0499E">
        <w:lastRenderedPageBreak/>
        <w:t>D</w:t>
      </w:r>
      <w:r w:rsidR="00463F18" w:rsidRPr="00C0499E">
        <w:t xml:space="preserve">ocument </w:t>
      </w:r>
      <w:r w:rsidR="00414DA5">
        <w:t>V</w:t>
      </w:r>
      <w:r w:rsidR="00463F18" w:rsidRPr="00C0499E">
        <w:t xml:space="preserve">ersion </w:t>
      </w:r>
      <w:r w:rsidR="00414DA5">
        <w:t>H</w:t>
      </w:r>
      <w:r w:rsidR="00463F18" w:rsidRPr="00C0499E">
        <w:t>istory</w:t>
      </w:r>
      <w:bookmarkEnd w:id="24"/>
    </w:p>
    <w:tbl>
      <w:tblPr>
        <w:tblStyle w:val="DCStable"/>
        <w:tblW w:w="9225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00"/>
        <w:gridCol w:w="2231"/>
        <w:gridCol w:w="2802"/>
        <w:gridCol w:w="1761"/>
        <w:gridCol w:w="1331"/>
      </w:tblGrid>
      <w:tr w:rsidR="0057371A" w:rsidRPr="007D3C6F" w14:paraId="6B15153F" w14:textId="31B51022" w:rsidTr="00573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0" w:type="dxa"/>
          </w:tcPr>
          <w:p w14:paraId="3CD1F135" w14:textId="77777777" w:rsidR="0057371A" w:rsidRPr="007D3C6F" w:rsidRDefault="0057371A" w:rsidP="00190CAC">
            <w:pPr>
              <w:pStyle w:val="Tableheading"/>
            </w:pPr>
            <w:r w:rsidRPr="007D3C6F">
              <w:t>Version no</w:t>
            </w:r>
          </w:p>
        </w:tc>
        <w:tc>
          <w:tcPr>
            <w:tcW w:w="2231" w:type="dxa"/>
          </w:tcPr>
          <w:p w14:paraId="5D1F4CB4" w14:textId="77777777" w:rsidR="0057371A" w:rsidRPr="007D3C6F" w:rsidRDefault="0057371A" w:rsidP="00190CA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802" w:type="dxa"/>
          </w:tcPr>
          <w:p w14:paraId="14CE760D" w14:textId="77777777" w:rsidR="0057371A" w:rsidRPr="007D3C6F" w:rsidRDefault="0057371A" w:rsidP="00190CA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761" w:type="dxa"/>
          </w:tcPr>
          <w:p w14:paraId="4F939056" w14:textId="77777777" w:rsidR="0057371A" w:rsidRPr="007D3C6F" w:rsidRDefault="0057371A" w:rsidP="00190CA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331" w:type="dxa"/>
          </w:tcPr>
          <w:p w14:paraId="0A38BB73" w14:textId="73A10A5B" w:rsidR="0057371A" w:rsidRPr="007D3C6F" w:rsidRDefault="0057371A" w:rsidP="00190CAC">
            <w:pPr>
              <w:pStyle w:val="Tableheading"/>
            </w:pPr>
            <w:r>
              <w:t xml:space="preserve">Effective </w:t>
            </w:r>
            <w:r w:rsidR="00526701">
              <w:t>d</w:t>
            </w:r>
            <w:r>
              <w:t>ate</w:t>
            </w:r>
          </w:p>
        </w:tc>
      </w:tr>
      <w:tr w:rsidR="0057371A" w:rsidRPr="007D3C6F" w14:paraId="458B6DBB" w14:textId="42826F6C" w:rsidTr="0057371A">
        <w:tc>
          <w:tcPr>
            <w:tcW w:w="1100" w:type="dxa"/>
          </w:tcPr>
          <w:p w14:paraId="3EB569D0" w14:textId="77777777" w:rsidR="0057371A" w:rsidRDefault="0057371A" w:rsidP="0057371A">
            <w:pPr>
              <w:pStyle w:val="Tabledata"/>
            </w:pPr>
            <w:r>
              <w:t>1.0</w:t>
            </w:r>
          </w:p>
        </w:tc>
        <w:tc>
          <w:tcPr>
            <w:tcW w:w="2231" w:type="dxa"/>
          </w:tcPr>
          <w:p w14:paraId="50A9387D" w14:textId="77777777" w:rsidR="0057371A" w:rsidRDefault="0057371A" w:rsidP="0057371A">
            <w:pPr>
              <w:pStyle w:val="Tabledata"/>
            </w:pPr>
            <w:r>
              <w:t>Operating Standards and Procedures</w:t>
            </w:r>
          </w:p>
        </w:tc>
        <w:tc>
          <w:tcPr>
            <w:tcW w:w="2802" w:type="dxa"/>
          </w:tcPr>
          <w:p w14:paraId="06E8EAC8" w14:textId="48B7EB5B" w:rsidR="0057371A" w:rsidRDefault="0057371A" w:rsidP="0057371A">
            <w:pPr>
              <w:pStyle w:val="Tabledata"/>
            </w:pPr>
            <w:r>
              <w:t>Approved by the Director Operational Project</w:t>
            </w:r>
            <w:r w:rsidR="00526701">
              <w:t>s</w:t>
            </w:r>
            <w:r>
              <w:t>, Policy Compliance and Contracts</w:t>
            </w:r>
          </w:p>
        </w:tc>
        <w:tc>
          <w:tcPr>
            <w:tcW w:w="1761" w:type="dxa"/>
          </w:tcPr>
          <w:p w14:paraId="3083A631" w14:textId="476F2A0C" w:rsidR="0057371A" w:rsidRDefault="0057371A" w:rsidP="0057371A">
            <w:pPr>
              <w:pStyle w:val="Tabledata"/>
            </w:pPr>
            <w:r>
              <w:t>13 May 2021</w:t>
            </w:r>
          </w:p>
        </w:tc>
        <w:tc>
          <w:tcPr>
            <w:tcW w:w="1331" w:type="dxa"/>
          </w:tcPr>
          <w:p w14:paraId="20F95362" w14:textId="0EACE953" w:rsidR="0057371A" w:rsidRDefault="0057371A" w:rsidP="0057371A">
            <w:pPr>
              <w:pStyle w:val="Tabledata"/>
            </w:pPr>
            <w:r>
              <w:t>03 May 2021</w:t>
            </w:r>
          </w:p>
        </w:tc>
      </w:tr>
      <w:tr w:rsidR="00CD06F4" w:rsidRPr="007D3C6F" w14:paraId="1E22C218" w14:textId="77777777" w:rsidTr="0057371A">
        <w:tc>
          <w:tcPr>
            <w:tcW w:w="1100" w:type="dxa"/>
          </w:tcPr>
          <w:p w14:paraId="4EB57A9E" w14:textId="3A11B66E" w:rsidR="00CD06F4" w:rsidRDefault="00A55BEF" w:rsidP="0057371A">
            <w:pPr>
              <w:pStyle w:val="Tabledata"/>
            </w:pPr>
            <w:r>
              <w:t>2.0</w:t>
            </w:r>
          </w:p>
        </w:tc>
        <w:tc>
          <w:tcPr>
            <w:tcW w:w="2231" w:type="dxa"/>
          </w:tcPr>
          <w:p w14:paraId="232DCD2D" w14:textId="1D19D8D3" w:rsidR="00CD06F4" w:rsidRDefault="00A55BEF" w:rsidP="0057371A">
            <w:pPr>
              <w:pStyle w:val="Tabledata"/>
            </w:pPr>
            <w:r>
              <w:t>Operational Policy</w:t>
            </w:r>
          </w:p>
        </w:tc>
        <w:tc>
          <w:tcPr>
            <w:tcW w:w="2802" w:type="dxa"/>
          </w:tcPr>
          <w:p w14:paraId="6C222588" w14:textId="77777777" w:rsidR="00CD06F4" w:rsidRDefault="00A55BEF" w:rsidP="0057371A">
            <w:pPr>
              <w:pStyle w:val="Tabledata"/>
            </w:pPr>
            <w:r>
              <w:t>Approved by the Director Operational Policy Compliance and Contracts</w:t>
            </w:r>
          </w:p>
          <w:p w14:paraId="2F24FFA8" w14:textId="49D40F70" w:rsidR="00431C9E" w:rsidRDefault="00431C9E" w:rsidP="0057371A">
            <w:pPr>
              <w:pStyle w:val="Tabledata"/>
            </w:pPr>
            <w:r>
              <w:rPr>
                <w:rFonts w:cs="Arial"/>
              </w:rPr>
              <w:t>D23/680398</w:t>
            </w:r>
          </w:p>
        </w:tc>
        <w:tc>
          <w:tcPr>
            <w:tcW w:w="1761" w:type="dxa"/>
          </w:tcPr>
          <w:p w14:paraId="39708E5F" w14:textId="3FA86723" w:rsidR="00CD06F4" w:rsidRDefault="005105C0" w:rsidP="0057371A">
            <w:pPr>
              <w:pStyle w:val="Tabledata"/>
            </w:pPr>
            <w:r>
              <w:t>27 June 2023</w:t>
            </w:r>
          </w:p>
        </w:tc>
        <w:tc>
          <w:tcPr>
            <w:tcW w:w="1331" w:type="dxa"/>
          </w:tcPr>
          <w:p w14:paraId="2E12B126" w14:textId="10E53D32" w:rsidR="00CD06F4" w:rsidRDefault="005105C0" w:rsidP="0057371A">
            <w:pPr>
              <w:pStyle w:val="Tabledata"/>
            </w:pPr>
            <w:r>
              <w:t>27 June 2023</w:t>
            </w:r>
          </w:p>
        </w:tc>
      </w:tr>
      <w:tr w:rsidR="00290481" w:rsidRPr="007D3C6F" w14:paraId="63D1D652" w14:textId="77777777" w:rsidTr="0057371A">
        <w:tc>
          <w:tcPr>
            <w:tcW w:w="1100" w:type="dxa"/>
          </w:tcPr>
          <w:p w14:paraId="7B691AC4" w14:textId="6DFFE29E" w:rsidR="00290481" w:rsidRDefault="00290481" w:rsidP="0057371A">
            <w:pPr>
              <w:pStyle w:val="Tabledata"/>
            </w:pPr>
            <w:r>
              <w:t>3.0</w:t>
            </w:r>
          </w:p>
        </w:tc>
        <w:tc>
          <w:tcPr>
            <w:tcW w:w="2231" w:type="dxa"/>
          </w:tcPr>
          <w:p w14:paraId="0A34BA68" w14:textId="1907CA05" w:rsidR="00290481" w:rsidRDefault="00290481" w:rsidP="0057371A">
            <w:pPr>
              <w:pStyle w:val="Tabledata"/>
            </w:pPr>
            <w:r>
              <w:t>Operational Policy</w:t>
            </w:r>
          </w:p>
        </w:tc>
        <w:tc>
          <w:tcPr>
            <w:tcW w:w="2802" w:type="dxa"/>
          </w:tcPr>
          <w:p w14:paraId="0080AB74" w14:textId="77777777" w:rsidR="00290481" w:rsidRDefault="00290481" w:rsidP="00290481">
            <w:pPr>
              <w:pStyle w:val="Tabledata"/>
            </w:pPr>
            <w:r>
              <w:t>Approved by the Director Operational Policy Compliance and Contracts</w:t>
            </w:r>
          </w:p>
          <w:p w14:paraId="23DFDC28" w14:textId="59B9CB03" w:rsidR="00290481" w:rsidRDefault="00980C6D" w:rsidP="0057371A">
            <w:pPr>
              <w:pStyle w:val="Tabledata"/>
            </w:pPr>
            <w:r>
              <w:t>D23/705425</w:t>
            </w:r>
          </w:p>
        </w:tc>
        <w:tc>
          <w:tcPr>
            <w:tcW w:w="1761" w:type="dxa"/>
          </w:tcPr>
          <w:p w14:paraId="5E0DC318" w14:textId="672E35E8" w:rsidR="00290481" w:rsidRDefault="00F7549A" w:rsidP="0057371A">
            <w:pPr>
              <w:pStyle w:val="Tabledata"/>
            </w:pPr>
            <w:r>
              <w:t>29 June 2023</w:t>
            </w:r>
          </w:p>
        </w:tc>
        <w:tc>
          <w:tcPr>
            <w:tcW w:w="1331" w:type="dxa"/>
          </w:tcPr>
          <w:p w14:paraId="51026462" w14:textId="1DFBAB78" w:rsidR="00290481" w:rsidRDefault="00F7549A" w:rsidP="0057371A">
            <w:pPr>
              <w:pStyle w:val="Tabledata"/>
            </w:pPr>
            <w:r>
              <w:t>03 July 2023</w:t>
            </w:r>
          </w:p>
        </w:tc>
      </w:tr>
      <w:tr w:rsidR="00812CE7" w:rsidRPr="007D3C6F" w14:paraId="54C9B0C0" w14:textId="77777777" w:rsidTr="0057371A">
        <w:tc>
          <w:tcPr>
            <w:tcW w:w="1100" w:type="dxa"/>
            <w:vMerge w:val="restart"/>
          </w:tcPr>
          <w:p w14:paraId="1D0B2830" w14:textId="5B870574" w:rsidR="00812CE7" w:rsidRDefault="00812CE7" w:rsidP="0057371A">
            <w:pPr>
              <w:pStyle w:val="Tabledata"/>
            </w:pPr>
            <w:r>
              <w:t>4.0</w:t>
            </w:r>
          </w:p>
        </w:tc>
        <w:tc>
          <w:tcPr>
            <w:tcW w:w="2231" w:type="dxa"/>
            <w:vMerge w:val="restart"/>
          </w:tcPr>
          <w:p w14:paraId="68958345" w14:textId="77777777" w:rsidR="00812CE7" w:rsidRDefault="00812CE7" w:rsidP="0057371A">
            <w:pPr>
              <w:pStyle w:val="Tabledata"/>
            </w:pPr>
            <w:r w:rsidRPr="00812CE7">
              <w:t>Operational Policy</w:t>
            </w:r>
          </w:p>
          <w:p w14:paraId="35715077" w14:textId="77777777" w:rsidR="00126821" w:rsidRDefault="00126821" w:rsidP="0057371A">
            <w:pPr>
              <w:pStyle w:val="Tabledata"/>
            </w:pPr>
          </w:p>
          <w:p w14:paraId="270FD2E9" w14:textId="77777777" w:rsidR="00126821" w:rsidRDefault="00126821" w:rsidP="00126821">
            <w:pPr>
              <w:pStyle w:val="Tabledata"/>
            </w:pPr>
            <w:r>
              <w:t>Memo Reference:</w:t>
            </w:r>
          </w:p>
          <w:p w14:paraId="251AEDBE" w14:textId="77777777" w:rsidR="00126821" w:rsidRDefault="00126821" w:rsidP="00126821">
            <w:pPr>
              <w:pStyle w:val="Tabledata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D23/940474</w:t>
            </w:r>
          </w:p>
          <w:p w14:paraId="151F553D" w14:textId="77777777" w:rsidR="00126821" w:rsidRDefault="00126821" w:rsidP="00126821">
            <w:pPr>
              <w:pStyle w:val="Tabledata"/>
              <w:rPr>
                <w:bCs/>
              </w:rPr>
            </w:pPr>
          </w:p>
          <w:p w14:paraId="6E15B603" w14:textId="77777777" w:rsidR="00126821" w:rsidRDefault="00126821" w:rsidP="00126821">
            <w:pPr>
              <w:pStyle w:val="Tabledata"/>
            </w:pPr>
            <w:r>
              <w:t>Content Manager Reference:</w:t>
            </w:r>
          </w:p>
          <w:p w14:paraId="51F47B6A" w14:textId="319F3558" w:rsidR="00126821" w:rsidRDefault="00126821" w:rsidP="00126821">
            <w:pPr>
              <w:pStyle w:val="Tabledata"/>
            </w:pPr>
            <w:r>
              <w:t>S23/9950</w:t>
            </w:r>
            <w:r w:rsidR="000B3FAC">
              <w:t>3</w:t>
            </w:r>
          </w:p>
          <w:p w14:paraId="5011680B" w14:textId="482102B2" w:rsidR="00126821" w:rsidRDefault="00126821" w:rsidP="0057371A">
            <w:pPr>
              <w:pStyle w:val="Tabledata"/>
            </w:pPr>
          </w:p>
        </w:tc>
        <w:tc>
          <w:tcPr>
            <w:tcW w:w="2802" w:type="dxa"/>
          </w:tcPr>
          <w:p w14:paraId="1026ED5B" w14:textId="77777777" w:rsidR="00126821" w:rsidRDefault="005C50E0" w:rsidP="00762BB7">
            <w:r>
              <w:t xml:space="preserve">Endorsed by the </w:t>
            </w:r>
          </w:p>
          <w:p w14:paraId="46D14716" w14:textId="48E83ADC" w:rsidR="00812CE7" w:rsidRDefault="00126821" w:rsidP="00762BB7">
            <w:r>
              <w:t xml:space="preserve">A/ </w:t>
            </w:r>
            <w:r w:rsidR="005C50E0">
              <w:t>Assistant Commissioner Women and Young People</w:t>
            </w:r>
          </w:p>
        </w:tc>
        <w:tc>
          <w:tcPr>
            <w:tcW w:w="1761" w:type="dxa"/>
          </w:tcPr>
          <w:p w14:paraId="65A0EFB5" w14:textId="312975D6" w:rsidR="00812CE7" w:rsidRDefault="001617C2" w:rsidP="0057371A">
            <w:pPr>
              <w:pStyle w:val="Tabledata"/>
            </w:pPr>
            <w:r>
              <w:t>9 November 2023</w:t>
            </w:r>
          </w:p>
        </w:tc>
        <w:tc>
          <w:tcPr>
            <w:tcW w:w="1331" w:type="dxa"/>
            <w:vMerge w:val="restart"/>
          </w:tcPr>
          <w:p w14:paraId="6A18CEFD" w14:textId="2F0DE635" w:rsidR="00812CE7" w:rsidRDefault="00E51395" w:rsidP="0057371A">
            <w:pPr>
              <w:pStyle w:val="Tabledata"/>
            </w:pPr>
            <w:r>
              <w:t>1</w:t>
            </w:r>
            <w:r w:rsidR="005B5080">
              <w:t xml:space="preserve">8 </w:t>
            </w:r>
            <w:r>
              <w:t>December 2023</w:t>
            </w:r>
          </w:p>
        </w:tc>
      </w:tr>
      <w:tr w:rsidR="00812CE7" w:rsidRPr="007D3C6F" w14:paraId="6ADCB016" w14:textId="77777777" w:rsidTr="0057371A">
        <w:tc>
          <w:tcPr>
            <w:tcW w:w="1100" w:type="dxa"/>
            <w:vMerge/>
          </w:tcPr>
          <w:p w14:paraId="70C15F2D" w14:textId="77777777" w:rsidR="00812CE7" w:rsidRDefault="00812CE7" w:rsidP="0057371A">
            <w:pPr>
              <w:pStyle w:val="Tabledata"/>
            </w:pPr>
          </w:p>
        </w:tc>
        <w:tc>
          <w:tcPr>
            <w:tcW w:w="2231" w:type="dxa"/>
            <w:vMerge/>
          </w:tcPr>
          <w:p w14:paraId="456D3E7A" w14:textId="77777777" w:rsidR="00812CE7" w:rsidRDefault="00812CE7" w:rsidP="0057371A">
            <w:pPr>
              <w:pStyle w:val="Tabledata"/>
            </w:pPr>
          </w:p>
        </w:tc>
        <w:tc>
          <w:tcPr>
            <w:tcW w:w="2802" w:type="dxa"/>
          </w:tcPr>
          <w:p w14:paraId="06ADABDB" w14:textId="77777777" w:rsidR="00812CE7" w:rsidRDefault="005C50E0" w:rsidP="00290481">
            <w:pPr>
              <w:pStyle w:val="Tabledata"/>
            </w:pPr>
            <w:r>
              <w:t xml:space="preserve">Approved by the </w:t>
            </w:r>
            <w:r w:rsidR="00126821">
              <w:t xml:space="preserve">Deputy Commissioner </w:t>
            </w:r>
          </w:p>
          <w:p w14:paraId="0B02B55A" w14:textId="08C0E126" w:rsidR="00126821" w:rsidRDefault="00126821" w:rsidP="00290481">
            <w:pPr>
              <w:pStyle w:val="Tabledata"/>
            </w:pPr>
            <w:r>
              <w:t>Operational Sup</w:t>
            </w:r>
            <w:r w:rsidR="000B3FAC">
              <w:t>p</w:t>
            </w:r>
            <w:r>
              <w:t>ort</w:t>
            </w:r>
          </w:p>
        </w:tc>
        <w:tc>
          <w:tcPr>
            <w:tcW w:w="1761" w:type="dxa"/>
          </w:tcPr>
          <w:p w14:paraId="01F3E7CF" w14:textId="21F9430E" w:rsidR="00812CE7" w:rsidRDefault="001617C2" w:rsidP="0057371A">
            <w:pPr>
              <w:pStyle w:val="Tabledata"/>
            </w:pPr>
            <w:r>
              <w:t>15 November 2023</w:t>
            </w:r>
          </w:p>
        </w:tc>
        <w:tc>
          <w:tcPr>
            <w:tcW w:w="1331" w:type="dxa"/>
            <w:vMerge/>
          </w:tcPr>
          <w:p w14:paraId="0510A6D3" w14:textId="77777777" w:rsidR="00812CE7" w:rsidRDefault="00812CE7" w:rsidP="0057371A">
            <w:pPr>
              <w:pStyle w:val="Tabledata"/>
            </w:pPr>
          </w:p>
        </w:tc>
      </w:tr>
    </w:tbl>
    <w:p w14:paraId="10FD8729" w14:textId="77777777" w:rsidR="00C0499E" w:rsidRDefault="00C0499E" w:rsidP="00967E5F"/>
    <w:sectPr w:rsidR="00C0499E" w:rsidSect="00EF15AC">
      <w:headerReference w:type="even" r:id="rId35"/>
      <w:headerReference w:type="default" r:id="rId36"/>
      <w:footerReference w:type="default" r:id="rId37"/>
      <w:headerReference w:type="first" r:id="rId38"/>
      <w:pgSz w:w="11900" w:h="16840"/>
      <w:pgMar w:top="1418" w:right="1247" w:bottom="1191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8996" w14:textId="77777777" w:rsidR="000D5DE0" w:rsidRDefault="000D5DE0" w:rsidP="00D06E62">
      <w:r>
        <w:separator/>
      </w:r>
    </w:p>
  </w:endnote>
  <w:endnote w:type="continuationSeparator" w:id="0">
    <w:p w14:paraId="61710C7A" w14:textId="77777777" w:rsidR="000D5DE0" w:rsidRDefault="000D5DE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915C" w14:textId="77777777" w:rsidR="00D95531" w:rsidRDefault="00D95531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</w:t>
    </w:r>
    <w:r w:rsidRPr="00773E02">
      <w:rPr>
        <w:color w:val="C00000"/>
      </w:rPr>
      <w:t>intranet page</w:t>
    </w:r>
    <w:r w:rsidRPr="00692DA9">
      <w:rPr>
        <w:color w:val="FF0000"/>
      </w:rPr>
      <w:t xml:space="preserve"> </w:t>
    </w:r>
    <w:r>
      <w:rPr>
        <w:color w:val="FF0000"/>
      </w:rPr>
      <w:t xml:space="preserve">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BB3D50"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BB3D50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0F80" w14:textId="77777777" w:rsidR="000D5DE0" w:rsidRDefault="000D5DE0" w:rsidP="00D06E62">
      <w:r>
        <w:separator/>
      </w:r>
    </w:p>
  </w:footnote>
  <w:footnote w:type="continuationSeparator" w:id="0">
    <w:p w14:paraId="2BDFD4D4" w14:textId="77777777" w:rsidR="000D5DE0" w:rsidRDefault="000D5DE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34AA" w14:textId="6933D298" w:rsidR="00D95531" w:rsidRDefault="00000000">
    <w:pPr>
      <w:pStyle w:val="Header"/>
    </w:pPr>
    <w:r>
      <w:rPr>
        <w:noProof/>
      </w:rPr>
      <w:pict w14:anchorId="6F2589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620.4pt;height:26.4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-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4E9E" w14:textId="042312A0" w:rsidR="00D95531" w:rsidRPr="00C15CE3" w:rsidRDefault="00000000" w:rsidP="00EA7EAC">
    <w:pPr>
      <w:pStyle w:val="Subtitle"/>
    </w:pPr>
    <w:r>
      <w:rPr>
        <w:noProof/>
      </w:rPr>
      <w:pict w14:anchorId="0E091F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620.4pt;height:26.4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- Not for further dissemination until approved"/>
          <w10:wrap anchorx="margin" anchory="margin"/>
        </v:shape>
      </w:pict>
    </w:r>
    <w:r w:rsidR="00D95531" w:rsidRPr="00C15CE3">
      <w:t xml:space="preserve">Commissioner’s Operating </w:t>
    </w:r>
  </w:p>
  <w:p w14:paraId="4F63D7EB" w14:textId="77777777" w:rsidR="00D95531" w:rsidRPr="00C15CE3" w:rsidRDefault="00D95531" w:rsidP="00EA7EAC">
    <w:pPr>
      <w:pStyle w:val="Subtitle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1BC35D" wp14:editId="37227398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0FC317C6" w14:textId="77777777" w:rsidR="00D95531" w:rsidRPr="00464E72" w:rsidRDefault="00D95531" w:rsidP="00857A48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BC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0FC317C6" w14:textId="77777777" w:rsidR="00D95531" w:rsidRPr="00464E72" w:rsidRDefault="00D95531" w:rsidP="00857A48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445F2804" w14:textId="77777777" w:rsidR="00D95531" w:rsidRDefault="00D955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F765" w14:textId="2408305B" w:rsidR="00D95531" w:rsidRDefault="00D95531"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AC3236" wp14:editId="1D0F14DD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604EAF8" w14:textId="77777777" w:rsidR="00D95531" w:rsidRPr="00464E72" w:rsidRDefault="00D9553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C3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oJ+QEAANQ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604EAF8" w14:textId="77777777" w:rsidR="00D95531" w:rsidRPr="00464E72" w:rsidRDefault="00D9553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6A0348E" wp14:editId="2B0D165C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1F9B0B" wp14:editId="478BC3BF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C3658" w14:textId="77777777" w:rsidR="00D95531" w:rsidRDefault="00D95531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9B0B" id="Text Box 21" o:spid="_x0000_s1028" type="#_x0000_t202" style="position:absolute;margin-left:201.8pt;margin-top:3.1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MIbQ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" filled="f" stroked="f" strokeweight=".5pt">
              <v:textbox>
                <w:txbxContent>
                  <w:p w14:paraId="292C3658" w14:textId="77777777" w:rsidR="00D95531" w:rsidRDefault="00D95531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041E" w14:textId="793494EB" w:rsidR="00D95531" w:rsidRDefault="00000000">
    <w:pPr>
      <w:pStyle w:val="Header"/>
    </w:pPr>
    <w:r>
      <w:rPr>
        <w:noProof/>
      </w:rPr>
      <w:pict w14:anchorId="57E14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620.4pt;height:26.4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-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3105" w14:textId="4734015C" w:rsidR="00D95531" w:rsidRDefault="00D95531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5B5080">
      <w:rPr>
        <w:noProof/>
      </w:rPr>
      <w:t>COPP 7.1 Female Detainees</w:t>
    </w:r>
    <w:r>
      <w:rPr>
        <w:noProof/>
      </w:rPr>
      <w:fldChar w:fldCharType="end"/>
    </w:r>
    <w:r>
      <w:rPr>
        <w:noProof/>
      </w:rPr>
      <w:t xml:space="preserve"> </w:t>
    </w:r>
    <w:r w:rsidR="00D914AF">
      <w:rPr>
        <w:noProof/>
      </w:rPr>
      <w:t>v</w:t>
    </w:r>
    <w:r w:rsidR="002714C3">
      <w:rPr>
        <w:noProof/>
      </w:rPr>
      <w:t>4</w:t>
    </w:r>
    <w:r w:rsidR="00A60CEB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3596" w14:textId="508E2BD6" w:rsidR="00D95531" w:rsidRDefault="00000000">
    <w:pPr>
      <w:pStyle w:val="Header"/>
    </w:pPr>
    <w:r>
      <w:rPr>
        <w:noProof/>
      </w:rPr>
      <w:pict w14:anchorId="7942B9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620.4pt;height:26.4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-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8840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DAA58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E128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DEEA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6684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8113D"/>
    <w:multiLevelType w:val="multilevel"/>
    <w:tmpl w:val="8C9CA1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66A4ED9"/>
    <w:multiLevelType w:val="hybridMultilevel"/>
    <w:tmpl w:val="5DC6E73E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E93E6B"/>
    <w:multiLevelType w:val="hybridMultilevel"/>
    <w:tmpl w:val="4D4CB9B4"/>
    <w:lvl w:ilvl="0" w:tplc="E7761AB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F12241"/>
    <w:multiLevelType w:val="hybridMultilevel"/>
    <w:tmpl w:val="98BAB3DE"/>
    <w:lvl w:ilvl="0" w:tplc="0C090019">
      <w:start w:val="1"/>
      <w:numFmt w:val="lowerLetter"/>
      <w:lvlText w:val="%1.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19C96965"/>
    <w:multiLevelType w:val="multilevel"/>
    <w:tmpl w:val="7A4415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isLgl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19"/>
        </w:tabs>
        <w:ind w:left="16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19"/>
        </w:tabs>
        <w:ind w:left="1619" w:hanging="1800"/>
      </w:pPr>
      <w:rPr>
        <w:rFonts w:hint="default"/>
      </w:rPr>
    </w:lvl>
  </w:abstractNum>
  <w:abstractNum w:abstractNumId="11" w15:restartNumberingAfterBreak="0">
    <w:nsid w:val="3DFF2625"/>
    <w:multiLevelType w:val="hybridMultilevel"/>
    <w:tmpl w:val="B4AA5864"/>
    <w:lvl w:ilvl="0" w:tplc="84EA631C">
      <w:start w:val="1"/>
      <w:numFmt w:val="lowerLetter"/>
      <w:pStyle w:val="List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3313A"/>
    <w:multiLevelType w:val="hybridMultilevel"/>
    <w:tmpl w:val="8DD495BC"/>
    <w:lvl w:ilvl="0" w:tplc="CA4A31E8">
      <w:start w:val="1"/>
      <w:numFmt w:val="bullet"/>
      <w:pStyle w:val="ListBullet"/>
      <w:lvlText w:val=""/>
      <w:lvlJc w:val="left"/>
      <w:pPr>
        <w:ind w:left="107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41898014">
    <w:abstractNumId w:val="5"/>
  </w:num>
  <w:num w:numId="2" w16cid:durableId="1935743827">
    <w:abstractNumId w:val="4"/>
  </w:num>
  <w:num w:numId="3" w16cid:durableId="40982756">
    <w:abstractNumId w:val="10"/>
  </w:num>
  <w:num w:numId="4" w16cid:durableId="1649435800">
    <w:abstractNumId w:val="7"/>
  </w:num>
  <w:num w:numId="5" w16cid:durableId="2018116727">
    <w:abstractNumId w:val="8"/>
  </w:num>
  <w:num w:numId="6" w16cid:durableId="529951351">
    <w:abstractNumId w:val="6"/>
  </w:num>
  <w:num w:numId="7" w16cid:durableId="1309239232">
    <w:abstractNumId w:val="9"/>
  </w:num>
  <w:num w:numId="8" w16cid:durableId="1404062520">
    <w:abstractNumId w:val="12"/>
  </w:num>
  <w:num w:numId="9" w16cid:durableId="465052180">
    <w:abstractNumId w:val="5"/>
  </w:num>
  <w:num w:numId="10" w16cid:durableId="2019112789">
    <w:abstractNumId w:val="5"/>
  </w:num>
  <w:num w:numId="11" w16cid:durableId="714239130">
    <w:abstractNumId w:val="11"/>
  </w:num>
  <w:num w:numId="12" w16cid:durableId="1268468682">
    <w:abstractNumId w:val="3"/>
  </w:num>
  <w:num w:numId="13" w16cid:durableId="556668896">
    <w:abstractNumId w:val="2"/>
  </w:num>
  <w:num w:numId="14" w16cid:durableId="941301514">
    <w:abstractNumId w:val="1"/>
  </w:num>
  <w:num w:numId="15" w16cid:durableId="13652562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lwdT6i8oCc7BaNHurDeg9dP7o3EC404S0CqJfv7hpwBlWIJ0zVD1ds1taec7HGFyYYU9dLSv9TJNmvM2E3gLyA==" w:salt="9ROJT/v2c4lPF4pY5y6kZA==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0B3B2E"/>
    <w:rsid w:val="00001EB1"/>
    <w:rsid w:val="000031D7"/>
    <w:rsid w:val="00005989"/>
    <w:rsid w:val="00005F66"/>
    <w:rsid w:val="00010D45"/>
    <w:rsid w:val="000137E7"/>
    <w:rsid w:val="000157FF"/>
    <w:rsid w:val="00020FEB"/>
    <w:rsid w:val="00021B8A"/>
    <w:rsid w:val="000350A4"/>
    <w:rsid w:val="00036D29"/>
    <w:rsid w:val="00045F51"/>
    <w:rsid w:val="00046DE5"/>
    <w:rsid w:val="00051815"/>
    <w:rsid w:val="000527C1"/>
    <w:rsid w:val="0005652B"/>
    <w:rsid w:val="00056BB4"/>
    <w:rsid w:val="00064ADE"/>
    <w:rsid w:val="00072B7A"/>
    <w:rsid w:val="0007352A"/>
    <w:rsid w:val="000755EE"/>
    <w:rsid w:val="00076A54"/>
    <w:rsid w:val="000829D7"/>
    <w:rsid w:val="000839B2"/>
    <w:rsid w:val="0008588A"/>
    <w:rsid w:val="000913E7"/>
    <w:rsid w:val="000925A5"/>
    <w:rsid w:val="0009485B"/>
    <w:rsid w:val="00094A10"/>
    <w:rsid w:val="000A013B"/>
    <w:rsid w:val="000A24B5"/>
    <w:rsid w:val="000B3B2E"/>
    <w:rsid w:val="000B3FAC"/>
    <w:rsid w:val="000B5864"/>
    <w:rsid w:val="000B6320"/>
    <w:rsid w:val="000C57FE"/>
    <w:rsid w:val="000C6460"/>
    <w:rsid w:val="000C6E8F"/>
    <w:rsid w:val="000D008C"/>
    <w:rsid w:val="000D4FC1"/>
    <w:rsid w:val="000D5DE0"/>
    <w:rsid w:val="000D69A3"/>
    <w:rsid w:val="000E68D8"/>
    <w:rsid w:val="000F49A7"/>
    <w:rsid w:val="000F7531"/>
    <w:rsid w:val="001035D6"/>
    <w:rsid w:val="001158E9"/>
    <w:rsid w:val="00116196"/>
    <w:rsid w:val="00120952"/>
    <w:rsid w:val="00121793"/>
    <w:rsid w:val="00122647"/>
    <w:rsid w:val="00126611"/>
    <w:rsid w:val="00126687"/>
    <w:rsid w:val="00126821"/>
    <w:rsid w:val="00131037"/>
    <w:rsid w:val="0013447A"/>
    <w:rsid w:val="00144A1B"/>
    <w:rsid w:val="00146739"/>
    <w:rsid w:val="00150099"/>
    <w:rsid w:val="00155864"/>
    <w:rsid w:val="001617C2"/>
    <w:rsid w:val="00166487"/>
    <w:rsid w:val="001756E0"/>
    <w:rsid w:val="001757E8"/>
    <w:rsid w:val="00176F5B"/>
    <w:rsid w:val="00182171"/>
    <w:rsid w:val="00187DC3"/>
    <w:rsid w:val="00190CAC"/>
    <w:rsid w:val="00193880"/>
    <w:rsid w:val="001A3C71"/>
    <w:rsid w:val="001B12C6"/>
    <w:rsid w:val="001B6135"/>
    <w:rsid w:val="001C24D5"/>
    <w:rsid w:val="001C3481"/>
    <w:rsid w:val="001D18BC"/>
    <w:rsid w:val="001E1360"/>
    <w:rsid w:val="001E31B3"/>
    <w:rsid w:val="001E565B"/>
    <w:rsid w:val="001F70AC"/>
    <w:rsid w:val="001F7986"/>
    <w:rsid w:val="002012CB"/>
    <w:rsid w:val="0020231C"/>
    <w:rsid w:val="00215380"/>
    <w:rsid w:val="002172DA"/>
    <w:rsid w:val="002178FA"/>
    <w:rsid w:val="0022152C"/>
    <w:rsid w:val="002228EC"/>
    <w:rsid w:val="00230411"/>
    <w:rsid w:val="00235D67"/>
    <w:rsid w:val="002374A3"/>
    <w:rsid w:val="002457AA"/>
    <w:rsid w:val="00245869"/>
    <w:rsid w:val="00250C62"/>
    <w:rsid w:val="0025237E"/>
    <w:rsid w:val="00254316"/>
    <w:rsid w:val="0026423B"/>
    <w:rsid w:val="00270DB4"/>
    <w:rsid w:val="002714C3"/>
    <w:rsid w:val="002722F0"/>
    <w:rsid w:val="00274866"/>
    <w:rsid w:val="0027609B"/>
    <w:rsid w:val="00282CB0"/>
    <w:rsid w:val="00285795"/>
    <w:rsid w:val="00290481"/>
    <w:rsid w:val="0029200A"/>
    <w:rsid w:val="0029220E"/>
    <w:rsid w:val="00293CB8"/>
    <w:rsid w:val="002A043A"/>
    <w:rsid w:val="002A38CE"/>
    <w:rsid w:val="002A5027"/>
    <w:rsid w:val="002A7578"/>
    <w:rsid w:val="002C64C4"/>
    <w:rsid w:val="002D6050"/>
    <w:rsid w:val="002D703A"/>
    <w:rsid w:val="002E075A"/>
    <w:rsid w:val="002E6F7B"/>
    <w:rsid w:val="002F5D63"/>
    <w:rsid w:val="002F716A"/>
    <w:rsid w:val="00302144"/>
    <w:rsid w:val="00302980"/>
    <w:rsid w:val="00302EE6"/>
    <w:rsid w:val="00307964"/>
    <w:rsid w:val="003275D8"/>
    <w:rsid w:val="0033794B"/>
    <w:rsid w:val="0034718A"/>
    <w:rsid w:val="00352EB3"/>
    <w:rsid w:val="00360FBB"/>
    <w:rsid w:val="003662DF"/>
    <w:rsid w:val="003714BD"/>
    <w:rsid w:val="00374BC0"/>
    <w:rsid w:val="00374DA3"/>
    <w:rsid w:val="00374F7C"/>
    <w:rsid w:val="00377284"/>
    <w:rsid w:val="00380258"/>
    <w:rsid w:val="00387650"/>
    <w:rsid w:val="00387DBA"/>
    <w:rsid w:val="00391CEF"/>
    <w:rsid w:val="00392850"/>
    <w:rsid w:val="003A2AE4"/>
    <w:rsid w:val="003A469D"/>
    <w:rsid w:val="003A51D3"/>
    <w:rsid w:val="003B0281"/>
    <w:rsid w:val="003B499A"/>
    <w:rsid w:val="003B53C3"/>
    <w:rsid w:val="003B7918"/>
    <w:rsid w:val="003B799D"/>
    <w:rsid w:val="003C0A8B"/>
    <w:rsid w:val="003C1B90"/>
    <w:rsid w:val="003C6445"/>
    <w:rsid w:val="003D0F1B"/>
    <w:rsid w:val="003D530B"/>
    <w:rsid w:val="003D708E"/>
    <w:rsid w:val="003E0826"/>
    <w:rsid w:val="003E1011"/>
    <w:rsid w:val="003E6CE1"/>
    <w:rsid w:val="00400DF5"/>
    <w:rsid w:val="0040410E"/>
    <w:rsid w:val="00406500"/>
    <w:rsid w:val="0040796F"/>
    <w:rsid w:val="00412D6A"/>
    <w:rsid w:val="00414DA5"/>
    <w:rsid w:val="00416C8F"/>
    <w:rsid w:val="0042094B"/>
    <w:rsid w:val="00421BE7"/>
    <w:rsid w:val="00431C9E"/>
    <w:rsid w:val="00442FDF"/>
    <w:rsid w:val="00444146"/>
    <w:rsid w:val="00445969"/>
    <w:rsid w:val="004500A2"/>
    <w:rsid w:val="00457598"/>
    <w:rsid w:val="00460C5E"/>
    <w:rsid w:val="0046306A"/>
    <w:rsid w:val="00463F18"/>
    <w:rsid w:val="00464E72"/>
    <w:rsid w:val="00465D84"/>
    <w:rsid w:val="0046777A"/>
    <w:rsid w:val="004775E4"/>
    <w:rsid w:val="00477C1B"/>
    <w:rsid w:val="00490500"/>
    <w:rsid w:val="00491142"/>
    <w:rsid w:val="0049209A"/>
    <w:rsid w:val="00492118"/>
    <w:rsid w:val="004A0269"/>
    <w:rsid w:val="004B2E4F"/>
    <w:rsid w:val="004B307A"/>
    <w:rsid w:val="004B4E1F"/>
    <w:rsid w:val="004B6106"/>
    <w:rsid w:val="004C040F"/>
    <w:rsid w:val="004C457F"/>
    <w:rsid w:val="004C6F59"/>
    <w:rsid w:val="004C720F"/>
    <w:rsid w:val="004C749C"/>
    <w:rsid w:val="004D040B"/>
    <w:rsid w:val="004E4988"/>
    <w:rsid w:val="004E571B"/>
    <w:rsid w:val="004E5DFF"/>
    <w:rsid w:val="004E69FF"/>
    <w:rsid w:val="004E6B23"/>
    <w:rsid w:val="004F56B6"/>
    <w:rsid w:val="005105C0"/>
    <w:rsid w:val="00511AA7"/>
    <w:rsid w:val="00514564"/>
    <w:rsid w:val="00515332"/>
    <w:rsid w:val="005218FF"/>
    <w:rsid w:val="00521AF0"/>
    <w:rsid w:val="00526701"/>
    <w:rsid w:val="00537C89"/>
    <w:rsid w:val="00541673"/>
    <w:rsid w:val="00544EA7"/>
    <w:rsid w:val="00554385"/>
    <w:rsid w:val="00562EB2"/>
    <w:rsid w:val="005657AE"/>
    <w:rsid w:val="0057371A"/>
    <w:rsid w:val="00576EFF"/>
    <w:rsid w:val="0058169A"/>
    <w:rsid w:val="00587A6E"/>
    <w:rsid w:val="0059123F"/>
    <w:rsid w:val="00592112"/>
    <w:rsid w:val="005943FA"/>
    <w:rsid w:val="005A3EA6"/>
    <w:rsid w:val="005B1F00"/>
    <w:rsid w:val="005B4124"/>
    <w:rsid w:val="005B49CF"/>
    <w:rsid w:val="005B5080"/>
    <w:rsid w:val="005C2F78"/>
    <w:rsid w:val="005C440A"/>
    <w:rsid w:val="005C50E0"/>
    <w:rsid w:val="005D4CF0"/>
    <w:rsid w:val="005D600F"/>
    <w:rsid w:val="005E566A"/>
    <w:rsid w:val="005F0765"/>
    <w:rsid w:val="005F52DB"/>
    <w:rsid w:val="005F6BAA"/>
    <w:rsid w:val="00603A60"/>
    <w:rsid w:val="006074C4"/>
    <w:rsid w:val="00612142"/>
    <w:rsid w:val="006145F6"/>
    <w:rsid w:val="00615887"/>
    <w:rsid w:val="006201A8"/>
    <w:rsid w:val="006252E8"/>
    <w:rsid w:val="00627992"/>
    <w:rsid w:val="006335A4"/>
    <w:rsid w:val="00634C54"/>
    <w:rsid w:val="00637182"/>
    <w:rsid w:val="0064438C"/>
    <w:rsid w:val="006444FB"/>
    <w:rsid w:val="0064472A"/>
    <w:rsid w:val="00644A2D"/>
    <w:rsid w:val="006462D6"/>
    <w:rsid w:val="006470AF"/>
    <w:rsid w:val="00653566"/>
    <w:rsid w:val="00656F4A"/>
    <w:rsid w:val="006577F5"/>
    <w:rsid w:val="0066068B"/>
    <w:rsid w:val="00664451"/>
    <w:rsid w:val="00665DA8"/>
    <w:rsid w:val="00673A02"/>
    <w:rsid w:val="00680D4B"/>
    <w:rsid w:val="0069067A"/>
    <w:rsid w:val="00692DA9"/>
    <w:rsid w:val="00693A68"/>
    <w:rsid w:val="006940AE"/>
    <w:rsid w:val="006A7E77"/>
    <w:rsid w:val="006B3601"/>
    <w:rsid w:val="006B66E6"/>
    <w:rsid w:val="006C76D9"/>
    <w:rsid w:val="006D03E7"/>
    <w:rsid w:val="006D0BEB"/>
    <w:rsid w:val="006D4BFD"/>
    <w:rsid w:val="006D66DC"/>
    <w:rsid w:val="006E0C41"/>
    <w:rsid w:val="006F2D8B"/>
    <w:rsid w:val="00711524"/>
    <w:rsid w:val="00711C79"/>
    <w:rsid w:val="0071224C"/>
    <w:rsid w:val="007132FF"/>
    <w:rsid w:val="00715807"/>
    <w:rsid w:val="00720E0D"/>
    <w:rsid w:val="00736BDC"/>
    <w:rsid w:val="007438BD"/>
    <w:rsid w:val="007444AC"/>
    <w:rsid w:val="00752A9E"/>
    <w:rsid w:val="007541AD"/>
    <w:rsid w:val="00760E33"/>
    <w:rsid w:val="00762BB7"/>
    <w:rsid w:val="00767572"/>
    <w:rsid w:val="00773E02"/>
    <w:rsid w:val="00775238"/>
    <w:rsid w:val="00792EE7"/>
    <w:rsid w:val="007A1DBF"/>
    <w:rsid w:val="007A50C3"/>
    <w:rsid w:val="007B1D63"/>
    <w:rsid w:val="007C1E92"/>
    <w:rsid w:val="007C22F4"/>
    <w:rsid w:val="007C7440"/>
    <w:rsid w:val="007D3C6F"/>
    <w:rsid w:val="007E11FA"/>
    <w:rsid w:val="007E1E33"/>
    <w:rsid w:val="007E67F4"/>
    <w:rsid w:val="007E7112"/>
    <w:rsid w:val="007E7260"/>
    <w:rsid w:val="007F6714"/>
    <w:rsid w:val="008000C6"/>
    <w:rsid w:val="00801CF3"/>
    <w:rsid w:val="00803710"/>
    <w:rsid w:val="008114B3"/>
    <w:rsid w:val="008122D3"/>
    <w:rsid w:val="00812CE7"/>
    <w:rsid w:val="00824AC9"/>
    <w:rsid w:val="00840EB7"/>
    <w:rsid w:val="008420A4"/>
    <w:rsid w:val="00843079"/>
    <w:rsid w:val="00844133"/>
    <w:rsid w:val="00844223"/>
    <w:rsid w:val="0084544D"/>
    <w:rsid w:val="0084591B"/>
    <w:rsid w:val="00851886"/>
    <w:rsid w:val="00857A48"/>
    <w:rsid w:val="0086067A"/>
    <w:rsid w:val="0087151B"/>
    <w:rsid w:val="0087515F"/>
    <w:rsid w:val="00896B31"/>
    <w:rsid w:val="008976B1"/>
    <w:rsid w:val="008A64E7"/>
    <w:rsid w:val="008B1FEB"/>
    <w:rsid w:val="008B5E88"/>
    <w:rsid w:val="008B73FB"/>
    <w:rsid w:val="008C3763"/>
    <w:rsid w:val="008C7B42"/>
    <w:rsid w:val="008D0ED5"/>
    <w:rsid w:val="008D2373"/>
    <w:rsid w:val="008D3DE0"/>
    <w:rsid w:val="008D4122"/>
    <w:rsid w:val="008D51C1"/>
    <w:rsid w:val="008E48AB"/>
    <w:rsid w:val="008F1872"/>
    <w:rsid w:val="009074A2"/>
    <w:rsid w:val="0091065E"/>
    <w:rsid w:val="00921B25"/>
    <w:rsid w:val="009224B8"/>
    <w:rsid w:val="0092699B"/>
    <w:rsid w:val="00926E75"/>
    <w:rsid w:val="00930B45"/>
    <w:rsid w:val="009349FB"/>
    <w:rsid w:val="0094334F"/>
    <w:rsid w:val="0094385F"/>
    <w:rsid w:val="0095431C"/>
    <w:rsid w:val="009554E1"/>
    <w:rsid w:val="0096091F"/>
    <w:rsid w:val="0096428B"/>
    <w:rsid w:val="00967E5F"/>
    <w:rsid w:val="00977B69"/>
    <w:rsid w:val="0098035B"/>
    <w:rsid w:val="00980C6D"/>
    <w:rsid w:val="0098315A"/>
    <w:rsid w:val="009864ED"/>
    <w:rsid w:val="009928F6"/>
    <w:rsid w:val="009962C0"/>
    <w:rsid w:val="009A1953"/>
    <w:rsid w:val="009A19E1"/>
    <w:rsid w:val="009A315B"/>
    <w:rsid w:val="009A5108"/>
    <w:rsid w:val="009B4F30"/>
    <w:rsid w:val="009B6245"/>
    <w:rsid w:val="009B751B"/>
    <w:rsid w:val="009C142B"/>
    <w:rsid w:val="009D6CDC"/>
    <w:rsid w:val="009D7BB2"/>
    <w:rsid w:val="009F0C3F"/>
    <w:rsid w:val="009F481D"/>
    <w:rsid w:val="009F5EC5"/>
    <w:rsid w:val="009F7D30"/>
    <w:rsid w:val="00A02B7C"/>
    <w:rsid w:val="00A04CCF"/>
    <w:rsid w:val="00A23CB9"/>
    <w:rsid w:val="00A265DB"/>
    <w:rsid w:val="00A37664"/>
    <w:rsid w:val="00A43D05"/>
    <w:rsid w:val="00A5084A"/>
    <w:rsid w:val="00A55BEF"/>
    <w:rsid w:val="00A60CEB"/>
    <w:rsid w:val="00A62F17"/>
    <w:rsid w:val="00A703F7"/>
    <w:rsid w:val="00A820CD"/>
    <w:rsid w:val="00A97533"/>
    <w:rsid w:val="00AA27CF"/>
    <w:rsid w:val="00AA2B9D"/>
    <w:rsid w:val="00AA5BDE"/>
    <w:rsid w:val="00AA79A9"/>
    <w:rsid w:val="00AC3B0E"/>
    <w:rsid w:val="00AC5EAE"/>
    <w:rsid w:val="00AC68C5"/>
    <w:rsid w:val="00AD049E"/>
    <w:rsid w:val="00AD465F"/>
    <w:rsid w:val="00AE029F"/>
    <w:rsid w:val="00AE3362"/>
    <w:rsid w:val="00AF2026"/>
    <w:rsid w:val="00AF2E41"/>
    <w:rsid w:val="00AF3EDE"/>
    <w:rsid w:val="00AF4C82"/>
    <w:rsid w:val="00AF7DDC"/>
    <w:rsid w:val="00B02B08"/>
    <w:rsid w:val="00B0528F"/>
    <w:rsid w:val="00B05D59"/>
    <w:rsid w:val="00B1621E"/>
    <w:rsid w:val="00B3508B"/>
    <w:rsid w:val="00B35203"/>
    <w:rsid w:val="00B37F50"/>
    <w:rsid w:val="00B40DD9"/>
    <w:rsid w:val="00B620B9"/>
    <w:rsid w:val="00B65480"/>
    <w:rsid w:val="00B7074C"/>
    <w:rsid w:val="00B72D0C"/>
    <w:rsid w:val="00B751CF"/>
    <w:rsid w:val="00B779A2"/>
    <w:rsid w:val="00B80F6E"/>
    <w:rsid w:val="00B85FB0"/>
    <w:rsid w:val="00B86F2D"/>
    <w:rsid w:val="00B91911"/>
    <w:rsid w:val="00B937D8"/>
    <w:rsid w:val="00B945FA"/>
    <w:rsid w:val="00BA55A2"/>
    <w:rsid w:val="00BB3D50"/>
    <w:rsid w:val="00BB5EC8"/>
    <w:rsid w:val="00BB6039"/>
    <w:rsid w:val="00BC1160"/>
    <w:rsid w:val="00BC1848"/>
    <w:rsid w:val="00BC2EA6"/>
    <w:rsid w:val="00BC5C62"/>
    <w:rsid w:val="00BD2250"/>
    <w:rsid w:val="00BD7274"/>
    <w:rsid w:val="00BD7FF8"/>
    <w:rsid w:val="00BE273A"/>
    <w:rsid w:val="00BF1ED0"/>
    <w:rsid w:val="00BF5C7C"/>
    <w:rsid w:val="00BF5D29"/>
    <w:rsid w:val="00C0499E"/>
    <w:rsid w:val="00C06A93"/>
    <w:rsid w:val="00C0767A"/>
    <w:rsid w:val="00C11C3C"/>
    <w:rsid w:val="00C14D40"/>
    <w:rsid w:val="00C15484"/>
    <w:rsid w:val="00C169E0"/>
    <w:rsid w:val="00C2054E"/>
    <w:rsid w:val="00C2101E"/>
    <w:rsid w:val="00C21CC5"/>
    <w:rsid w:val="00C22FE0"/>
    <w:rsid w:val="00C23CDC"/>
    <w:rsid w:val="00C30D42"/>
    <w:rsid w:val="00C31E09"/>
    <w:rsid w:val="00C32C08"/>
    <w:rsid w:val="00C34111"/>
    <w:rsid w:val="00C355D4"/>
    <w:rsid w:val="00C44217"/>
    <w:rsid w:val="00C4627E"/>
    <w:rsid w:val="00C53104"/>
    <w:rsid w:val="00C703D4"/>
    <w:rsid w:val="00C704C6"/>
    <w:rsid w:val="00C71901"/>
    <w:rsid w:val="00C75DCF"/>
    <w:rsid w:val="00C8088A"/>
    <w:rsid w:val="00C8272F"/>
    <w:rsid w:val="00CA49A7"/>
    <w:rsid w:val="00CB02A6"/>
    <w:rsid w:val="00CD0210"/>
    <w:rsid w:val="00CD06F4"/>
    <w:rsid w:val="00CD1058"/>
    <w:rsid w:val="00CD1BF7"/>
    <w:rsid w:val="00CD7559"/>
    <w:rsid w:val="00CE1A06"/>
    <w:rsid w:val="00CE3F73"/>
    <w:rsid w:val="00CE71CB"/>
    <w:rsid w:val="00CF2B2C"/>
    <w:rsid w:val="00CF383F"/>
    <w:rsid w:val="00CF3C15"/>
    <w:rsid w:val="00D00EFC"/>
    <w:rsid w:val="00D05B49"/>
    <w:rsid w:val="00D06E62"/>
    <w:rsid w:val="00D20E41"/>
    <w:rsid w:val="00D21751"/>
    <w:rsid w:val="00D23915"/>
    <w:rsid w:val="00D23DFB"/>
    <w:rsid w:val="00D3219A"/>
    <w:rsid w:val="00D358CC"/>
    <w:rsid w:val="00D36FD1"/>
    <w:rsid w:val="00D51BCF"/>
    <w:rsid w:val="00D52373"/>
    <w:rsid w:val="00D53880"/>
    <w:rsid w:val="00D55442"/>
    <w:rsid w:val="00D617ED"/>
    <w:rsid w:val="00D62F42"/>
    <w:rsid w:val="00D662AE"/>
    <w:rsid w:val="00D72D41"/>
    <w:rsid w:val="00D73A38"/>
    <w:rsid w:val="00D914AF"/>
    <w:rsid w:val="00D9330E"/>
    <w:rsid w:val="00D95531"/>
    <w:rsid w:val="00DB021D"/>
    <w:rsid w:val="00DB2021"/>
    <w:rsid w:val="00DB3FE6"/>
    <w:rsid w:val="00DC07D3"/>
    <w:rsid w:val="00DC1DEB"/>
    <w:rsid w:val="00DC7A49"/>
    <w:rsid w:val="00DD57F8"/>
    <w:rsid w:val="00DF31B4"/>
    <w:rsid w:val="00DF3CFB"/>
    <w:rsid w:val="00DF525B"/>
    <w:rsid w:val="00DF6673"/>
    <w:rsid w:val="00DF778C"/>
    <w:rsid w:val="00E0273E"/>
    <w:rsid w:val="00E0309C"/>
    <w:rsid w:val="00E03D28"/>
    <w:rsid w:val="00E07D8E"/>
    <w:rsid w:val="00E102E9"/>
    <w:rsid w:val="00E10552"/>
    <w:rsid w:val="00E117BE"/>
    <w:rsid w:val="00E13596"/>
    <w:rsid w:val="00E13777"/>
    <w:rsid w:val="00E36FF3"/>
    <w:rsid w:val="00E437C1"/>
    <w:rsid w:val="00E43A2B"/>
    <w:rsid w:val="00E447C8"/>
    <w:rsid w:val="00E45DCD"/>
    <w:rsid w:val="00E51395"/>
    <w:rsid w:val="00E520DF"/>
    <w:rsid w:val="00E53B69"/>
    <w:rsid w:val="00E55875"/>
    <w:rsid w:val="00E84D53"/>
    <w:rsid w:val="00E85B10"/>
    <w:rsid w:val="00E940E1"/>
    <w:rsid w:val="00EA00A8"/>
    <w:rsid w:val="00EA192F"/>
    <w:rsid w:val="00EA23CD"/>
    <w:rsid w:val="00EA2F74"/>
    <w:rsid w:val="00EA4CA8"/>
    <w:rsid w:val="00EA4E9C"/>
    <w:rsid w:val="00EA5326"/>
    <w:rsid w:val="00EA6531"/>
    <w:rsid w:val="00EA7EAC"/>
    <w:rsid w:val="00EB5CBB"/>
    <w:rsid w:val="00EC11D3"/>
    <w:rsid w:val="00EC11F4"/>
    <w:rsid w:val="00EC2113"/>
    <w:rsid w:val="00EC5AF1"/>
    <w:rsid w:val="00EC6BD0"/>
    <w:rsid w:val="00EC7AB2"/>
    <w:rsid w:val="00ED28C2"/>
    <w:rsid w:val="00ED7128"/>
    <w:rsid w:val="00EE1DB0"/>
    <w:rsid w:val="00EE3D97"/>
    <w:rsid w:val="00EE509E"/>
    <w:rsid w:val="00EE7495"/>
    <w:rsid w:val="00EF15AC"/>
    <w:rsid w:val="00EF1C0B"/>
    <w:rsid w:val="00EF1CBD"/>
    <w:rsid w:val="00EF2200"/>
    <w:rsid w:val="00F06015"/>
    <w:rsid w:val="00F06858"/>
    <w:rsid w:val="00F075E7"/>
    <w:rsid w:val="00F1000A"/>
    <w:rsid w:val="00F14279"/>
    <w:rsid w:val="00F16D9D"/>
    <w:rsid w:val="00F20403"/>
    <w:rsid w:val="00F20C8D"/>
    <w:rsid w:val="00F23F57"/>
    <w:rsid w:val="00F2491B"/>
    <w:rsid w:val="00F27F35"/>
    <w:rsid w:val="00F37337"/>
    <w:rsid w:val="00F4421D"/>
    <w:rsid w:val="00F4434C"/>
    <w:rsid w:val="00F44400"/>
    <w:rsid w:val="00F45492"/>
    <w:rsid w:val="00F50DE4"/>
    <w:rsid w:val="00F563E6"/>
    <w:rsid w:val="00F60389"/>
    <w:rsid w:val="00F6574B"/>
    <w:rsid w:val="00F7549A"/>
    <w:rsid w:val="00F822BA"/>
    <w:rsid w:val="00F83F78"/>
    <w:rsid w:val="00F84018"/>
    <w:rsid w:val="00F90981"/>
    <w:rsid w:val="00F90F73"/>
    <w:rsid w:val="00F933CE"/>
    <w:rsid w:val="00F948E8"/>
    <w:rsid w:val="00FA1D8B"/>
    <w:rsid w:val="00FA430D"/>
    <w:rsid w:val="00FA7BE2"/>
    <w:rsid w:val="00FB7E70"/>
    <w:rsid w:val="00FC0EEA"/>
    <w:rsid w:val="00FC2E77"/>
    <w:rsid w:val="00FC6975"/>
    <w:rsid w:val="00FD0326"/>
    <w:rsid w:val="00FD0D93"/>
    <w:rsid w:val="00FE207C"/>
    <w:rsid w:val="00FE3F6A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EF8EB3"/>
  <w14:defaultImageDpi w14:val="300"/>
  <w15:docId w15:val="{20E9A109-9769-49CD-9BE2-C68AC0FB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6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5AC"/>
    <w:pPr>
      <w:keepNext/>
      <w:keepLines/>
      <w:numPr>
        <w:numId w:val="1"/>
      </w:numPr>
      <w:spacing w:before="240" w:after="120"/>
      <w:ind w:left="680" w:hanging="68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EF15AC"/>
    <w:pPr>
      <w:keepNext w:val="0"/>
      <w:keepLines w:val="0"/>
      <w:numPr>
        <w:ilvl w:val="1"/>
      </w:numPr>
      <w:spacing w:before="180"/>
      <w:ind w:left="680" w:hanging="68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EF15AC"/>
    <w:pPr>
      <w:numPr>
        <w:ilvl w:val="2"/>
      </w:numPr>
      <w:spacing w:before="200"/>
      <w:ind w:left="680" w:hanging="68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15AC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EF15AC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rsid w:val="00EF15AC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967E5F"/>
    <w:pPr>
      <w:spacing w:before="120" w:after="120"/>
    </w:pPr>
    <w:rPr>
      <w:b/>
      <w:color w:val="000000" w:themeColor="text1"/>
      <w:sz w:val="32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7E5F"/>
    <w:pPr>
      <w:tabs>
        <w:tab w:val="left" w:pos="480"/>
        <w:tab w:val="right" w:leader="dot" w:pos="918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F15AC"/>
    <w:pPr>
      <w:tabs>
        <w:tab w:val="left" w:pos="1134"/>
        <w:tab w:val="right" w:leader="dot" w:pos="9168"/>
      </w:tabs>
      <w:spacing w:after="100"/>
      <w:ind w:left="1134" w:hanging="567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967E5F"/>
    <w:pPr>
      <w:numPr>
        <w:numId w:val="8"/>
      </w:numPr>
      <w:spacing w:before="12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unhideWhenUsed/>
    <w:rsid w:val="004921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2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21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118"/>
    <w:rPr>
      <w:rFonts w:ascii="Arial" w:hAnsi="Arial"/>
      <w:b/>
      <w:bCs/>
      <w:lang w:eastAsia="en-US"/>
    </w:rPr>
  </w:style>
  <w:style w:type="paragraph" w:customStyle="1" w:styleId="Default">
    <w:name w:val="Default"/>
    <w:rsid w:val="004C7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36BD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C4627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C4627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C4627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C4627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C4627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C4627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paragraph" w:customStyle="1" w:styleId="111Heading">
    <w:name w:val="1.1.1 Heading"/>
    <w:basedOn w:val="Normal"/>
    <w:rsid w:val="001D18BC"/>
    <w:pPr>
      <w:numPr>
        <w:ilvl w:val="2"/>
        <w:numId w:val="3"/>
      </w:numPr>
      <w:spacing w:before="60" w:after="60"/>
    </w:pPr>
    <w:rPr>
      <w:rFonts w:eastAsia="Times New Roman"/>
      <w:lang w:eastAsia="en-AU"/>
    </w:rPr>
  </w:style>
  <w:style w:type="table" w:customStyle="1" w:styleId="TableGrid5">
    <w:name w:val="Table Grid5"/>
    <w:basedOn w:val="TableNormal"/>
    <w:next w:val="TableGrid"/>
    <w:rsid w:val="002A38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652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142"/>
    <w:rPr>
      <w:rFonts w:ascii="Arial" w:hAnsi="Arial"/>
      <w:sz w:val="24"/>
      <w:szCs w:val="24"/>
      <w:lang w:eastAsia="en-US"/>
    </w:rPr>
  </w:style>
  <w:style w:type="paragraph" w:styleId="List">
    <w:name w:val="List"/>
    <w:basedOn w:val="ListParagraph"/>
    <w:uiPriority w:val="99"/>
    <w:unhideWhenUsed/>
    <w:rsid w:val="00EF15AC"/>
    <w:pPr>
      <w:numPr>
        <w:numId w:val="11"/>
      </w:numPr>
      <w:spacing w:after="60"/>
      <w:ind w:left="1276" w:hanging="567"/>
      <w:contextualSpacing w:val="0"/>
    </w:pPr>
  </w:style>
  <w:style w:type="paragraph" w:customStyle="1" w:styleId="H1nonumber">
    <w:name w:val="H1nonumber"/>
    <w:basedOn w:val="Heading1"/>
    <w:qFormat/>
    <w:rsid w:val="00967E5F"/>
    <w:pPr>
      <w:numPr>
        <w:numId w:val="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1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2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0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62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43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83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838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36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1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8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14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28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869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009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36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399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500676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290752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421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bhdc-copps.aspx" TargetMode="External"/><Relationship Id="rId26" Type="http://schemas.openxmlformats.org/officeDocument/2006/relationships/hyperlink" Target="https://dojwa.sharepoint.com/sites/intranet/prison-operations/Pages/bhdc-copps.aspx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bhdc-copps.aspx" TargetMode="External"/><Relationship Id="rId34" Type="http://schemas.openxmlformats.org/officeDocument/2006/relationships/hyperlink" Target="https://dojwa.sharepoint.com/search/Pages/results.aspx?k=operational%20compliance&amp;ql=3081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sites/intranet/prison-operations/Pages/bhdc-copps.aspx" TargetMode="External"/><Relationship Id="rId25" Type="http://schemas.openxmlformats.org/officeDocument/2006/relationships/hyperlink" Target="https://dojwa.sharepoint.com/sites/intranet/prison-operations/Pages/bhdc-copps.aspx" TargetMode="External"/><Relationship Id="rId33" Type="http://schemas.openxmlformats.org/officeDocument/2006/relationships/hyperlink" Target="https://dojwa.sharepoint.com/search/Pages/results.aspx?k=operational%20compliance&amp;ql=3081" TargetMode="External"/><Relationship Id="rId38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bhdc-copps.aspx" TargetMode="External"/><Relationship Id="rId20" Type="http://schemas.openxmlformats.org/officeDocument/2006/relationships/hyperlink" Target="https://dojwa.sharepoint.com/sites/intranet/prison-operations/Pages/bhdc-copps.aspx" TargetMode="External"/><Relationship Id="rId29" Type="http://schemas.openxmlformats.org/officeDocument/2006/relationships/hyperlink" Target="https://dojwa.sharepoint.com/sites/intranet/prison-operations/Pages/bhdc-copp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bhdc-copps.aspx" TargetMode="External"/><Relationship Id="rId32" Type="http://schemas.openxmlformats.org/officeDocument/2006/relationships/hyperlink" Target="https://dojwa.sharepoint.com/sites/intranet/prison-operations/Pages/bhdc-copps.aspx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dojwa.sharepoint.com/sites/intranet/prison-operations/Pages/bhdc-copps.aspx" TargetMode="External"/><Relationship Id="rId28" Type="http://schemas.openxmlformats.org/officeDocument/2006/relationships/hyperlink" Target="https://dojwa.sharepoint.com/sites/intranet/prison-operations/Pages/bhdc-copps.aspx" TargetMode="External"/><Relationship Id="rId36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bhdc-copps.aspx" TargetMode="External"/><Relationship Id="rId31" Type="http://schemas.openxmlformats.org/officeDocument/2006/relationships/hyperlink" Target="https://dojwa.sharepoint.com/sites/intranet/prison-operations/Pages/bhdc-copps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dojwa.sharepoint.com/sites/intranet/prison-operations/Pages/bhdc-copps.aspx" TargetMode="External"/><Relationship Id="rId27" Type="http://schemas.openxmlformats.org/officeDocument/2006/relationships/hyperlink" Target="https://dojwa.sharepoint.com/sites/intranet/prison-operations/Pages/bhdc-copps.aspx" TargetMode="External"/><Relationship Id="rId30" Type="http://schemas.openxmlformats.org/officeDocument/2006/relationships/hyperlink" Target="https://dojwa.sharepoint.com/sites/intranet/prison-operations/Pages/bhdc-copps.aspx" TargetMode="External"/><Relationship Id="rId35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Youth Custodial Rules</TermName>
          <TermId xmlns="http://schemas.microsoft.com/office/infopath/2007/PartnerControls">58081a5c-2417-44d0-aab6-abfe5521b729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7.1 Female Detainees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Youth</TermName>
          <TermId xmlns="http://schemas.microsoft.com/office/infopath/2007/PartnerControls">86dadb23-f3e8-45d0-a50e-683c2dd71471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967721-B291-4018-81E9-B94C29C26E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1898</Words>
  <Characters>10819</Characters>
  <Application>Microsoft Office Word</Application>
  <DocSecurity>8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7.1 Female Detainees</vt:lpstr>
    </vt:vector>
  </TitlesOfParts>
  <Manager>Nimilandra.Nageswaran@correctiveservices.wa.gov.au</Manager>
  <Company>Department of Justice</Company>
  <LinksUpToDate>false</LinksUpToDate>
  <CharactersWithSpaces>12692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7.1 Female Detainees</dc:title>
  <dc:creator>Scott.Rumbold@justice.wa.gov.au</dc:creator>
  <cp:keywords>Commissioner's Operating Policy and Procedure (COPP); Prison Operations; Adult Custodial; Procedures; Policies; 7.1; Female; Girl; Girls; Woman; Women; Detainee.</cp:keywords>
  <cp:lastModifiedBy>Stead, Gail</cp:lastModifiedBy>
  <cp:revision>33</cp:revision>
  <cp:lastPrinted>2023-07-04T00:41:00Z</cp:lastPrinted>
  <dcterms:created xsi:type="dcterms:W3CDTF">2023-09-21T05:12:00Z</dcterms:created>
  <dcterms:modified xsi:type="dcterms:W3CDTF">2023-12-17T22:42:00Z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