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386C4" w14:textId="066C5AE3" w:rsidR="00146739" w:rsidRPr="002E5756" w:rsidRDefault="008114B3" w:rsidP="002E5756">
      <w:pPr>
        <w:pStyle w:val="Title"/>
      </w:pPr>
      <w:r w:rsidRPr="002E5756">
        <w:t xml:space="preserve">COPP </w:t>
      </w:r>
      <w:r w:rsidR="003E7C04">
        <w:t xml:space="preserve">7.4 </w:t>
      </w:r>
      <w:r w:rsidR="00B97899">
        <w:t xml:space="preserve">Young People </w:t>
      </w:r>
      <w:r w:rsidR="00B71E59">
        <w:t>a</w:t>
      </w:r>
      <w:r w:rsidR="003E7C04">
        <w:t>t</w:t>
      </w:r>
      <w:r w:rsidR="00970D94">
        <w:t xml:space="preserve"> </w:t>
      </w:r>
      <w:r w:rsidR="003E7C04">
        <w:t>Risk of Self</w:t>
      </w:r>
      <w:r w:rsidR="007B0741">
        <w:t>-</w:t>
      </w:r>
      <w:r w:rsidR="003E7C04">
        <w:t xml:space="preserve">Harm or </w:t>
      </w:r>
      <w:r w:rsidR="00645B84">
        <w:t>R</w:t>
      </w:r>
      <w:r w:rsidR="003E7C04">
        <w:t xml:space="preserve">equiring </w:t>
      </w:r>
      <w:r w:rsidR="00645B84">
        <w:t>A</w:t>
      </w:r>
      <w:r w:rsidR="00970D94">
        <w:t>dd</w:t>
      </w:r>
      <w:r w:rsidR="003E7C04">
        <w:t>itional Support and Monitoring</w:t>
      </w:r>
    </w:p>
    <w:p w14:paraId="7925CEC3" w14:textId="77915578" w:rsidR="000D69A3" w:rsidRPr="00EA7EAC" w:rsidRDefault="000E4B13" w:rsidP="00EA7EAC">
      <w:pPr>
        <w:pStyle w:val="Subtitle"/>
      </w:pPr>
      <w:r>
        <w:t xml:space="preserve">Youth </w:t>
      </w:r>
      <w:r w:rsidR="00A547EA">
        <w:t>Detention Centre</w:t>
      </w:r>
      <w:r w:rsidR="008A37F7">
        <w:t>s</w:t>
      </w:r>
    </w:p>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126611" w14:paraId="15EC94DD" w14:textId="77777777" w:rsidTr="00A547EA">
        <w:trPr>
          <w:trHeight w:val="9327"/>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3A7A0C92" w14:textId="5C16A998" w:rsidR="00126611" w:rsidRPr="0066550E" w:rsidRDefault="00126611" w:rsidP="00126611">
            <w:pPr>
              <w:pStyle w:val="Heading"/>
            </w:pPr>
            <w:r w:rsidRPr="0066550E">
              <w:t>Principles</w:t>
            </w:r>
            <w:r w:rsidR="008A37F7" w:rsidRPr="0066550E">
              <w:t xml:space="preserve"> and Standards</w:t>
            </w:r>
          </w:p>
          <w:p w14:paraId="069139A3" w14:textId="765560FD" w:rsidR="00663830" w:rsidRPr="0066550E" w:rsidRDefault="00663830" w:rsidP="003E7C04">
            <w:pPr>
              <w:pStyle w:val="Instructionalnote"/>
              <w:rPr>
                <w:color w:val="auto"/>
              </w:rPr>
            </w:pPr>
          </w:p>
          <w:p w14:paraId="20B4083C" w14:textId="77777777" w:rsidR="008A37F7" w:rsidRPr="0066550E" w:rsidRDefault="008A37F7" w:rsidP="008A37F7">
            <w:pPr>
              <w:spacing w:after="240"/>
            </w:pPr>
            <w:r w:rsidRPr="0066550E">
              <w:t xml:space="preserve">The Model of Care (MoC) Instruction was developed to guide and support staff to operationally implement the MoC’s high-level principles for the care and management of young people in Youth Detention Centres. The MoC Instruction provides a rehabilitative and therapeutic operating environment to support, build and nurture a young person’s skills and individual strengths to enable rehabilitation, reduce reoffending, and maximise their potential to lead meaningful lives. </w:t>
            </w:r>
          </w:p>
          <w:p w14:paraId="35ACB60C" w14:textId="77777777" w:rsidR="008A37F7" w:rsidRPr="0066550E" w:rsidRDefault="008A37F7" w:rsidP="008A37F7">
            <w:r w:rsidRPr="0066550E">
              <w:t>This COPP aligns with the following MoC service principles:</w:t>
            </w:r>
          </w:p>
          <w:p w14:paraId="3DD0B271" w14:textId="5BE1DCA3" w:rsidR="008A37F7" w:rsidRPr="0066550E" w:rsidRDefault="008A37F7" w:rsidP="008A37F7">
            <w:pPr>
              <w:pStyle w:val="ListParagraph"/>
              <w:numPr>
                <w:ilvl w:val="0"/>
                <w:numId w:val="16"/>
              </w:numPr>
              <w:spacing w:before="60"/>
              <w:ind w:left="357" w:hanging="357"/>
            </w:pPr>
            <w:r w:rsidRPr="0066550E">
              <w:t xml:space="preserve">Principle </w:t>
            </w:r>
            <w:r w:rsidR="00190914" w:rsidRPr="0066550E">
              <w:t>1</w:t>
            </w:r>
            <w:r w:rsidRPr="0066550E">
              <w:t>: Elevate and respect young people’s voices</w:t>
            </w:r>
          </w:p>
          <w:p w14:paraId="293B3A70" w14:textId="3B397313" w:rsidR="00383A8F" w:rsidRPr="0066550E" w:rsidRDefault="008A37F7" w:rsidP="008A37F7">
            <w:pPr>
              <w:pStyle w:val="ListParagraph"/>
              <w:numPr>
                <w:ilvl w:val="0"/>
                <w:numId w:val="16"/>
              </w:numPr>
            </w:pPr>
            <w:r w:rsidRPr="0066550E">
              <w:t xml:space="preserve">Principle </w:t>
            </w:r>
            <w:r w:rsidR="00383A8F" w:rsidRPr="0066550E">
              <w:t>2</w:t>
            </w:r>
            <w:r w:rsidRPr="0066550E">
              <w:t>:</w:t>
            </w:r>
            <w:r w:rsidR="005D7856" w:rsidRPr="0066550E">
              <w:t xml:space="preserve"> </w:t>
            </w:r>
            <w:r w:rsidR="00383A8F" w:rsidRPr="0066550E">
              <w:t>Foster structure and consistency for young people</w:t>
            </w:r>
          </w:p>
          <w:p w14:paraId="01BBD5F4" w14:textId="77777777" w:rsidR="005D7856" w:rsidRPr="0066550E" w:rsidRDefault="00383A8F" w:rsidP="008A37F7">
            <w:pPr>
              <w:pStyle w:val="ListParagraph"/>
              <w:numPr>
                <w:ilvl w:val="0"/>
                <w:numId w:val="16"/>
              </w:numPr>
            </w:pPr>
            <w:r w:rsidRPr="0066550E">
              <w:t>Principle 3: Ensure cultural safety and strength for Aboriginal young people</w:t>
            </w:r>
          </w:p>
          <w:p w14:paraId="7491726E" w14:textId="22D5231F" w:rsidR="006128D7" w:rsidRPr="0066550E" w:rsidRDefault="006128D7" w:rsidP="008A37F7">
            <w:pPr>
              <w:pStyle w:val="ListParagraph"/>
              <w:numPr>
                <w:ilvl w:val="0"/>
                <w:numId w:val="16"/>
              </w:numPr>
            </w:pPr>
            <w:r w:rsidRPr="0066550E">
              <w:t xml:space="preserve">Principle 4: Connect young people with family, kin, and community </w:t>
            </w:r>
          </w:p>
          <w:p w14:paraId="485262D0" w14:textId="3107C037" w:rsidR="006128D7" w:rsidRPr="0066550E" w:rsidRDefault="006128D7" w:rsidP="008A37F7">
            <w:pPr>
              <w:pStyle w:val="ListParagraph"/>
              <w:numPr>
                <w:ilvl w:val="0"/>
                <w:numId w:val="16"/>
              </w:numPr>
            </w:pPr>
            <w:r w:rsidRPr="0066550E">
              <w:t>Principle 5: Foster a throughcare-focused approach to care for young people</w:t>
            </w:r>
          </w:p>
          <w:p w14:paraId="4120A68F" w14:textId="3FEB567C" w:rsidR="006128D7" w:rsidRPr="0066550E" w:rsidRDefault="006128D7" w:rsidP="008A37F7">
            <w:pPr>
              <w:pStyle w:val="ListParagraph"/>
              <w:numPr>
                <w:ilvl w:val="0"/>
                <w:numId w:val="16"/>
              </w:numPr>
            </w:pPr>
            <w:r w:rsidRPr="0066550E">
              <w:t>Principle 6 - Embed developmentally appropriate and needs-informed approaches</w:t>
            </w:r>
          </w:p>
          <w:p w14:paraId="0A5A68DA" w14:textId="1EC34922" w:rsidR="008A37F7" w:rsidRPr="0066550E" w:rsidRDefault="006128D7" w:rsidP="008A37F7">
            <w:pPr>
              <w:pStyle w:val="ListParagraph"/>
              <w:numPr>
                <w:ilvl w:val="0"/>
                <w:numId w:val="16"/>
              </w:numPr>
            </w:pPr>
            <w:r w:rsidRPr="0066550E">
              <w:t xml:space="preserve">Principle 7: </w:t>
            </w:r>
            <w:r w:rsidR="008A37F7" w:rsidRPr="0066550E">
              <w:t xml:space="preserve">Apply positive restorative approaches to discipline </w:t>
            </w:r>
          </w:p>
          <w:p w14:paraId="02ED35EA" w14:textId="1868DA57" w:rsidR="001076F7" w:rsidRPr="0066550E" w:rsidRDefault="001076F7" w:rsidP="008A37F7">
            <w:pPr>
              <w:pStyle w:val="ListParagraph"/>
              <w:numPr>
                <w:ilvl w:val="0"/>
                <w:numId w:val="16"/>
              </w:numPr>
            </w:pPr>
            <w:r w:rsidRPr="0066550E">
              <w:t>Principle 8: Promote culture of appreciation, care and support for staff.</w:t>
            </w:r>
          </w:p>
          <w:p w14:paraId="497537D4" w14:textId="77777777" w:rsidR="008A37F7" w:rsidRPr="0066550E" w:rsidRDefault="008A37F7" w:rsidP="008A37F7"/>
          <w:p w14:paraId="30EBA88B" w14:textId="77777777" w:rsidR="008A37F7" w:rsidRPr="0066550E" w:rsidRDefault="008A37F7" w:rsidP="008A37F7">
            <w:r w:rsidRPr="0066550E">
              <w:t>In the context of the MoC, the following national standards and international covenants inform best practice:</w:t>
            </w:r>
          </w:p>
          <w:p w14:paraId="5BAD9EE2" w14:textId="77777777" w:rsidR="008A37F7" w:rsidRPr="0066550E" w:rsidRDefault="008A37F7" w:rsidP="008A37F7"/>
          <w:p w14:paraId="2EB51B65" w14:textId="77777777" w:rsidR="008A37F7" w:rsidRPr="0066550E" w:rsidRDefault="008A37F7" w:rsidP="008A37F7">
            <w:pPr>
              <w:pStyle w:val="ListParagraph"/>
              <w:numPr>
                <w:ilvl w:val="0"/>
                <w:numId w:val="17"/>
              </w:numPr>
              <w:spacing w:before="60"/>
              <w:ind w:left="357" w:hanging="357"/>
            </w:pPr>
            <w:hyperlink r:id="rId12" w:history="1">
              <w:r w:rsidRPr="0066550E">
                <w:rPr>
                  <w:rStyle w:val="Hyperlink"/>
                </w:rPr>
                <w:t>Principles of Youth Justice in Australia (Australasian Youth Justice Administrators, 2019)</w:t>
              </w:r>
            </w:hyperlink>
          </w:p>
          <w:p w14:paraId="74E8BC9E" w14:textId="77777777" w:rsidR="008A37F7" w:rsidRPr="0066550E" w:rsidRDefault="008A37F7" w:rsidP="008A37F7">
            <w:pPr>
              <w:pStyle w:val="ListParagraph"/>
              <w:numPr>
                <w:ilvl w:val="0"/>
                <w:numId w:val="17"/>
              </w:numPr>
            </w:pPr>
            <w:hyperlink r:id="rId13" w:history="1">
              <w:r w:rsidRPr="0066550E">
                <w:rPr>
                  <w:rStyle w:val="Hyperlink"/>
                </w:rPr>
                <w:t>National Principles for Child Safe Organisations (Australian Human Rights Commission, 2018)</w:t>
              </w:r>
            </w:hyperlink>
          </w:p>
          <w:p w14:paraId="1F98EBD1" w14:textId="77777777" w:rsidR="008A37F7" w:rsidRPr="0066550E" w:rsidRDefault="008A37F7" w:rsidP="008A37F7">
            <w:pPr>
              <w:pStyle w:val="ListParagraph"/>
              <w:numPr>
                <w:ilvl w:val="0"/>
                <w:numId w:val="17"/>
              </w:numPr>
            </w:pPr>
            <w:hyperlink r:id="rId14" w:history="1">
              <w:r w:rsidRPr="0066550E">
                <w:rPr>
                  <w:rStyle w:val="Hyperlink"/>
                </w:rPr>
                <w:t xml:space="preserve">Standard Minimum Rules for the Administration of Juvenile Justice </w:t>
              </w:r>
              <w:r w:rsidRPr="0066550E">
                <w:rPr>
                  <w:rFonts w:cs="Arial"/>
                  <w:color w:val="0000FF"/>
                  <w:u w:val="single"/>
                </w:rPr>
                <w:br/>
              </w:r>
              <w:r w:rsidRPr="0066550E">
                <w:rPr>
                  <w:rStyle w:val="Hyperlink"/>
                </w:rPr>
                <w:t>(“The Beijing Rules”) (United Nations, 1985)</w:t>
              </w:r>
            </w:hyperlink>
          </w:p>
          <w:p w14:paraId="77410F15" w14:textId="5A487326" w:rsidR="008A37F7" w:rsidRPr="0066550E" w:rsidRDefault="008A37F7" w:rsidP="003E7C04">
            <w:pPr>
              <w:pStyle w:val="Instructionalnote"/>
            </w:pPr>
          </w:p>
        </w:tc>
      </w:tr>
    </w:tbl>
    <w:p w14:paraId="3C81D8CC" w14:textId="77777777" w:rsidR="00663830" w:rsidRDefault="00663830" w:rsidP="00803710">
      <w:pPr>
        <w:rPr>
          <w:b/>
        </w:rPr>
        <w:sectPr w:rsidR="00663830" w:rsidSect="002E5756">
          <w:headerReference w:type="default" r:id="rId15"/>
          <w:headerReference w:type="first" r:id="rId16"/>
          <w:type w:val="continuous"/>
          <w:pgSz w:w="11900" w:h="16840"/>
          <w:pgMar w:top="1418" w:right="1418" w:bottom="1440" w:left="1304" w:header="567" w:footer="709" w:gutter="0"/>
          <w:cols w:space="708"/>
          <w:titlePg/>
          <w:docGrid w:linePitch="360"/>
        </w:sectPr>
      </w:pPr>
    </w:p>
    <w:p w14:paraId="1D4E3D43" w14:textId="51DDCD19" w:rsidR="00B6556E" w:rsidRDefault="00B6556E">
      <w:r>
        <w:br w:type="page"/>
      </w:r>
    </w:p>
    <w:p w14:paraId="5C66D171" w14:textId="31B00BDA" w:rsidR="00FA1D8B" w:rsidRPr="000F5444" w:rsidRDefault="00FA1D8B" w:rsidP="000F5444">
      <w:pPr>
        <w:rPr>
          <w:bCs/>
          <w:szCs w:val="32"/>
        </w:rPr>
      </w:pPr>
      <w:r w:rsidRPr="000F5444">
        <w:rPr>
          <w:b/>
          <w:bCs/>
          <w:sz w:val="32"/>
          <w:szCs w:val="32"/>
        </w:rPr>
        <w:lastRenderedPageBreak/>
        <w:t>Contents</w:t>
      </w:r>
    </w:p>
    <w:p w14:paraId="04F5A0EE" w14:textId="34BF9BE9" w:rsidR="00F6585C" w:rsidRDefault="006551E7">
      <w:pPr>
        <w:pStyle w:val="TOC1"/>
        <w:rPr>
          <w:rFonts w:asciiTheme="minorHAnsi" w:eastAsiaTheme="minorEastAsia" w:hAnsiTheme="minorHAnsi" w:cstheme="minorBidi"/>
          <w:noProof/>
          <w:kern w:val="2"/>
          <w:lang w:eastAsia="en-AU"/>
          <w14:ligatures w14:val="standardContextual"/>
        </w:rPr>
      </w:pPr>
      <w:r>
        <w:fldChar w:fldCharType="begin"/>
      </w:r>
      <w:r>
        <w:instrText xml:space="preserve"> TOC \o "1-2" \h \z \u </w:instrText>
      </w:r>
      <w:r>
        <w:fldChar w:fldCharType="separate"/>
      </w:r>
      <w:hyperlink w:anchor="_Toc232081622" w:history="1">
        <w:r w:rsidR="00F6585C" w:rsidRPr="003A081D">
          <w:rPr>
            <w:rStyle w:val="Hyperlink"/>
            <w:noProof/>
          </w:rPr>
          <w:t>1</w:t>
        </w:r>
        <w:r w:rsidR="00F6585C">
          <w:rPr>
            <w:rFonts w:asciiTheme="minorHAnsi" w:eastAsiaTheme="minorEastAsia" w:hAnsiTheme="minorHAnsi" w:cstheme="minorBidi"/>
            <w:noProof/>
            <w:kern w:val="2"/>
            <w:lang w:eastAsia="en-AU"/>
            <w14:ligatures w14:val="standardContextual"/>
          </w:rPr>
          <w:tab/>
        </w:r>
        <w:r w:rsidR="00F6585C" w:rsidRPr="003A081D">
          <w:rPr>
            <w:rStyle w:val="Hyperlink"/>
            <w:noProof/>
          </w:rPr>
          <w:t>Scope</w:t>
        </w:r>
        <w:r w:rsidR="00F6585C">
          <w:rPr>
            <w:noProof/>
            <w:webHidden/>
          </w:rPr>
          <w:tab/>
        </w:r>
        <w:r w:rsidR="00F6585C">
          <w:rPr>
            <w:noProof/>
            <w:webHidden/>
          </w:rPr>
          <w:fldChar w:fldCharType="begin"/>
        </w:r>
        <w:r w:rsidR="00F6585C">
          <w:rPr>
            <w:noProof/>
            <w:webHidden/>
          </w:rPr>
          <w:instrText xml:space="preserve"> PAGEREF _Toc232081622 \h </w:instrText>
        </w:r>
        <w:r w:rsidR="00F6585C">
          <w:rPr>
            <w:noProof/>
            <w:webHidden/>
          </w:rPr>
        </w:r>
        <w:r w:rsidR="00F6585C">
          <w:rPr>
            <w:noProof/>
            <w:webHidden/>
          </w:rPr>
          <w:fldChar w:fldCharType="separate"/>
        </w:r>
        <w:r w:rsidR="00F6585C">
          <w:rPr>
            <w:noProof/>
            <w:webHidden/>
          </w:rPr>
          <w:t>3</w:t>
        </w:r>
        <w:r w:rsidR="00F6585C">
          <w:rPr>
            <w:noProof/>
            <w:webHidden/>
          </w:rPr>
          <w:fldChar w:fldCharType="end"/>
        </w:r>
      </w:hyperlink>
    </w:p>
    <w:p w14:paraId="5E2B7039" w14:textId="16157D5F" w:rsidR="00F6585C" w:rsidRDefault="00F6585C">
      <w:pPr>
        <w:pStyle w:val="TOC1"/>
        <w:rPr>
          <w:rFonts w:asciiTheme="minorHAnsi" w:eastAsiaTheme="minorEastAsia" w:hAnsiTheme="minorHAnsi" w:cstheme="minorBidi"/>
          <w:noProof/>
          <w:kern w:val="2"/>
          <w:lang w:eastAsia="en-AU"/>
          <w14:ligatures w14:val="standardContextual"/>
        </w:rPr>
      </w:pPr>
      <w:hyperlink w:anchor="_Toc232081623" w:history="1">
        <w:r w:rsidRPr="003A081D">
          <w:rPr>
            <w:rStyle w:val="Hyperlink"/>
            <w:noProof/>
          </w:rPr>
          <w:t>2</w:t>
        </w:r>
        <w:r>
          <w:rPr>
            <w:rFonts w:asciiTheme="minorHAnsi" w:eastAsiaTheme="minorEastAsia" w:hAnsiTheme="minorHAnsi" w:cstheme="minorBidi"/>
            <w:noProof/>
            <w:kern w:val="2"/>
            <w:lang w:eastAsia="en-AU"/>
            <w14:ligatures w14:val="standardContextual"/>
          </w:rPr>
          <w:tab/>
        </w:r>
        <w:r w:rsidRPr="003A081D">
          <w:rPr>
            <w:rStyle w:val="Hyperlink"/>
            <w:noProof/>
          </w:rPr>
          <w:t>Policy</w:t>
        </w:r>
        <w:r>
          <w:rPr>
            <w:noProof/>
            <w:webHidden/>
          </w:rPr>
          <w:tab/>
        </w:r>
        <w:r>
          <w:rPr>
            <w:noProof/>
            <w:webHidden/>
          </w:rPr>
          <w:fldChar w:fldCharType="begin"/>
        </w:r>
        <w:r>
          <w:rPr>
            <w:noProof/>
            <w:webHidden/>
          </w:rPr>
          <w:instrText xml:space="preserve"> PAGEREF _Toc232081623 \h </w:instrText>
        </w:r>
        <w:r>
          <w:rPr>
            <w:noProof/>
            <w:webHidden/>
          </w:rPr>
        </w:r>
        <w:r>
          <w:rPr>
            <w:noProof/>
            <w:webHidden/>
          </w:rPr>
          <w:fldChar w:fldCharType="separate"/>
        </w:r>
        <w:r>
          <w:rPr>
            <w:noProof/>
            <w:webHidden/>
          </w:rPr>
          <w:t>3</w:t>
        </w:r>
        <w:r>
          <w:rPr>
            <w:noProof/>
            <w:webHidden/>
          </w:rPr>
          <w:fldChar w:fldCharType="end"/>
        </w:r>
      </w:hyperlink>
    </w:p>
    <w:p w14:paraId="437D2987" w14:textId="6A89947C" w:rsidR="00F6585C" w:rsidRDefault="00F6585C">
      <w:pPr>
        <w:pStyle w:val="TOC1"/>
        <w:rPr>
          <w:rFonts w:asciiTheme="minorHAnsi" w:eastAsiaTheme="minorEastAsia" w:hAnsiTheme="minorHAnsi" w:cstheme="minorBidi"/>
          <w:noProof/>
          <w:kern w:val="2"/>
          <w:lang w:eastAsia="en-AU"/>
          <w14:ligatures w14:val="standardContextual"/>
        </w:rPr>
      </w:pPr>
      <w:hyperlink w:anchor="_Toc232081624" w:history="1">
        <w:r w:rsidRPr="003A081D">
          <w:rPr>
            <w:rStyle w:val="Hyperlink"/>
            <w:noProof/>
          </w:rPr>
          <w:t>3</w:t>
        </w:r>
        <w:r>
          <w:rPr>
            <w:rFonts w:asciiTheme="minorHAnsi" w:eastAsiaTheme="minorEastAsia" w:hAnsiTheme="minorHAnsi" w:cstheme="minorBidi"/>
            <w:noProof/>
            <w:kern w:val="2"/>
            <w:lang w:eastAsia="en-AU"/>
            <w14:ligatures w14:val="standardContextual"/>
          </w:rPr>
          <w:tab/>
        </w:r>
        <w:r w:rsidRPr="003A081D">
          <w:rPr>
            <w:rStyle w:val="Hyperlink"/>
            <w:noProof/>
          </w:rPr>
          <w:t>Procedures</w:t>
        </w:r>
        <w:r>
          <w:rPr>
            <w:noProof/>
            <w:webHidden/>
          </w:rPr>
          <w:tab/>
        </w:r>
        <w:r>
          <w:rPr>
            <w:noProof/>
            <w:webHidden/>
          </w:rPr>
          <w:fldChar w:fldCharType="begin"/>
        </w:r>
        <w:r>
          <w:rPr>
            <w:noProof/>
            <w:webHidden/>
          </w:rPr>
          <w:instrText xml:space="preserve"> PAGEREF _Toc232081624 \h </w:instrText>
        </w:r>
        <w:r>
          <w:rPr>
            <w:noProof/>
            <w:webHidden/>
          </w:rPr>
        </w:r>
        <w:r>
          <w:rPr>
            <w:noProof/>
            <w:webHidden/>
          </w:rPr>
          <w:fldChar w:fldCharType="separate"/>
        </w:r>
        <w:r>
          <w:rPr>
            <w:noProof/>
            <w:webHidden/>
          </w:rPr>
          <w:t>5</w:t>
        </w:r>
        <w:r>
          <w:rPr>
            <w:noProof/>
            <w:webHidden/>
          </w:rPr>
          <w:fldChar w:fldCharType="end"/>
        </w:r>
      </w:hyperlink>
    </w:p>
    <w:p w14:paraId="33AEEC52" w14:textId="48786F1F" w:rsidR="00F6585C" w:rsidRDefault="00F6585C">
      <w:pPr>
        <w:pStyle w:val="TOC1"/>
        <w:rPr>
          <w:rFonts w:asciiTheme="minorHAnsi" w:eastAsiaTheme="minorEastAsia" w:hAnsiTheme="minorHAnsi" w:cstheme="minorBidi"/>
          <w:noProof/>
          <w:kern w:val="2"/>
          <w:lang w:eastAsia="en-AU"/>
          <w14:ligatures w14:val="standardContextual"/>
        </w:rPr>
      </w:pPr>
      <w:hyperlink w:anchor="_Toc232081625" w:history="1">
        <w:r w:rsidRPr="003A081D">
          <w:rPr>
            <w:rStyle w:val="Hyperlink"/>
            <w:noProof/>
          </w:rPr>
          <w:t>4</w:t>
        </w:r>
        <w:r>
          <w:rPr>
            <w:rFonts w:asciiTheme="minorHAnsi" w:eastAsiaTheme="minorEastAsia" w:hAnsiTheme="minorHAnsi" w:cstheme="minorBidi"/>
            <w:noProof/>
            <w:kern w:val="2"/>
            <w:lang w:eastAsia="en-AU"/>
            <w14:ligatures w14:val="standardContextual"/>
          </w:rPr>
          <w:tab/>
        </w:r>
        <w:r w:rsidRPr="003A081D">
          <w:rPr>
            <w:rStyle w:val="Hyperlink"/>
            <w:noProof/>
          </w:rPr>
          <w:t>Annexures</w:t>
        </w:r>
        <w:r>
          <w:rPr>
            <w:noProof/>
            <w:webHidden/>
          </w:rPr>
          <w:tab/>
        </w:r>
        <w:r>
          <w:rPr>
            <w:noProof/>
            <w:webHidden/>
          </w:rPr>
          <w:fldChar w:fldCharType="begin"/>
        </w:r>
        <w:r>
          <w:rPr>
            <w:noProof/>
            <w:webHidden/>
          </w:rPr>
          <w:instrText xml:space="preserve"> PAGEREF _Toc232081625 \h </w:instrText>
        </w:r>
        <w:r>
          <w:rPr>
            <w:noProof/>
            <w:webHidden/>
          </w:rPr>
        </w:r>
        <w:r>
          <w:rPr>
            <w:noProof/>
            <w:webHidden/>
          </w:rPr>
          <w:fldChar w:fldCharType="separate"/>
        </w:r>
        <w:r>
          <w:rPr>
            <w:noProof/>
            <w:webHidden/>
          </w:rPr>
          <w:t>5</w:t>
        </w:r>
        <w:r>
          <w:rPr>
            <w:noProof/>
            <w:webHidden/>
          </w:rPr>
          <w:fldChar w:fldCharType="end"/>
        </w:r>
      </w:hyperlink>
    </w:p>
    <w:p w14:paraId="58ACDC2E" w14:textId="2C5D4EE2" w:rsidR="00F6585C" w:rsidRDefault="00F6585C">
      <w:pPr>
        <w:pStyle w:val="TOC2"/>
        <w:rPr>
          <w:rFonts w:asciiTheme="minorHAnsi" w:eastAsiaTheme="minorEastAsia" w:hAnsiTheme="minorHAnsi" w:cstheme="minorBidi"/>
          <w:noProof/>
          <w:kern w:val="2"/>
          <w:lang w:eastAsia="en-AU"/>
          <w14:ligatures w14:val="standardContextual"/>
        </w:rPr>
      </w:pPr>
      <w:hyperlink w:anchor="_Toc232081626" w:history="1">
        <w:r w:rsidRPr="003A081D">
          <w:rPr>
            <w:rStyle w:val="Hyperlink"/>
            <w:noProof/>
          </w:rPr>
          <w:t>4.1</w:t>
        </w:r>
        <w:r>
          <w:rPr>
            <w:rFonts w:asciiTheme="minorHAnsi" w:eastAsiaTheme="minorEastAsia" w:hAnsiTheme="minorHAnsi" w:cstheme="minorBidi"/>
            <w:noProof/>
            <w:kern w:val="2"/>
            <w:lang w:eastAsia="en-AU"/>
            <w14:ligatures w14:val="standardContextual"/>
          </w:rPr>
          <w:tab/>
        </w:r>
        <w:r w:rsidRPr="003A081D">
          <w:rPr>
            <w:rStyle w:val="Hyperlink"/>
            <w:noProof/>
          </w:rPr>
          <w:t>Related COPPs</w:t>
        </w:r>
        <w:r>
          <w:rPr>
            <w:noProof/>
            <w:webHidden/>
          </w:rPr>
          <w:tab/>
        </w:r>
        <w:r>
          <w:rPr>
            <w:noProof/>
            <w:webHidden/>
          </w:rPr>
          <w:fldChar w:fldCharType="begin"/>
        </w:r>
        <w:r>
          <w:rPr>
            <w:noProof/>
            <w:webHidden/>
          </w:rPr>
          <w:instrText xml:space="preserve"> PAGEREF _Toc232081626 \h </w:instrText>
        </w:r>
        <w:r>
          <w:rPr>
            <w:noProof/>
            <w:webHidden/>
          </w:rPr>
        </w:r>
        <w:r>
          <w:rPr>
            <w:noProof/>
            <w:webHidden/>
          </w:rPr>
          <w:fldChar w:fldCharType="separate"/>
        </w:r>
        <w:r>
          <w:rPr>
            <w:noProof/>
            <w:webHidden/>
          </w:rPr>
          <w:t>5</w:t>
        </w:r>
        <w:r>
          <w:rPr>
            <w:noProof/>
            <w:webHidden/>
          </w:rPr>
          <w:fldChar w:fldCharType="end"/>
        </w:r>
      </w:hyperlink>
    </w:p>
    <w:p w14:paraId="7A87BB1B" w14:textId="5342D2B2" w:rsidR="00F6585C" w:rsidRDefault="00F6585C">
      <w:pPr>
        <w:pStyle w:val="TOC2"/>
        <w:rPr>
          <w:rFonts w:asciiTheme="minorHAnsi" w:eastAsiaTheme="minorEastAsia" w:hAnsiTheme="minorHAnsi" w:cstheme="minorBidi"/>
          <w:noProof/>
          <w:kern w:val="2"/>
          <w:lang w:eastAsia="en-AU"/>
          <w14:ligatures w14:val="standardContextual"/>
        </w:rPr>
      </w:pPr>
      <w:hyperlink w:anchor="_Toc232081627" w:history="1">
        <w:r w:rsidRPr="003A081D">
          <w:rPr>
            <w:rStyle w:val="Hyperlink"/>
            <w:noProof/>
          </w:rPr>
          <w:t>4.2</w:t>
        </w:r>
        <w:r>
          <w:rPr>
            <w:rFonts w:asciiTheme="minorHAnsi" w:eastAsiaTheme="minorEastAsia" w:hAnsiTheme="minorHAnsi" w:cstheme="minorBidi"/>
            <w:noProof/>
            <w:kern w:val="2"/>
            <w:lang w:eastAsia="en-AU"/>
            <w14:ligatures w14:val="standardContextual"/>
          </w:rPr>
          <w:tab/>
        </w:r>
        <w:r w:rsidRPr="003A081D">
          <w:rPr>
            <w:rStyle w:val="Hyperlink"/>
            <w:noProof/>
          </w:rPr>
          <w:t>Related documents</w:t>
        </w:r>
        <w:r>
          <w:rPr>
            <w:noProof/>
            <w:webHidden/>
          </w:rPr>
          <w:tab/>
        </w:r>
        <w:r>
          <w:rPr>
            <w:noProof/>
            <w:webHidden/>
          </w:rPr>
          <w:fldChar w:fldCharType="begin"/>
        </w:r>
        <w:r>
          <w:rPr>
            <w:noProof/>
            <w:webHidden/>
          </w:rPr>
          <w:instrText xml:space="preserve"> PAGEREF _Toc232081627 \h </w:instrText>
        </w:r>
        <w:r>
          <w:rPr>
            <w:noProof/>
            <w:webHidden/>
          </w:rPr>
        </w:r>
        <w:r>
          <w:rPr>
            <w:noProof/>
            <w:webHidden/>
          </w:rPr>
          <w:fldChar w:fldCharType="separate"/>
        </w:r>
        <w:r>
          <w:rPr>
            <w:noProof/>
            <w:webHidden/>
          </w:rPr>
          <w:t>5</w:t>
        </w:r>
        <w:r>
          <w:rPr>
            <w:noProof/>
            <w:webHidden/>
          </w:rPr>
          <w:fldChar w:fldCharType="end"/>
        </w:r>
      </w:hyperlink>
    </w:p>
    <w:p w14:paraId="4421F850" w14:textId="3CD768E2" w:rsidR="00F6585C" w:rsidRDefault="00F6585C">
      <w:pPr>
        <w:pStyle w:val="TOC2"/>
        <w:rPr>
          <w:rFonts w:asciiTheme="minorHAnsi" w:eastAsiaTheme="minorEastAsia" w:hAnsiTheme="minorHAnsi" w:cstheme="minorBidi"/>
          <w:noProof/>
          <w:kern w:val="2"/>
          <w:lang w:eastAsia="en-AU"/>
          <w14:ligatures w14:val="standardContextual"/>
        </w:rPr>
      </w:pPr>
      <w:hyperlink w:anchor="_Toc232081628" w:history="1">
        <w:r w:rsidRPr="003A081D">
          <w:rPr>
            <w:rStyle w:val="Hyperlink"/>
            <w:noProof/>
          </w:rPr>
          <w:t>4.3</w:t>
        </w:r>
        <w:r>
          <w:rPr>
            <w:rFonts w:asciiTheme="minorHAnsi" w:eastAsiaTheme="minorEastAsia" w:hAnsiTheme="minorHAnsi" w:cstheme="minorBidi"/>
            <w:noProof/>
            <w:kern w:val="2"/>
            <w:lang w:eastAsia="en-AU"/>
            <w14:ligatures w14:val="standardContextual"/>
          </w:rPr>
          <w:tab/>
        </w:r>
        <w:r w:rsidRPr="003A081D">
          <w:rPr>
            <w:rStyle w:val="Hyperlink"/>
            <w:noProof/>
          </w:rPr>
          <w:t>Definitions</w:t>
        </w:r>
        <w:r>
          <w:rPr>
            <w:noProof/>
            <w:webHidden/>
          </w:rPr>
          <w:tab/>
        </w:r>
        <w:r>
          <w:rPr>
            <w:noProof/>
            <w:webHidden/>
          </w:rPr>
          <w:fldChar w:fldCharType="begin"/>
        </w:r>
        <w:r>
          <w:rPr>
            <w:noProof/>
            <w:webHidden/>
          </w:rPr>
          <w:instrText xml:space="preserve"> PAGEREF _Toc232081628 \h </w:instrText>
        </w:r>
        <w:r>
          <w:rPr>
            <w:noProof/>
            <w:webHidden/>
          </w:rPr>
        </w:r>
        <w:r>
          <w:rPr>
            <w:noProof/>
            <w:webHidden/>
          </w:rPr>
          <w:fldChar w:fldCharType="separate"/>
        </w:r>
        <w:r>
          <w:rPr>
            <w:noProof/>
            <w:webHidden/>
          </w:rPr>
          <w:t>5</w:t>
        </w:r>
        <w:r>
          <w:rPr>
            <w:noProof/>
            <w:webHidden/>
          </w:rPr>
          <w:fldChar w:fldCharType="end"/>
        </w:r>
      </w:hyperlink>
    </w:p>
    <w:p w14:paraId="663FF87E" w14:textId="4FA0ADB2" w:rsidR="00F6585C" w:rsidRDefault="00F6585C">
      <w:pPr>
        <w:pStyle w:val="TOC2"/>
        <w:rPr>
          <w:rFonts w:asciiTheme="minorHAnsi" w:eastAsiaTheme="minorEastAsia" w:hAnsiTheme="minorHAnsi" w:cstheme="minorBidi"/>
          <w:noProof/>
          <w:kern w:val="2"/>
          <w:lang w:eastAsia="en-AU"/>
          <w14:ligatures w14:val="standardContextual"/>
        </w:rPr>
      </w:pPr>
      <w:hyperlink w:anchor="_Toc232081629" w:history="1">
        <w:r w:rsidRPr="003A081D">
          <w:rPr>
            <w:rStyle w:val="Hyperlink"/>
            <w:noProof/>
          </w:rPr>
          <w:t>4.4</w:t>
        </w:r>
        <w:r>
          <w:rPr>
            <w:rFonts w:asciiTheme="minorHAnsi" w:eastAsiaTheme="minorEastAsia" w:hAnsiTheme="minorHAnsi" w:cstheme="minorBidi"/>
            <w:noProof/>
            <w:kern w:val="2"/>
            <w:lang w:eastAsia="en-AU"/>
            <w14:ligatures w14:val="standardContextual"/>
          </w:rPr>
          <w:tab/>
        </w:r>
        <w:r w:rsidRPr="003A081D">
          <w:rPr>
            <w:rStyle w:val="Hyperlink"/>
            <w:noProof/>
          </w:rPr>
          <w:t>Related legislation</w:t>
        </w:r>
        <w:r>
          <w:rPr>
            <w:noProof/>
            <w:webHidden/>
          </w:rPr>
          <w:tab/>
        </w:r>
        <w:r>
          <w:rPr>
            <w:noProof/>
            <w:webHidden/>
          </w:rPr>
          <w:fldChar w:fldCharType="begin"/>
        </w:r>
        <w:r>
          <w:rPr>
            <w:noProof/>
            <w:webHidden/>
          </w:rPr>
          <w:instrText xml:space="preserve"> PAGEREF _Toc232081629 \h </w:instrText>
        </w:r>
        <w:r>
          <w:rPr>
            <w:noProof/>
            <w:webHidden/>
          </w:rPr>
        </w:r>
        <w:r>
          <w:rPr>
            <w:noProof/>
            <w:webHidden/>
          </w:rPr>
          <w:fldChar w:fldCharType="separate"/>
        </w:r>
        <w:r>
          <w:rPr>
            <w:noProof/>
            <w:webHidden/>
          </w:rPr>
          <w:t>6</w:t>
        </w:r>
        <w:r>
          <w:rPr>
            <w:noProof/>
            <w:webHidden/>
          </w:rPr>
          <w:fldChar w:fldCharType="end"/>
        </w:r>
      </w:hyperlink>
    </w:p>
    <w:p w14:paraId="3F2CD509" w14:textId="0F90FA68" w:rsidR="00F6585C" w:rsidRDefault="00F6585C">
      <w:pPr>
        <w:pStyle w:val="TOC1"/>
        <w:rPr>
          <w:rFonts w:asciiTheme="minorHAnsi" w:eastAsiaTheme="minorEastAsia" w:hAnsiTheme="minorHAnsi" w:cstheme="minorBidi"/>
          <w:noProof/>
          <w:kern w:val="2"/>
          <w:lang w:eastAsia="en-AU"/>
          <w14:ligatures w14:val="standardContextual"/>
        </w:rPr>
      </w:pPr>
      <w:hyperlink w:anchor="_Toc232081630" w:history="1">
        <w:r w:rsidRPr="003A081D">
          <w:rPr>
            <w:rStyle w:val="Hyperlink"/>
            <w:noProof/>
          </w:rPr>
          <w:t>5</w:t>
        </w:r>
        <w:r>
          <w:rPr>
            <w:rFonts w:asciiTheme="minorHAnsi" w:eastAsiaTheme="minorEastAsia" w:hAnsiTheme="minorHAnsi" w:cstheme="minorBidi"/>
            <w:noProof/>
            <w:kern w:val="2"/>
            <w:lang w:eastAsia="en-AU"/>
            <w14:ligatures w14:val="standardContextual"/>
          </w:rPr>
          <w:tab/>
        </w:r>
        <w:r w:rsidRPr="003A081D">
          <w:rPr>
            <w:rStyle w:val="Hyperlink"/>
            <w:noProof/>
          </w:rPr>
          <w:t>Assurance</w:t>
        </w:r>
        <w:r>
          <w:rPr>
            <w:noProof/>
            <w:webHidden/>
          </w:rPr>
          <w:tab/>
        </w:r>
        <w:r>
          <w:rPr>
            <w:noProof/>
            <w:webHidden/>
          </w:rPr>
          <w:fldChar w:fldCharType="begin"/>
        </w:r>
        <w:r>
          <w:rPr>
            <w:noProof/>
            <w:webHidden/>
          </w:rPr>
          <w:instrText xml:space="preserve"> PAGEREF _Toc232081630 \h </w:instrText>
        </w:r>
        <w:r>
          <w:rPr>
            <w:noProof/>
            <w:webHidden/>
          </w:rPr>
        </w:r>
        <w:r>
          <w:rPr>
            <w:noProof/>
            <w:webHidden/>
          </w:rPr>
          <w:fldChar w:fldCharType="separate"/>
        </w:r>
        <w:r>
          <w:rPr>
            <w:noProof/>
            <w:webHidden/>
          </w:rPr>
          <w:t>6</w:t>
        </w:r>
        <w:r>
          <w:rPr>
            <w:noProof/>
            <w:webHidden/>
          </w:rPr>
          <w:fldChar w:fldCharType="end"/>
        </w:r>
      </w:hyperlink>
    </w:p>
    <w:p w14:paraId="35F59D40" w14:textId="710388D7" w:rsidR="00F6585C" w:rsidRDefault="00F6585C">
      <w:pPr>
        <w:pStyle w:val="TOC1"/>
        <w:rPr>
          <w:rFonts w:asciiTheme="minorHAnsi" w:eastAsiaTheme="minorEastAsia" w:hAnsiTheme="minorHAnsi" w:cstheme="minorBidi"/>
          <w:noProof/>
          <w:kern w:val="2"/>
          <w:lang w:eastAsia="en-AU"/>
          <w14:ligatures w14:val="standardContextual"/>
        </w:rPr>
      </w:pPr>
      <w:hyperlink w:anchor="_Toc232081631" w:history="1">
        <w:r w:rsidRPr="003A081D">
          <w:rPr>
            <w:rStyle w:val="Hyperlink"/>
            <w:noProof/>
          </w:rPr>
          <w:t>6</w:t>
        </w:r>
        <w:r>
          <w:rPr>
            <w:rFonts w:asciiTheme="minorHAnsi" w:eastAsiaTheme="minorEastAsia" w:hAnsiTheme="minorHAnsi" w:cstheme="minorBidi"/>
            <w:noProof/>
            <w:kern w:val="2"/>
            <w:lang w:eastAsia="en-AU"/>
            <w14:ligatures w14:val="standardContextual"/>
          </w:rPr>
          <w:tab/>
        </w:r>
        <w:r w:rsidRPr="003A081D">
          <w:rPr>
            <w:rStyle w:val="Hyperlink"/>
            <w:noProof/>
          </w:rPr>
          <w:t>Document Version History</w:t>
        </w:r>
        <w:r>
          <w:rPr>
            <w:noProof/>
            <w:webHidden/>
          </w:rPr>
          <w:tab/>
        </w:r>
        <w:r>
          <w:rPr>
            <w:noProof/>
            <w:webHidden/>
          </w:rPr>
          <w:fldChar w:fldCharType="begin"/>
        </w:r>
        <w:r>
          <w:rPr>
            <w:noProof/>
            <w:webHidden/>
          </w:rPr>
          <w:instrText xml:space="preserve"> PAGEREF _Toc232081631 \h </w:instrText>
        </w:r>
        <w:r>
          <w:rPr>
            <w:noProof/>
            <w:webHidden/>
          </w:rPr>
        </w:r>
        <w:r>
          <w:rPr>
            <w:noProof/>
            <w:webHidden/>
          </w:rPr>
          <w:fldChar w:fldCharType="separate"/>
        </w:r>
        <w:r>
          <w:rPr>
            <w:noProof/>
            <w:webHidden/>
          </w:rPr>
          <w:t>8</w:t>
        </w:r>
        <w:r>
          <w:rPr>
            <w:noProof/>
            <w:webHidden/>
          </w:rPr>
          <w:fldChar w:fldCharType="end"/>
        </w:r>
      </w:hyperlink>
    </w:p>
    <w:p w14:paraId="04E25D0C" w14:textId="2A9E7811" w:rsidR="00634C54" w:rsidRDefault="006551E7" w:rsidP="004E571B">
      <w:r>
        <w:fldChar w:fldCharType="end"/>
      </w:r>
    </w:p>
    <w:p w14:paraId="7B185160" w14:textId="706912A3" w:rsidR="00634C54" w:rsidRDefault="00634C54">
      <w:r>
        <w:br w:type="page"/>
      </w:r>
    </w:p>
    <w:p w14:paraId="6EF6BCAB" w14:textId="77777777" w:rsidR="00C8272F" w:rsidRPr="006444FB" w:rsidRDefault="00C8272F" w:rsidP="00DD3226">
      <w:pPr>
        <w:pStyle w:val="Heading1"/>
        <w:spacing w:before="360" w:after="240"/>
      </w:pPr>
      <w:bookmarkStart w:id="0" w:name="_Toc232081622"/>
      <w:r>
        <w:lastRenderedPageBreak/>
        <w:t>Scope</w:t>
      </w:r>
      <w:bookmarkEnd w:id="0"/>
    </w:p>
    <w:p w14:paraId="15CCFF9B" w14:textId="2FD987A5" w:rsidR="002128F1" w:rsidRPr="00DD3FE2" w:rsidRDefault="003E7C04" w:rsidP="00DD3226">
      <w:pPr>
        <w:spacing w:before="360" w:after="240"/>
      </w:pPr>
      <w:r w:rsidRPr="00DD3FE2">
        <w:t>This Commi</w:t>
      </w:r>
      <w:r w:rsidR="00970D94">
        <w:t>ss</w:t>
      </w:r>
      <w:r w:rsidRPr="00DD3FE2">
        <w:t xml:space="preserve">ioner’s Operating Policy and Procedure (COPP) applies to all </w:t>
      </w:r>
      <w:r w:rsidR="00FF1083">
        <w:t xml:space="preserve">Youth </w:t>
      </w:r>
      <w:r w:rsidRPr="00DD3FE2">
        <w:t xml:space="preserve">Detention Centre </w:t>
      </w:r>
      <w:r w:rsidR="009C6A86">
        <w:t xml:space="preserve">(YDC) </w:t>
      </w:r>
      <w:r w:rsidRPr="00DD3FE2">
        <w:t>Custodial Officers and staff.</w:t>
      </w:r>
    </w:p>
    <w:p w14:paraId="1E17E708" w14:textId="7B841FCA" w:rsidR="00EC5AF1" w:rsidRDefault="00EC5AF1" w:rsidP="00DD3226">
      <w:pPr>
        <w:pStyle w:val="Heading1"/>
        <w:spacing w:before="360" w:after="240"/>
      </w:pPr>
      <w:bookmarkStart w:id="1" w:name="_Toc232081623"/>
      <w:r>
        <w:t>Policy</w:t>
      </w:r>
      <w:bookmarkEnd w:id="1"/>
      <w:r>
        <w:t xml:space="preserve"> </w:t>
      </w:r>
    </w:p>
    <w:p w14:paraId="3BB7930D" w14:textId="25EC5706" w:rsidR="00AB5995" w:rsidRPr="00C23238" w:rsidRDefault="003E7C04" w:rsidP="00AB5995">
      <w:pPr>
        <w:spacing w:before="360" w:after="240"/>
      </w:pPr>
      <w:r w:rsidRPr="006076C3">
        <w:t>The Department</w:t>
      </w:r>
      <w:r w:rsidR="00CC32C2">
        <w:t xml:space="preserve"> of Justice (the Department)</w:t>
      </w:r>
      <w:r w:rsidRPr="006076C3">
        <w:t xml:space="preserve"> is committed to the early identification </w:t>
      </w:r>
      <w:r w:rsidRPr="00F6585C">
        <w:t xml:space="preserve">and management of </w:t>
      </w:r>
      <w:r w:rsidR="00C31022" w:rsidRPr="00F6585C">
        <w:t xml:space="preserve"> </w:t>
      </w:r>
      <w:r w:rsidR="004D154A" w:rsidRPr="00F6585C">
        <w:t>young peo</w:t>
      </w:r>
      <w:r w:rsidR="00C31022" w:rsidRPr="00F6585C">
        <w:t>ple</w:t>
      </w:r>
      <w:r w:rsidRPr="00F6585C">
        <w:t xml:space="preserve"> in custody presenting either at</w:t>
      </w:r>
      <w:r w:rsidR="00970D94" w:rsidRPr="00F6585C">
        <w:t xml:space="preserve"> </w:t>
      </w:r>
      <w:r w:rsidRPr="00F6585C">
        <w:t>risk to self, or as</w:t>
      </w:r>
      <w:r>
        <w:t xml:space="preserve"> </w:t>
      </w:r>
      <w:r w:rsidRPr="00C23238">
        <w:t>requiring multi-disciplinary intervention and a</w:t>
      </w:r>
      <w:r w:rsidR="00970D94" w:rsidRPr="00C23238">
        <w:t>dd</w:t>
      </w:r>
      <w:r w:rsidRPr="00C23238">
        <w:t>itional support and monitoring.</w:t>
      </w:r>
    </w:p>
    <w:p w14:paraId="20B7AA2B" w14:textId="77777777" w:rsidR="00395040" w:rsidRPr="00C23238" w:rsidRDefault="00AB5995" w:rsidP="00AB5995">
      <w:pPr>
        <w:spacing w:before="360" w:after="240"/>
      </w:pPr>
      <w:r w:rsidRPr="00C23238">
        <w:t>Young people in detention have complex needs and require a high level of care. They often present to detention with histories of trauma as a result of abuse and or disadvantage</w:t>
      </w:r>
      <w:r w:rsidR="00395040" w:rsidRPr="00C23238">
        <w:t>.</w:t>
      </w:r>
      <w:r w:rsidRPr="00C23238">
        <w:t xml:space="preserve"> </w:t>
      </w:r>
      <w:r w:rsidR="00395040" w:rsidRPr="00C23238">
        <w:t>T</w:t>
      </w:r>
      <w:r w:rsidRPr="00C23238">
        <w:t>hey are more likely to report difficulties with substance use</w:t>
      </w:r>
      <w:r w:rsidRPr="00C23238">
        <w:rPr>
          <w:vertAlign w:val="superscript"/>
        </w:rPr>
        <w:t xml:space="preserve"> </w:t>
      </w:r>
      <w:r w:rsidRPr="00C23238">
        <w:t xml:space="preserve">and are more likely to have history of and or current non-suicidal self-injury or suicidal behaviour. </w:t>
      </w:r>
    </w:p>
    <w:p w14:paraId="1032D204" w14:textId="77777777" w:rsidR="00395040" w:rsidRDefault="00AB5995" w:rsidP="00395040">
      <w:pPr>
        <w:spacing w:before="120" w:after="240"/>
      </w:pPr>
      <w:r w:rsidRPr="00C23238">
        <w:t xml:space="preserve">There is also higher incidence of intellectual disability, mental illness and acquired brain injury in comparison to the general adolescent population. These pre-existing vulnerabilities combined with the stress of custody can create a situation where a young person experiences significant difficulties coping or managing within the detention environment. </w:t>
      </w:r>
    </w:p>
    <w:p w14:paraId="4CC09E15" w14:textId="77777777" w:rsidR="00A4675C" w:rsidRPr="000D50F8" w:rsidRDefault="00A4675C" w:rsidP="00A4675C">
      <w:r w:rsidRPr="000D50F8">
        <w:t>Suicide is a significant population health issue in Australia, but suicide disproportionately affects Aboriginal and Torres Strait Islander peoples, although they comprise only 3% of the population. Young Aboriginal and Torres Strait Islander people are at even greater risk of suicide and NSSI, and they are overrepresented within the Western Australian youth custodial estate. This very high-risk group of young people makes up approximately 70% of the population in custody at any time.  </w:t>
      </w:r>
    </w:p>
    <w:p w14:paraId="147D5AFB" w14:textId="77777777" w:rsidR="00A4675C" w:rsidRDefault="00A4675C" w:rsidP="00A4675C"/>
    <w:p w14:paraId="2818105F" w14:textId="5E27A0DD" w:rsidR="00A4675C" w:rsidRDefault="00A4675C" w:rsidP="00A4675C">
      <w:r w:rsidRPr="000D50F8">
        <w:t>Preventing suicide and NSSI for Aboriginal and Torres Strait Islander young people requires understanding the devastating, lasting and ongoing impacts of colonisation on First Nations communities, families and cultures, all of which are fundamental to the Social and Emotional Wellbeing (SEWB) of Aboriginal and Torres Strait Islander people. </w:t>
      </w:r>
      <w:r>
        <w:t xml:space="preserve">More information on SEWB and it’s applicability to suicide prevention in custody can be found in the </w:t>
      </w:r>
      <w:hyperlink r:id="rId17" w:history="1">
        <w:r w:rsidR="00F6585C" w:rsidRPr="00067E5B">
          <w:rPr>
            <w:rStyle w:val="Hyperlink"/>
          </w:rPr>
          <w:t>ARMS Manual – Youth Version</w:t>
        </w:r>
      </w:hyperlink>
      <w:r>
        <w:t>.</w:t>
      </w:r>
    </w:p>
    <w:p w14:paraId="3E38E766" w14:textId="77777777" w:rsidR="00A4675C" w:rsidRDefault="00A4675C" w:rsidP="00A4675C"/>
    <w:p w14:paraId="72900E79" w14:textId="0553DBCE" w:rsidR="00AB5995" w:rsidRDefault="00AB5995" w:rsidP="00395040">
      <w:pPr>
        <w:spacing w:before="120" w:after="240"/>
      </w:pPr>
      <w:r w:rsidRPr="00C23238">
        <w:t>Young people held in custody under the Criminal Law (</w:t>
      </w:r>
      <w:r w:rsidRPr="00C23238">
        <w:rPr>
          <w:i/>
        </w:rPr>
        <w:t>Mental Impairment) Act 2023</w:t>
      </w:r>
      <w:r w:rsidRPr="00C23238">
        <w:rPr>
          <w:rStyle w:val="FootnoteReference"/>
          <w:i/>
        </w:rPr>
        <w:footnoteReference w:id="1"/>
      </w:r>
      <w:r w:rsidR="00320BCD">
        <w:rPr>
          <w:iCs/>
        </w:rPr>
        <w:t xml:space="preserve"> </w:t>
      </w:r>
      <w:r w:rsidRPr="00D95AC1">
        <w:rPr>
          <w:iCs/>
        </w:rPr>
        <w:t xml:space="preserve">refer to </w:t>
      </w:r>
      <w:hyperlink r:id="rId18" w:history="1">
        <w:r w:rsidRPr="00D95AC1">
          <w:rPr>
            <w:rStyle w:val="Hyperlink"/>
            <w:iCs/>
            <w:u w:val="none"/>
          </w:rPr>
          <w:t>COPP 7.7 – Criminal Law (Mental Impairment)</w:t>
        </w:r>
        <w:r w:rsidR="00AD1BB8" w:rsidRPr="00D95AC1">
          <w:rPr>
            <w:rStyle w:val="Hyperlink"/>
            <w:iCs/>
            <w:u w:val="none"/>
          </w:rPr>
          <w:t xml:space="preserve"> Detainees</w:t>
        </w:r>
      </w:hyperlink>
      <w:r w:rsidRPr="00D95AC1">
        <w:rPr>
          <w:iCs/>
        </w:rPr>
        <w:t xml:space="preserve"> may be a particularly vulnerable cohort.</w:t>
      </w:r>
    </w:p>
    <w:p w14:paraId="12995E81" w14:textId="6FA179BA" w:rsidR="003E7C04" w:rsidRDefault="003E7C04" w:rsidP="00AB5995">
      <w:pPr>
        <w:spacing w:before="360" w:after="240"/>
      </w:pPr>
      <w:r w:rsidRPr="00A732E9">
        <w:t>The Department’s strategies aim to pr</w:t>
      </w:r>
      <w:r w:rsidR="00AB5995">
        <w:t>o</w:t>
      </w:r>
      <w:r w:rsidRPr="00A732E9">
        <w:t xml:space="preserve">vide continuity of care and consistency in terms </w:t>
      </w:r>
      <w:r w:rsidRPr="00D86B37">
        <w:t xml:space="preserve">of the identification and management of </w:t>
      </w:r>
      <w:r w:rsidR="004D154A" w:rsidRPr="00D86B37">
        <w:t>young pe</w:t>
      </w:r>
      <w:r w:rsidR="00C31022" w:rsidRPr="00D86B37">
        <w:t>ople</w:t>
      </w:r>
      <w:r w:rsidRPr="00D86B37">
        <w:t xml:space="preserve"> requiring a</w:t>
      </w:r>
      <w:r w:rsidR="00970D94" w:rsidRPr="00D86B37">
        <w:t>dd</w:t>
      </w:r>
      <w:r w:rsidRPr="00D86B37">
        <w:t>itional support and</w:t>
      </w:r>
      <w:r w:rsidRPr="00A732E9">
        <w:t xml:space="preserve"> monitoring whilst in custody. </w:t>
      </w:r>
      <w:r>
        <w:t>The key elements of the Department’s policy pertain to primary, secondary and tertiary prevention strategies.</w:t>
      </w:r>
    </w:p>
    <w:p w14:paraId="20CB2487" w14:textId="77777777" w:rsidR="003E7C04" w:rsidRDefault="003E7C04" w:rsidP="00C56EBD"/>
    <w:p w14:paraId="2C450238" w14:textId="4CDEB923" w:rsidR="003E7C04" w:rsidRPr="00D86B37" w:rsidRDefault="003E7C04" w:rsidP="00C56EBD">
      <w:r w:rsidRPr="00D86B37">
        <w:lastRenderedPageBreak/>
        <w:t>Primary prevention strategies include those that are aimed at creating a physical and social environment that limits stre</w:t>
      </w:r>
      <w:r w:rsidR="00970D94" w:rsidRPr="00D86B37">
        <w:t>ss</w:t>
      </w:r>
      <w:r w:rsidRPr="00D86B37">
        <w:t xml:space="preserve"> on </w:t>
      </w:r>
      <w:r w:rsidR="00320BCD" w:rsidRPr="00D86B37">
        <w:t>a</w:t>
      </w:r>
      <w:r w:rsidR="00C31022" w:rsidRPr="00D86B37">
        <w:t xml:space="preserve"> </w:t>
      </w:r>
      <w:r w:rsidR="004D154A" w:rsidRPr="00D86B37">
        <w:t>young person</w:t>
      </w:r>
      <w:r w:rsidRPr="00D86B37">
        <w:t xml:space="preserve">. Primary prevention strategies in place at </w:t>
      </w:r>
      <w:r w:rsidR="00C01C48" w:rsidRPr="00D86B37">
        <w:t xml:space="preserve">the YDC </w:t>
      </w:r>
      <w:r w:rsidRPr="00D86B37">
        <w:t>include a comprehensive orientation proce</w:t>
      </w:r>
      <w:r w:rsidR="00970D94" w:rsidRPr="00D86B37">
        <w:t>ss</w:t>
      </w:r>
      <w:r w:rsidRPr="00D86B37">
        <w:t xml:space="preserve"> for </w:t>
      </w:r>
      <w:r w:rsidR="00C31022" w:rsidRPr="00D86B37">
        <w:t>a young person</w:t>
      </w:r>
      <w:r w:rsidRPr="00D86B37">
        <w:t>, placement considerations, anti-bullying policies, a structured day and encouragement to engage in recreation and daily programs. Staff actively engaging with young people with the aim of building positive relationships is considered a critical element of primary prevention. Primary prevention strategies also incorporate staff training, including mandatory Gatekeeper Suicide Prevention Training.</w:t>
      </w:r>
    </w:p>
    <w:p w14:paraId="6E72FA81" w14:textId="77777777" w:rsidR="003E7C04" w:rsidRPr="00D86B37" w:rsidRDefault="003E7C04" w:rsidP="00C56EBD"/>
    <w:p w14:paraId="4C0110BD" w14:textId="355DC96B" w:rsidR="003E7C04" w:rsidRDefault="003E7C04" w:rsidP="00C56EBD">
      <w:r w:rsidRPr="00D86B37">
        <w:t xml:space="preserve">Secondary prevention strategies are those that are designed to provide support to </w:t>
      </w:r>
      <w:r w:rsidR="00C31022" w:rsidRPr="00D86B37">
        <w:t xml:space="preserve">young people </w:t>
      </w:r>
      <w:r w:rsidRPr="00D86B37">
        <w:t xml:space="preserve">who are at statistically higher risk of suicide or </w:t>
      </w:r>
      <w:r w:rsidR="00970D94" w:rsidRPr="00D86B37">
        <w:t>s</w:t>
      </w:r>
      <w:r w:rsidRPr="00D86B37">
        <w:t xml:space="preserve">elf-harm. Secondary prevention strategies in place include the inclusion of </w:t>
      </w:r>
      <w:r w:rsidR="00970D94" w:rsidRPr="00D86B37">
        <w:t>s</w:t>
      </w:r>
      <w:r w:rsidRPr="00D86B37">
        <w:t>elf-harm/suicide risk screening in the admi</w:t>
      </w:r>
      <w:r w:rsidR="00970D94" w:rsidRPr="00D86B37">
        <w:t>ss</w:t>
      </w:r>
      <w:r w:rsidRPr="00D86B37">
        <w:t>ion proce</w:t>
      </w:r>
      <w:r w:rsidR="00970D94" w:rsidRPr="00D86B37">
        <w:t>ss</w:t>
      </w:r>
      <w:r w:rsidRPr="00D86B37">
        <w:t>, automatic referrals for first admi</w:t>
      </w:r>
      <w:r w:rsidR="00970D94" w:rsidRPr="00D86B37">
        <w:t>ss</w:t>
      </w:r>
      <w:r w:rsidRPr="00D86B37">
        <w:t>ions to Youth Justice</w:t>
      </w:r>
      <w:r>
        <w:t xml:space="preserve"> Psychological Services</w:t>
      </w:r>
      <w:r w:rsidR="00FC1426">
        <w:t xml:space="preserve"> (YJPS)</w:t>
      </w:r>
      <w:r>
        <w:t xml:space="preserve">, and the communication of risk-relevant information to all </w:t>
      </w:r>
      <w:r w:rsidR="00970D94">
        <w:t>s</w:t>
      </w:r>
      <w:r>
        <w:t>taff via forums, such as the Self-Harm history alert</w:t>
      </w:r>
      <w:r w:rsidR="00870964">
        <w:t xml:space="preserve"> and </w:t>
      </w:r>
      <w:r>
        <w:t>Disability flag</w:t>
      </w:r>
      <w:r w:rsidR="00870964">
        <w:t xml:space="preserve">. </w:t>
      </w:r>
    </w:p>
    <w:p w14:paraId="5FEBEF76" w14:textId="77777777" w:rsidR="003E7C04" w:rsidRDefault="003E7C04" w:rsidP="00C56EBD"/>
    <w:p w14:paraId="794E62AC" w14:textId="07DAC77C" w:rsidR="003E7C04" w:rsidRDefault="003E7C04" w:rsidP="00C56EBD">
      <w:r>
        <w:t xml:space="preserve">The </w:t>
      </w:r>
      <w:r w:rsidRPr="006D7D7F">
        <w:rPr>
          <w:b/>
        </w:rPr>
        <w:t>Support and Monitoring System (SAMS)</w:t>
      </w:r>
      <w:r>
        <w:t xml:space="preserve"> would be considered a secondary prevention strategy. SAMS provides a collaborative case management system for </w:t>
      </w:r>
      <w:r w:rsidR="00E11E6E">
        <w:t>detainees</w:t>
      </w:r>
      <w:r>
        <w:t xml:space="preserve"> who are considered vulnerable and in need of multi</w:t>
      </w:r>
      <w:r w:rsidR="00E11E6E">
        <w:t>-</w:t>
      </w:r>
      <w:r>
        <w:t xml:space="preserve">disciplinary support. This may include </w:t>
      </w:r>
      <w:r w:rsidR="00E11E6E">
        <w:t>detainees</w:t>
      </w:r>
      <w:r>
        <w:t xml:space="preserve"> considered at chronic risk of suicide or non-suicide self-injury, those with significant cognitive impairment or those experiencing acute mental health i</w:t>
      </w:r>
      <w:r w:rsidR="00970D94">
        <w:t>ss</w:t>
      </w:r>
      <w:r>
        <w:t>ues.</w:t>
      </w:r>
    </w:p>
    <w:p w14:paraId="4F2C5466" w14:textId="77777777" w:rsidR="003E7C04" w:rsidRDefault="003E7C04" w:rsidP="00C56EBD"/>
    <w:p w14:paraId="16C48032" w14:textId="662F86EC" w:rsidR="003E7C04" w:rsidRDefault="003E7C04" w:rsidP="00C56EBD">
      <w:r>
        <w:t xml:space="preserve">Tertiary prevention strategies are those that are aimed directly at </w:t>
      </w:r>
      <w:r w:rsidR="00970D94">
        <w:t>d</w:t>
      </w:r>
      <w:r>
        <w:t xml:space="preserve">etainees who are identified as </w:t>
      </w:r>
      <w:r w:rsidR="00970D94">
        <w:t>a</w:t>
      </w:r>
      <w:r>
        <w:t>t</w:t>
      </w:r>
      <w:r w:rsidR="00970D94">
        <w:t xml:space="preserve"> </w:t>
      </w:r>
      <w:r>
        <w:t xml:space="preserve">risk of </w:t>
      </w:r>
      <w:r w:rsidR="00970D94">
        <w:t>s</w:t>
      </w:r>
      <w:r>
        <w:t xml:space="preserve">elf-harm or suicide. Increased monitoring, the provision of psychological or mental health intervention, and/or placement in a safer environment are tertiary prevention strategies. To facilitate this, the Department has implemented the </w:t>
      </w:r>
      <w:r w:rsidRPr="004A135D">
        <w:rPr>
          <w:b/>
        </w:rPr>
        <w:t>At</w:t>
      </w:r>
      <w:r w:rsidR="00970D94">
        <w:rPr>
          <w:b/>
        </w:rPr>
        <w:t xml:space="preserve"> </w:t>
      </w:r>
      <w:r w:rsidRPr="004A135D">
        <w:rPr>
          <w:b/>
        </w:rPr>
        <w:t>Risk Management System (ARMS)</w:t>
      </w:r>
      <w:r>
        <w:t xml:space="preserve"> to provide a framework for suicide prevention, with clear procedures to a</w:t>
      </w:r>
      <w:r w:rsidR="00970D94">
        <w:t>ss</w:t>
      </w:r>
      <w:r>
        <w:t xml:space="preserve">ist </w:t>
      </w:r>
      <w:r w:rsidR="00970D94">
        <w:t>s</w:t>
      </w:r>
      <w:r>
        <w:t xml:space="preserve">taff in the identification and management of </w:t>
      </w:r>
      <w:r w:rsidR="00970D94">
        <w:t>d</w:t>
      </w:r>
      <w:r>
        <w:t>etainees at</w:t>
      </w:r>
      <w:r w:rsidR="00970D94">
        <w:t xml:space="preserve"> </w:t>
      </w:r>
      <w:r>
        <w:t>risk to self. ARMS incorporates various preventative strategies and requires a whole of centre approach.</w:t>
      </w:r>
    </w:p>
    <w:p w14:paraId="213CDA3F" w14:textId="77777777" w:rsidR="000D50F8" w:rsidRDefault="000D50F8" w:rsidP="00C56EBD"/>
    <w:p w14:paraId="010EA956" w14:textId="2B1FE1DF" w:rsidR="004946F8" w:rsidRDefault="004946F8">
      <w:r>
        <w:br w:type="page"/>
      </w:r>
    </w:p>
    <w:p w14:paraId="1606E970" w14:textId="77777777" w:rsidR="000755EE" w:rsidRPr="006444FB" w:rsidRDefault="008114B3" w:rsidP="00DD3226">
      <w:pPr>
        <w:pStyle w:val="Heading1"/>
        <w:spacing w:before="360" w:after="240"/>
      </w:pPr>
      <w:bookmarkStart w:id="2" w:name="_Toc232081624"/>
      <w:r>
        <w:lastRenderedPageBreak/>
        <w:t>Procedures</w:t>
      </w:r>
      <w:bookmarkEnd w:id="2"/>
    </w:p>
    <w:p w14:paraId="1A7C13AE" w14:textId="4BE83F5E" w:rsidR="003E7C04" w:rsidRPr="007B0D89" w:rsidRDefault="003E7C04" w:rsidP="00067E5B">
      <w:pPr>
        <w:pStyle w:val="Heading3"/>
        <w:rPr>
          <w:rStyle w:val="Hyperlink"/>
        </w:rPr>
      </w:pPr>
      <w:r w:rsidRPr="00067E5B">
        <w:rPr>
          <w:color w:val="auto"/>
        </w:rPr>
        <w:t xml:space="preserve">Guidelines, procedures and the role and responsibilities of </w:t>
      </w:r>
      <w:r w:rsidR="00970D94" w:rsidRPr="00067E5B">
        <w:rPr>
          <w:color w:val="auto"/>
        </w:rPr>
        <w:t>s</w:t>
      </w:r>
      <w:r w:rsidRPr="00067E5B">
        <w:rPr>
          <w:color w:val="auto"/>
        </w:rPr>
        <w:t xml:space="preserve">taff are outlined in the respective </w:t>
      </w:r>
      <w:bookmarkStart w:id="3" w:name="_Hlk232081577"/>
      <w:r>
        <w:fldChar w:fldCharType="begin"/>
      </w:r>
      <w:r w:rsidR="007B0D89">
        <w:instrText>HYPERLINK "https://dojwa.sharepoint.com/sites/intranet/prison-operations/Pages/arms-sams-youth.aspx"</w:instrText>
      </w:r>
      <w:r>
        <w:fldChar w:fldCharType="separate"/>
      </w:r>
      <w:r w:rsidRPr="00067E5B">
        <w:rPr>
          <w:rStyle w:val="Hyperlink"/>
        </w:rPr>
        <w:t>ARMS Manual – Youth Version</w:t>
      </w:r>
      <w:r>
        <w:fldChar w:fldCharType="end"/>
      </w:r>
      <w:bookmarkEnd w:id="3"/>
      <w:r w:rsidRPr="00067E5B">
        <w:rPr>
          <w:color w:val="auto"/>
        </w:rPr>
        <w:t xml:space="preserve"> and </w:t>
      </w:r>
      <w:r w:rsidR="007B0D89">
        <w:fldChar w:fldCharType="begin"/>
      </w:r>
      <w:r w:rsidR="007B0D89">
        <w:instrText>HYPERLINK "https://dojwa.sharepoint.com/sites/intranet/prison-operations/Pages/arms-sams-youth.aspx"</w:instrText>
      </w:r>
      <w:r w:rsidR="007B0D89">
        <w:fldChar w:fldCharType="separate"/>
      </w:r>
      <w:r w:rsidRPr="007B0D89">
        <w:rPr>
          <w:rStyle w:val="Hyperlink"/>
        </w:rPr>
        <w:t xml:space="preserve">SAMS Manual – Youth Version.  </w:t>
      </w:r>
    </w:p>
    <w:p w14:paraId="250BB6E8" w14:textId="24976AF3" w:rsidR="003E7C04" w:rsidRPr="00CD6FF4" w:rsidRDefault="007B0D89" w:rsidP="00CD6FF4">
      <w:pPr>
        <w:pStyle w:val="Heading3"/>
      </w:pPr>
      <w:r>
        <w:fldChar w:fldCharType="end"/>
      </w:r>
      <w:r w:rsidR="003E7C04" w:rsidRPr="00CD6FF4">
        <w:t xml:space="preserve">All </w:t>
      </w:r>
      <w:r w:rsidR="00970D94">
        <w:t>s</w:t>
      </w:r>
      <w:r w:rsidR="003E7C04" w:rsidRPr="00CD6FF4">
        <w:t>taff are expected to be familiar with and adhere to the requirements outlined in each of these manuals.</w:t>
      </w:r>
    </w:p>
    <w:p w14:paraId="5A7E35AD" w14:textId="3802C79A" w:rsidR="003E7C04" w:rsidRPr="003D708E" w:rsidRDefault="003D708E" w:rsidP="002128F1">
      <w:pPr>
        <w:pStyle w:val="Heading1"/>
        <w:spacing w:before="200"/>
      </w:pPr>
      <w:bookmarkStart w:id="4" w:name="_Toc232081625"/>
      <w:r>
        <w:t>Annexures</w:t>
      </w:r>
      <w:bookmarkEnd w:id="4"/>
    </w:p>
    <w:p w14:paraId="0203BDAB" w14:textId="77777777" w:rsidR="00F527AD" w:rsidRPr="00141DE8" w:rsidRDefault="003D708E" w:rsidP="002128F1">
      <w:pPr>
        <w:pStyle w:val="Heading2"/>
        <w:spacing w:before="200"/>
      </w:pPr>
      <w:bookmarkStart w:id="5" w:name="_Toc232081626"/>
      <w:r w:rsidRPr="00141DE8">
        <w:t>Related</w:t>
      </w:r>
      <w:r w:rsidR="00F527AD" w:rsidRPr="00141DE8">
        <w:t xml:space="preserve"> COPPs</w:t>
      </w:r>
      <w:bookmarkEnd w:id="5"/>
    </w:p>
    <w:p w14:paraId="7A5A5027" w14:textId="0040D041" w:rsidR="00F527AD" w:rsidRPr="00141DE8" w:rsidRDefault="00F527AD" w:rsidP="00870964">
      <w:pPr>
        <w:pStyle w:val="ListBullet"/>
      </w:pPr>
      <w:hyperlink r:id="rId19" w:history="1">
        <w:r w:rsidRPr="00141DE8">
          <w:rPr>
            <w:rStyle w:val="Hyperlink"/>
          </w:rPr>
          <w:t>COPP 7.7 Criminal Law (Mental Impairment) Detainees</w:t>
        </w:r>
      </w:hyperlink>
      <w:r w:rsidR="003D708E" w:rsidRPr="00141DE8">
        <w:t xml:space="preserve"> </w:t>
      </w:r>
    </w:p>
    <w:p w14:paraId="5A6BE921" w14:textId="1B87FA4B" w:rsidR="00AA4B67" w:rsidRPr="00141DE8" w:rsidRDefault="00320BCD" w:rsidP="002128F1">
      <w:pPr>
        <w:pStyle w:val="Heading2"/>
        <w:spacing w:before="200"/>
      </w:pPr>
      <w:bookmarkStart w:id="6" w:name="_Toc232081627"/>
      <w:r w:rsidRPr="00141DE8">
        <w:t xml:space="preserve">Related </w:t>
      </w:r>
      <w:r w:rsidR="003D708E" w:rsidRPr="00141DE8">
        <w:t>documents</w:t>
      </w:r>
      <w:bookmarkEnd w:id="6"/>
    </w:p>
    <w:p w14:paraId="1689DAEC" w14:textId="4AA31DA6" w:rsidR="00AA4B67" w:rsidRPr="00141DE8" w:rsidRDefault="00F527AD" w:rsidP="00F527AD">
      <w:pPr>
        <w:pStyle w:val="ListBullet"/>
        <w:rPr>
          <w:rStyle w:val="Hyperlink"/>
          <w:color w:val="auto"/>
        </w:rPr>
      </w:pPr>
      <w:r w:rsidRPr="00141DE8">
        <w:fldChar w:fldCharType="begin"/>
      </w:r>
      <w:r w:rsidRPr="00141DE8">
        <w:instrText>HYPERLINK "https://dojwa.sharepoint.com/sites/intranet/prison-operations/Pages/arms-sams-youth.aspx"</w:instrText>
      </w:r>
      <w:r w:rsidRPr="00141DE8">
        <w:fldChar w:fldCharType="separate"/>
      </w:r>
      <w:r w:rsidR="00AA4B67" w:rsidRPr="00141DE8">
        <w:rPr>
          <w:rStyle w:val="Hyperlink"/>
          <w:color w:val="auto"/>
        </w:rPr>
        <w:t>At Risk Management System</w:t>
      </w:r>
      <w:r w:rsidRPr="00141DE8">
        <w:rPr>
          <w:rStyle w:val="Hyperlink"/>
          <w:color w:val="auto"/>
        </w:rPr>
        <w:t xml:space="preserve"> </w:t>
      </w:r>
      <w:r w:rsidR="00AA4B67" w:rsidRPr="00141DE8">
        <w:rPr>
          <w:rStyle w:val="Hyperlink"/>
          <w:color w:val="auto"/>
        </w:rPr>
        <w:t>(ARMS)</w:t>
      </w:r>
      <w:r w:rsidRPr="00141DE8">
        <w:rPr>
          <w:rStyle w:val="Hyperlink"/>
          <w:color w:val="auto"/>
        </w:rPr>
        <w:t xml:space="preserve"> </w:t>
      </w:r>
      <w:r w:rsidR="00AA4B67" w:rsidRPr="00141DE8">
        <w:rPr>
          <w:rStyle w:val="Hyperlink"/>
          <w:color w:val="auto"/>
        </w:rPr>
        <w:t>Youth Version</w:t>
      </w:r>
      <w:r w:rsidRPr="00141DE8">
        <w:rPr>
          <w:rStyle w:val="Hyperlink"/>
          <w:color w:val="auto"/>
        </w:rPr>
        <w:t xml:space="preserve"> Manual </w:t>
      </w:r>
    </w:p>
    <w:p w14:paraId="41A04B74" w14:textId="08F09631" w:rsidR="00AA4B67" w:rsidRPr="00141DE8" w:rsidRDefault="00F527AD" w:rsidP="00F527AD">
      <w:pPr>
        <w:pStyle w:val="ListBullet"/>
      </w:pPr>
      <w:r w:rsidRPr="00141DE8">
        <w:rPr>
          <w:rFonts w:eastAsia="MS Mincho"/>
          <w:szCs w:val="24"/>
        </w:rPr>
        <w:fldChar w:fldCharType="end"/>
      </w:r>
      <w:hyperlink r:id="rId20" w:history="1">
        <w:r w:rsidRPr="00141DE8">
          <w:rPr>
            <w:rStyle w:val="Hyperlink"/>
          </w:rPr>
          <w:t>Support and Monitoring System (SAMS) Youth Version Manual</w:t>
        </w:r>
      </w:hyperlink>
      <w:r w:rsidRPr="00141DE8">
        <w:t xml:space="preserve"> </w:t>
      </w:r>
    </w:p>
    <w:p w14:paraId="756D7CDE" w14:textId="4AA5F725" w:rsidR="0018035C" w:rsidRPr="00141DE8" w:rsidRDefault="0018035C" w:rsidP="0018035C">
      <w:pPr>
        <w:pStyle w:val="Heading2"/>
      </w:pPr>
      <w:bookmarkStart w:id="7" w:name="_Toc229486454"/>
      <w:bookmarkStart w:id="8" w:name="_Toc229486455"/>
      <w:bookmarkStart w:id="9" w:name="_Toc229486456"/>
      <w:bookmarkStart w:id="10" w:name="_Toc229486457"/>
      <w:bookmarkStart w:id="11" w:name="_Toc229486458"/>
      <w:bookmarkStart w:id="12" w:name="_Toc229486459"/>
      <w:bookmarkStart w:id="13" w:name="_Toc229486460"/>
      <w:bookmarkStart w:id="14" w:name="_Toc229486461"/>
      <w:bookmarkStart w:id="15" w:name="_Toc232081628"/>
      <w:bookmarkEnd w:id="7"/>
      <w:bookmarkEnd w:id="8"/>
      <w:bookmarkEnd w:id="9"/>
      <w:bookmarkEnd w:id="10"/>
      <w:bookmarkEnd w:id="11"/>
      <w:bookmarkEnd w:id="12"/>
      <w:bookmarkEnd w:id="13"/>
      <w:bookmarkEnd w:id="14"/>
      <w:r w:rsidRPr="00141DE8">
        <w:t>Definitions</w:t>
      </w:r>
      <w:bookmarkEnd w:id="15"/>
      <w:r w:rsidRPr="00141DE8">
        <w:t xml:space="preserve"> </w:t>
      </w:r>
    </w:p>
    <w:tbl>
      <w:tblPr>
        <w:tblStyle w:val="DCStable"/>
        <w:tblW w:w="0" w:type="auto"/>
        <w:tblCellMar>
          <w:top w:w="57" w:type="dxa"/>
          <w:left w:w="85" w:type="dxa"/>
          <w:bottom w:w="57" w:type="dxa"/>
          <w:right w:w="85" w:type="dxa"/>
        </w:tblCellMar>
        <w:tblLook w:val="04A0" w:firstRow="1" w:lastRow="0" w:firstColumn="1" w:lastColumn="0" w:noHBand="0" w:noVBand="1"/>
      </w:tblPr>
      <w:tblGrid>
        <w:gridCol w:w="2115"/>
        <w:gridCol w:w="7053"/>
      </w:tblGrid>
      <w:tr w:rsidR="003D708E" w:rsidRPr="00141DE8" w14:paraId="262EA8FD" w14:textId="77777777" w:rsidTr="00AA4B67">
        <w:trPr>
          <w:cnfStyle w:val="100000000000" w:firstRow="1" w:lastRow="0" w:firstColumn="0" w:lastColumn="0" w:oddVBand="0" w:evenVBand="0" w:oddHBand="0" w:evenHBand="0" w:firstRowFirstColumn="0" w:firstRowLastColumn="0" w:lastRowFirstColumn="0" w:lastRowLastColumn="0"/>
        </w:trPr>
        <w:tc>
          <w:tcPr>
            <w:tcW w:w="2115" w:type="dxa"/>
          </w:tcPr>
          <w:p w14:paraId="10E5CFDD" w14:textId="77777777" w:rsidR="003D708E" w:rsidRPr="00141DE8" w:rsidRDefault="003D708E" w:rsidP="00DF778C">
            <w:pPr>
              <w:pStyle w:val="Tableheading"/>
            </w:pPr>
            <w:r w:rsidRPr="00141DE8">
              <w:t>Term</w:t>
            </w:r>
          </w:p>
        </w:tc>
        <w:tc>
          <w:tcPr>
            <w:tcW w:w="7053" w:type="dxa"/>
          </w:tcPr>
          <w:p w14:paraId="5B63FEB1" w14:textId="77777777" w:rsidR="003D708E" w:rsidRPr="00141DE8" w:rsidRDefault="003D708E" w:rsidP="00DF778C">
            <w:pPr>
              <w:pStyle w:val="Tableheading"/>
            </w:pPr>
            <w:r w:rsidRPr="00141DE8">
              <w:t xml:space="preserve">Definition </w:t>
            </w:r>
          </w:p>
        </w:tc>
      </w:tr>
      <w:tr w:rsidR="00CE7ED8" w:rsidRPr="00141DE8" w14:paraId="708B8050" w14:textId="77777777" w:rsidTr="00AA4B67">
        <w:tc>
          <w:tcPr>
            <w:tcW w:w="2115" w:type="dxa"/>
          </w:tcPr>
          <w:p w14:paraId="026E0FA8" w14:textId="62ED6694" w:rsidR="00CE7ED8" w:rsidRPr="00141DE8" w:rsidRDefault="00CE7ED8" w:rsidP="004D1107">
            <w:pPr>
              <w:pStyle w:val="Tabledata"/>
              <w:rPr>
                <w:rFonts w:eastAsia="Calibri"/>
              </w:rPr>
            </w:pPr>
            <w:r w:rsidRPr="00141DE8">
              <w:rPr>
                <w:rFonts w:eastAsia="Calibri"/>
              </w:rPr>
              <w:t xml:space="preserve">At Risk Management System (ARMS): Youth Version </w:t>
            </w:r>
          </w:p>
        </w:tc>
        <w:tc>
          <w:tcPr>
            <w:tcW w:w="7053" w:type="dxa"/>
          </w:tcPr>
          <w:p w14:paraId="7283CB42" w14:textId="77777777" w:rsidR="00CE7ED8" w:rsidRPr="00141DE8" w:rsidRDefault="00CE7ED8" w:rsidP="004D1107">
            <w:pPr>
              <w:pStyle w:val="Tabledata"/>
              <w:rPr>
                <w:rFonts w:eastAsia="Calibri"/>
              </w:rPr>
            </w:pPr>
            <w:r w:rsidRPr="00141DE8">
              <w:rPr>
                <w:rFonts w:eastAsia="Calibri"/>
              </w:rPr>
              <w:t>The framework for the whole-of-Centre approach to the prevention and management of suicidal and non-suicidal self-injury (NSSI) for at-risk youth in custody.</w:t>
            </w:r>
          </w:p>
          <w:p w14:paraId="535B4C50" w14:textId="77777777" w:rsidR="00CE7ED8" w:rsidRPr="00141DE8" w:rsidRDefault="00CE7ED8" w:rsidP="004D1107">
            <w:pPr>
              <w:pStyle w:val="Tabledata"/>
            </w:pPr>
          </w:p>
        </w:tc>
      </w:tr>
      <w:tr w:rsidR="00AA4B67" w:rsidRPr="00141DE8" w14:paraId="1AB72E52" w14:textId="77777777" w:rsidTr="00AA4B67">
        <w:tc>
          <w:tcPr>
            <w:tcW w:w="2115" w:type="dxa"/>
          </w:tcPr>
          <w:p w14:paraId="5B5C956F" w14:textId="38F4219E" w:rsidR="00AA4B67" w:rsidRPr="00141DE8" w:rsidRDefault="00AA4B67" w:rsidP="00AA4B67">
            <w:pPr>
              <w:pStyle w:val="Tabledata"/>
              <w:rPr>
                <w:b/>
              </w:rPr>
            </w:pPr>
            <w:r w:rsidRPr="00141DE8">
              <w:t>At-risk</w:t>
            </w:r>
            <w:r w:rsidR="000F5444" w:rsidRPr="00141DE8">
              <w:t xml:space="preserve"> young person</w:t>
            </w:r>
          </w:p>
        </w:tc>
        <w:tc>
          <w:tcPr>
            <w:tcW w:w="7053" w:type="dxa"/>
          </w:tcPr>
          <w:p w14:paraId="09DDBD63" w14:textId="03FCB757" w:rsidR="00AA4B67" w:rsidRPr="00141DE8" w:rsidRDefault="000F5444" w:rsidP="00AA4B67">
            <w:pPr>
              <w:pStyle w:val="Tabledata"/>
            </w:pPr>
            <w:r w:rsidRPr="00141DE8">
              <w:t>A young person in custody who is</w:t>
            </w:r>
            <w:r w:rsidR="006835FC" w:rsidRPr="00141DE8">
              <w:t xml:space="preserve"> </w:t>
            </w:r>
            <w:r w:rsidRPr="00141DE8">
              <w:t>deemed</w:t>
            </w:r>
            <w:r w:rsidR="006835FC" w:rsidRPr="00141DE8">
              <w:t xml:space="preserve"> </w:t>
            </w:r>
            <w:r w:rsidRPr="00141DE8">
              <w:t>to be at risk of suicide or non-suicidal self-injury.</w:t>
            </w:r>
          </w:p>
        </w:tc>
      </w:tr>
      <w:tr w:rsidR="00AA4B67" w:rsidRPr="00141DE8" w14:paraId="14B78F10" w14:textId="77777777" w:rsidTr="00AA4B67">
        <w:tc>
          <w:tcPr>
            <w:tcW w:w="2115" w:type="dxa"/>
          </w:tcPr>
          <w:p w14:paraId="12F7EC7B" w14:textId="316A7B3F" w:rsidR="00AA4B67" w:rsidRPr="00141DE8" w:rsidRDefault="00AA4B67" w:rsidP="00AA4B67">
            <w:pPr>
              <w:pStyle w:val="Tabledata"/>
              <w:rPr>
                <w:b/>
              </w:rPr>
            </w:pPr>
            <w:r w:rsidRPr="00141DE8">
              <w:t>Commi</w:t>
            </w:r>
            <w:r w:rsidR="00970D94" w:rsidRPr="00141DE8">
              <w:t>s</w:t>
            </w:r>
            <w:r w:rsidR="00D7441A" w:rsidRPr="00141DE8">
              <w:t>s</w:t>
            </w:r>
            <w:r w:rsidRPr="00141DE8">
              <w:t>ioner’s Operating Policy and Procedure (COPP)</w:t>
            </w:r>
          </w:p>
        </w:tc>
        <w:tc>
          <w:tcPr>
            <w:tcW w:w="7053" w:type="dxa"/>
          </w:tcPr>
          <w:p w14:paraId="4C37D372" w14:textId="7EB9523A" w:rsidR="00AA4B67" w:rsidRPr="00141DE8" w:rsidRDefault="00AA4B67" w:rsidP="00AA4B67">
            <w:pPr>
              <w:pStyle w:val="Tabledata"/>
            </w:pPr>
            <w:r w:rsidRPr="00141DE8">
              <w:t xml:space="preserve">Operational Instruments that provide instructions to </w:t>
            </w:r>
            <w:r w:rsidR="00970D94" w:rsidRPr="00141DE8">
              <w:t>s</w:t>
            </w:r>
            <w:r w:rsidRPr="00141DE8">
              <w:t>taff how the relevant legislative requirements are implemented.</w:t>
            </w:r>
          </w:p>
        </w:tc>
      </w:tr>
      <w:tr w:rsidR="009C6A86" w:rsidRPr="00141DE8" w14:paraId="7E798385" w14:textId="77777777" w:rsidTr="00AA4B67">
        <w:tc>
          <w:tcPr>
            <w:tcW w:w="2115" w:type="dxa"/>
          </w:tcPr>
          <w:p w14:paraId="48274465" w14:textId="0EB040E5" w:rsidR="009C6A86" w:rsidRPr="00141DE8" w:rsidRDefault="009C6A86" w:rsidP="00AA4B67">
            <w:pPr>
              <w:pStyle w:val="Tabledata"/>
            </w:pPr>
            <w:r w:rsidRPr="00141DE8">
              <w:t>Custodial Officer</w:t>
            </w:r>
          </w:p>
        </w:tc>
        <w:tc>
          <w:tcPr>
            <w:tcW w:w="7053" w:type="dxa"/>
          </w:tcPr>
          <w:p w14:paraId="2577C2D1" w14:textId="3F11216B" w:rsidR="009C6A86" w:rsidRPr="00141DE8" w:rsidRDefault="00B143BB" w:rsidP="00AA4B67">
            <w:pPr>
              <w:pStyle w:val="Tabledata"/>
            </w:pPr>
            <w:r w:rsidRPr="00141DE8">
              <w:rPr>
                <w:rFonts w:cs="Arial"/>
              </w:rPr>
              <w:t xml:space="preserve">In accordance with section 11(1a)(a) of the </w:t>
            </w:r>
            <w:r w:rsidRPr="00141DE8">
              <w:rPr>
                <w:rFonts w:cs="Arial"/>
                <w:i/>
                <w:iCs/>
              </w:rPr>
              <w:t>Young Offenders Act 1994</w:t>
            </w:r>
            <w:r w:rsidRPr="00141DE8">
              <w:rPr>
                <w:rFonts w:cs="Arial"/>
              </w:rPr>
              <w:t>, a Custodial Officer is a person appointed as a custodial officer for non-administrative functions.</w:t>
            </w:r>
          </w:p>
        </w:tc>
      </w:tr>
      <w:tr w:rsidR="00AA4B67" w:rsidRPr="00141DE8" w14:paraId="15CB6F21" w14:textId="77777777" w:rsidTr="00AA4B67">
        <w:tc>
          <w:tcPr>
            <w:tcW w:w="2115" w:type="dxa"/>
          </w:tcPr>
          <w:p w14:paraId="0ADF8EA6" w14:textId="0E785622" w:rsidR="00AA4B67" w:rsidRPr="00141DE8" w:rsidRDefault="00AA4B67" w:rsidP="00AA4B67">
            <w:pPr>
              <w:pStyle w:val="Tabledata"/>
              <w:rPr>
                <w:b/>
              </w:rPr>
            </w:pPr>
            <w:r w:rsidRPr="00141DE8">
              <w:t>Detainee</w:t>
            </w:r>
          </w:p>
        </w:tc>
        <w:tc>
          <w:tcPr>
            <w:tcW w:w="7053" w:type="dxa"/>
          </w:tcPr>
          <w:p w14:paraId="2D6BBB09" w14:textId="77777777" w:rsidR="00B143BB" w:rsidRPr="00141DE8" w:rsidRDefault="00B143BB" w:rsidP="00B143BB">
            <w:pPr>
              <w:rPr>
                <w:rFonts w:cs="Arial"/>
                <w:iCs/>
                <w:lang w:eastAsia="en-AU"/>
              </w:rPr>
            </w:pPr>
            <w:r w:rsidRPr="00141DE8">
              <w:rPr>
                <w:rFonts w:cs="Arial"/>
                <w:lang w:eastAsia="en-AU"/>
              </w:rPr>
              <w:t>Means a person who is accommodated in a detention centre</w:t>
            </w:r>
            <w:r w:rsidRPr="00141DE8">
              <w:rPr>
                <w:rFonts w:eastAsia="Calibri" w:cs="Arial"/>
              </w:rPr>
              <w:t xml:space="preserve"> </w:t>
            </w:r>
            <w:r w:rsidRPr="00141DE8">
              <w:rPr>
                <w:rFonts w:cs="Arial"/>
                <w:lang w:eastAsia="en-AU"/>
              </w:rPr>
              <w:t xml:space="preserve">as defined in section 3 of the </w:t>
            </w:r>
            <w:r w:rsidRPr="00141DE8">
              <w:rPr>
                <w:rFonts w:cs="Arial"/>
                <w:i/>
                <w:lang w:eastAsia="en-AU"/>
              </w:rPr>
              <w:t>Young Offenders Act 1994</w:t>
            </w:r>
            <w:r w:rsidRPr="00141DE8">
              <w:rPr>
                <w:rFonts w:cs="Arial"/>
                <w:iCs/>
                <w:lang w:eastAsia="en-AU"/>
              </w:rPr>
              <w:t xml:space="preserve"> or, a young person subject to a custody order or an interim or extended custody order under the </w:t>
            </w:r>
            <w:r w:rsidRPr="00141DE8">
              <w:rPr>
                <w:rFonts w:cs="Arial"/>
                <w:i/>
                <w:lang w:eastAsia="en-AU"/>
              </w:rPr>
              <w:t>Criminal Law (Mental Impairment) Act 2023.</w:t>
            </w:r>
          </w:p>
          <w:p w14:paraId="18F314ED" w14:textId="77777777" w:rsidR="00B143BB" w:rsidRPr="00141DE8" w:rsidRDefault="00B143BB" w:rsidP="00B143BB">
            <w:pPr>
              <w:rPr>
                <w:rFonts w:cs="Arial"/>
                <w:lang w:eastAsia="en-AU"/>
              </w:rPr>
            </w:pPr>
          </w:p>
          <w:p w14:paraId="3D703C70" w14:textId="44CFE6DF" w:rsidR="00AA4B67" w:rsidRPr="00141DE8" w:rsidRDefault="00B143BB" w:rsidP="00B143BB">
            <w:pPr>
              <w:pStyle w:val="Tabledata"/>
              <w:rPr>
                <w:iCs/>
              </w:rPr>
            </w:pPr>
            <w:r w:rsidRPr="00141DE8">
              <w:rPr>
                <w:rFonts w:eastAsia="Calibri" w:cs="Arial"/>
                <w:lang w:eastAsia="en-US"/>
              </w:rPr>
              <w:t>For the purpose of this COPP, all references to ‘detainee’ will be replaced with the term ‘young person’.</w:t>
            </w:r>
          </w:p>
        </w:tc>
      </w:tr>
      <w:tr w:rsidR="00AA4B67" w:rsidRPr="00141DE8" w14:paraId="56118E1F" w14:textId="77777777" w:rsidTr="00AA4B67">
        <w:tc>
          <w:tcPr>
            <w:tcW w:w="2115" w:type="dxa"/>
          </w:tcPr>
          <w:p w14:paraId="206EFECD" w14:textId="70FE6FDC" w:rsidR="00AA4B67" w:rsidRPr="00141DE8" w:rsidRDefault="00AA4B67" w:rsidP="00AA4B67">
            <w:pPr>
              <w:pStyle w:val="Tabledata"/>
              <w:rPr>
                <w:b/>
              </w:rPr>
            </w:pPr>
            <w:r w:rsidRPr="00141DE8">
              <w:t>Department</w:t>
            </w:r>
          </w:p>
        </w:tc>
        <w:tc>
          <w:tcPr>
            <w:tcW w:w="7053" w:type="dxa"/>
          </w:tcPr>
          <w:p w14:paraId="5D31AEF3" w14:textId="43C6164B" w:rsidR="00AA4B67" w:rsidRPr="00141DE8" w:rsidRDefault="00AA4B67" w:rsidP="00AA4B67">
            <w:pPr>
              <w:pStyle w:val="Tabledata"/>
              <w:rPr>
                <w:iCs/>
              </w:rPr>
            </w:pPr>
            <w:r w:rsidRPr="00141DE8">
              <w:t>The department of the Public Service principally a</w:t>
            </w:r>
            <w:r w:rsidR="00970D94" w:rsidRPr="00141DE8">
              <w:t>s</w:t>
            </w:r>
            <w:r w:rsidR="00461D26" w:rsidRPr="00141DE8">
              <w:t>s</w:t>
            </w:r>
            <w:r w:rsidRPr="00141DE8">
              <w:t xml:space="preserve">isting the Minister in the administration of the </w:t>
            </w:r>
            <w:r w:rsidRPr="00141DE8">
              <w:rPr>
                <w:i/>
              </w:rPr>
              <w:t>Young Offenders Act 1994.</w:t>
            </w:r>
            <w:r w:rsidR="00B143BB" w:rsidRPr="00141DE8">
              <w:rPr>
                <w:i/>
              </w:rPr>
              <w:t xml:space="preserve"> </w:t>
            </w:r>
            <w:r w:rsidR="00B143BB" w:rsidRPr="00141DE8">
              <w:rPr>
                <w:iCs/>
              </w:rPr>
              <w:t>The Department of Justice.</w:t>
            </w:r>
          </w:p>
        </w:tc>
      </w:tr>
      <w:tr w:rsidR="00AA4B67" w14:paraId="6021A6DA" w14:textId="77777777" w:rsidTr="00AA4B67">
        <w:tc>
          <w:tcPr>
            <w:tcW w:w="2115" w:type="dxa"/>
          </w:tcPr>
          <w:p w14:paraId="7A8DE3BA" w14:textId="2CD72D30" w:rsidR="00AA4B67" w:rsidRPr="00141DE8" w:rsidRDefault="00AA4B67" w:rsidP="00AA4B67">
            <w:pPr>
              <w:pStyle w:val="Tabledata"/>
              <w:rPr>
                <w:b/>
              </w:rPr>
            </w:pPr>
            <w:r w:rsidRPr="00141DE8">
              <w:t>Detention Offence</w:t>
            </w:r>
          </w:p>
        </w:tc>
        <w:tc>
          <w:tcPr>
            <w:tcW w:w="7053" w:type="dxa"/>
          </w:tcPr>
          <w:p w14:paraId="30665041" w14:textId="0E702D38" w:rsidR="00AA4B67" w:rsidRPr="00344FBE" w:rsidRDefault="00AA4B67" w:rsidP="00AA4B67">
            <w:pPr>
              <w:pStyle w:val="Tabledata"/>
            </w:pPr>
            <w:r w:rsidRPr="00141DE8">
              <w:t>In accordance with s</w:t>
            </w:r>
            <w:r w:rsidR="00850EA5" w:rsidRPr="00141DE8">
              <w:t>ection</w:t>
            </w:r>
            <w:r w:rsidRPr="00141DE8">
              <w:t xml:space="preserve"> 170 of the </w:t>
            </w:r>
            <w:r w:rsidRPr="00141DE8">
              <w:rPr>
                <w:i/>
              </w:rPr>
              <w:t>Young Offenders Act 1994</w:t>
            </w:r>
            <w:r w:rsidRPr="00141DE8">
              <w:t>.</w:t>
            </w:r>
          </w:p>
        </w:tc>
      </w:tr>
      <w:tr w:rsidR="00AA4B67" w14:paraId="780F7292" w14:textId="77777777" w:rsidTr="00AA4B67">
        <w:tc>
          <w:tcPr>
            <w:tcW w:w="2115" w:type="dxa"/>
          </w:tcPr>
          <w:p w14:paraId="590D328D" w14:textId="08775503" w:rsidR="00AA4B67" w:rsidRPr="00141DE8" w:rsidRDefault="00AA4B67" w:rsidP="00AA4B67">
            <w:pPr>
              <w:pStyle w:val="Tabledata"/>
              <w:rPr>
                <w:b/>
              </w:rPr>
            </w:pPr>
            <w:r w:rsidRPr="00141DE8">
              <w:lastRenderedPageBreak/>
              <w:t>Officers and Employees of Particular Cla</w:t>
            </w:r>
            <w:r w:rsidR="00970D94" w:rsidRPr="00141DE8">
              <w:t>s</w:t>
            </w:r>
            <w:r w:rsidR="00D7441A" w:rsidRPr="00141DE8">
              <w:t>s</w:t>
            </w:r>
            <w:r w:rsidRPr="00141DE8">
              <w:t>es</w:t>
            </w:r>
          </w:p>
        </w:tc>
        <w:tc>
          <w:tcPr>
            <w:tcW w:w="7053" w:type="dxa"/>
          </w:tcPr>
          <w:p w14:paraId="2A3FDA4F" w14:textId="4DAE04E1" w:rsidR="00AA4B67" w:rsidRPr="00141DE8" w:rsidRDefault="00AA4B67" w:rsidP="00AA4B67">
            <w:pPr>
              <w:pStyle w:val="Tabledata"/>
            </w:pPr>
            <w:r w:rsidRPr="00141DE8">
              <w:t>The following descriptions of cla</w:t>
            </w:r>
            <w:r w:rsidR="00D7441A" w:rsidRPr="00141DE8">
              <w:t>s</w:t>
            </w:r>
            <w:r w:rsidR="00970D94" w:rsidRPr="00141DE8">
              <w:t>s</w:t>
            </w:r>
            <w:r w:rsidRPr="00141DE8">
              <w:t xml:space="preserve">es of officers and employees are prescribed for the purpose of s. 11(1a)(b) of the </w:t>
            </w:r>
            <w:r w:rsidRPr="00141DE8">
              <w:rPr>
                <w:i/>
              </w:rPr>
              <w:t>Young Offenders Act 1994</w:t>
            </w:r>
            <w:r w:rsidR="00850EA5" w:rsidRPr="00141DE8">
              <w:t xml:space="preserve"> and </w:t>
            </w:r>
            <w:r w:rsidR="00CC32C2" w:rsidRPr="00141DE8">
              <w:t>r</w:t>
            </w:r>
            <w:r w:rsidR="00850EA5" w:rsidRPr="00141DE8">
              <w:t xml:space="preserve">egulation </w:t>
            </w:r>
            <w:r w:rsidRPr="00141DE8">
              <w:t xml:space="preserve">49(2) of the </w:t>
            </w:r>
            <w:r w:rsidRPr="00141DE8">
              <w:rPr>
                <w:iCs/>
              </w:rPr>
              <w:t>Young Offender Regulations 1995</w:t>
            </w:r>
            <w:r w:rsidRPr="00141DE8">
              <w:t>:</w:t>
            </w:r>
          </w:p>
          <w:p w14:paraId="6EA6D31A" w14:textId="79146A07" w:rsidR="00AA4B67" w:rsidRPr="00141DE8" w:rsidRDefault="00AA4B67" w:rsidP="00850EA5">
            <w:pPr>
              <w:pStyle w:val="Tabledata"/>
              <w:ind w:left="350" w:hanging="284"/>
            </w:pPr>
            <w:r w:rsidRPr="00141DE8">
              <w:t xml:space="preserve">a) Medical staff </w:t>
            </w:r>
            <w:r w:rsidR="00850EA5" w:rsidRPr="00141DE8">
              <w:t xml:space="preserve">- </w:t>
            </w:r>
            <w:r w:rsidRPr="00141DE8">
              <w:t>persons who have undergone medical, nursing or health training and hold qualifications indicating succe</w:t>
            </w:r>
            <w:r w:rsidR="00970D94" w:rsidRPr="00141DE8">
              <w:t>s</w:t>
            </w:r>
            <w:r w:rsidR="00D7441A" w:rsidRPr="00141DE8">
              <w:t>s</w:t>
            </w:r>
            <w:r w:rsidRPr="00141DE8">
              <w:t>ful completion of that training.</w:t>
            </w:r>
          </w:p>
          <w:p w14:paraId="10FD7473" w14:textId="021A6DCD" w:rsidR="00AA4B67" w:rsidRPr="00141DE8" w:rsidRDefault="00AA4B67" w:rsidP="00850EA5">
            <w:pPr>
              <w:pStyle w:val="Tabledata"/>
              <w:ind w:left="350" w:hanging="284"/>
            </w:pPr>
            <w:r w:rsidRPr="00141DE8">
              <w:t xml:space="preserve">b) Teaching staff </w:t>
            </w:r>
            <w:r w:rsidR="00850EA5" w:rsidRPr="00141DE8">
              <w:t xml:space="preserve">- </w:t>
            </w:r>
            <w:r w:rsidRPr="00141DE8">
              <w:t>persons who provide recreation or sports supervision, teachers, vocational trainers and social trainers.</w:t>
            </w:r>
          </w:p>
          <w:p w14:paraId="666917BF" w14:textId="54D059CB" w:rsidR="00AA4B67" w:rsidRPr="00141DE8" w:rsidRDefault="00AA4B67" w:rsidP="00850EA5">
            <w:pPr>
              <w:pStyle w:val="Tabledata"/>
              <w:ind w:left="350" w:hanging="284"/>
            </w:pPr>
            <w:r w:rsidRPr="00141DE8">
              <w:t xml:space="preserve">c) Program support staff </w:t>
            </w:r>
            <w:r w:rsidR="00850EA5" w:rsidRPr="00141DE8">
              <w:t xml:space="preserve">- </w:t>
            </w:r>
            <w:r w:rsidRPr="00141DE8">
              <w:t>counsellors, program facilitators and librarians.</w:t>
            </w:r>
          </w:p>
          <w:p w14:paraId="6A591F37" w14:textId="4F49EBAB" w:rsidR="00AA4B67" w:rsidRPr="00344FBE" w:rsidRDefault="00AA4B67" w:rsidP="00850EA5">
            <w:pPr>
              <w:pStyle w:val="Tabledata"/>
              <w:ind w:left="350" w:hanging="284"/>
            </w:pPr>
            <w:r w:rsidRPr="00141DE8">
              <w:t xml:space="preserve">d) Centre support staff </w:t>
            </w:r>
            <w:r w:rsidR="00850EA5" w:rsidRPr="00141DE8">
              <w:t xml:space="preserve">- </w:t>
            </w:r>
            <w:r w:rsidRPr="00141DE8">
              <w:t>cleaning staff, laundry staff, gardening staff, vehicle driving staff, maintenance staff and hairdre</w:t>
            </w:r>
            <w:r w:rsidR="00970D94" w:rsidRPr="00141DE8">
              <w:t>s</w:t>
            </w:r>
            <w:r w:rsidR="00D7441A" w:rsidRPr="00141DE8">
              <w:t>s</w:t>
            </w:r>
            <w:r w:rsidRPr="00141DE8">
              <w:t>ers.</w:t>
            </w:r>
          </w:p>
        </w:tc>
      </w:tr>
      <w:tr w:rsidR="00AA4B67" w14:paraId="04413723" w14:textId="77777777" w:rsidTr="00AA4B67">
        <w:tc>
          <w:tcPr>
            <w:tcW w:w="2115" w:type="dxa"/>
          </w:tcPr>
          <w:p w14:paraId="3E132E14" w14:textId="30A3BFDE" w:rsidR="00AA4B67" w:rsidRPr="005435AD" w:rsidRDefault="00AA4B67" w:rsidP="00AA4B67">
            <w:pPr>
              <w:pStyle w:val="Tabledata"/>
              <w:rPr>
                <w:b/>
              </w:rPr>
            </w:pPr>
            <w:r w:rsidRPr="008C5897">
              <w:t>Staff</w:t>
            </w:r>
          </w:p>
        </w:tc>
        <w:tc>
          <w:tcPr>
            <w:tcW w:w="7053" w:type="dxa"/>
          </w:tcPr>
          <w:p w14:paraId="00DB9DCB" w14:textId="3FFDEC30" w:rsidR="00AA4B67" w:rsidRPr="00344FBE" w:rsidRDefault="00AA4B67" w:rsidP="00AA4B67">
            <w:pPr>
              <w:pStyle w:val="Tabledata"/>
            </w:pPr>
            <w:r w:rsidRPr="008C5897">
              <w:t>Any employee or officer of the Department of Justice, including a Public Service Officer, Custodial Officer or an employee of a particular cla</w:t>
            </w:r>
            <w:r w:rsidR="00970D94">
              <w:t>s</w:t>
            </w:r>
            <w:r w:rsidR="00D7441A">
              <w:t>s</w:t>
            </w:r>
            <w:r w:rsidRPr="008C5897">
              <w:t>; and any contractor who provides services to the Department of Justice.</w:t>
            </w:r>
          </w:p>
        </w:tc>
      </w:tr>
      <w:tr w:rsidR="00AA4B67" w:rsidRPr="00141DE8" w14:paraId="75E3443A" w14:textId="77777777" w:rsidTr="00AA4B67">
        <w:tc>
          <w:tcPr>
            <w:tcW w:w="2115" w:type="dxa"/>
          </w:tcPr>
          <w:p w14:paraId="70663247" w14:textId="65F46C18" w:rsidR="00AA4B67" w:rsidRPr="00141DE8" w:rsidRDefault="00AA4B67" w:rsidP="00AA4B67">
            <w:pPr>
              <w:pStyle w:val="Tabledata"/>
              <w:rPr>
                <w:b/>
              </w:rPr>
            </w:pPr>
            <w:r w:rsidRPr="00141DE8">
              <w:t>Superintendent</w:t>
            </w:r>
          </w:p>
        </w:tc>
        <w:tc>
          <w:tcPr>
            <w:tcW w:w="7053" w:type="dxa"/>
          </w:tcPr>
          <w:p w14:paraId="1BA3CC59" w14:textId="0AE24AA8" w:rsidR="00AA4B67" w:rsidRPr="00141DE8" w:rsidRDefault="00AA4B67" w:rsidP="00AA4B67">
            <w:pPr>
              <w:pStyle w:val="Tabledata"/>
            </w:pPr>
            <w:r w:rsidRPr="00141DE8">
              <w:t>In accordance with s</w:t>
            </w:r>
            <w:r w:rsidR="006E7CB0" w:rsidRPr="00141DE8">
              <w:t>ection</w:t>
            </w:r>
            <w:r w:rsidRPr="00141DE8">
              <w:t xml:space="preserve"> 3 of the </w:t>
            </w:r>
            <w:r w:rsidRPr="00141DE8">
              <w:rPr>
                <w:i/>
              </w:rPr>
              <w:t>Young Offenders Act 1994, ‘</w:t>
            </w:r>
            <w:r w:rsidRPr="00141DE8">
              <w:t>The person in charge of a detention centre</w:t>
            </w:r>
            <w:r w:rsidR="00E11E6E" w:rsidRPr="00141DE8">
              <w:t>’</w:t>
            </w:r>
            <w:r w:rsidRPr="00141DE8">
              <w:t>.</w:t>
            </w:r>
          </w:p>
        </w:tc>
      </w:tr>
      <w:tr w:rsidR="009C6A86" w:rsidRPr="00141DE8" w14:paraId="333ED9BB" w14:textId="77777777" w:rsidTr="00AA4B67">
        <w:tc>
          <w:tcPr>
            <w:tcW w:w="2115" w:type="dxa"/>
          </w:tcPr>
          <w:p w14:paraId="6B2BB006" w14:textId="27A475AD" w:rsidR="009C6A86" w:rsidRPr="00141DE8" w:rsidRDefault="009C6A86" w:rsidP="00AA4B67">
            <w:pPr>
              <w:pStyle w:val="Tabledata"/>
            </w:pPr>
            <w:r w:rsidRPr="00141DE8">
              <w:t>Youth Detention Centre</w:t>
            </w:r>
          </w:p>
        </w:tc>
        <w:tc>
          <w:tcPr>
            <w:tcW w:w="7053" w:type="dxa"/>
          </w:tcPr>
          <w:p w14:paraId="060CC71A" w14:textId="7C36F6F0" w:rsidR="009C6A86" w:rsidRPr="00141DE8" w:rsidRDefault="009C6A86" w:rsidP="000B4C76">
            <w:pPr>
              <w:pStyle w:val="ListParagraph"/>
              <w:ind w:left="0" w:hanging="77"/>
              <w:rPr>
                <w:rFonts w:cs="Arial"/>
              </w:rPr>
            </w:pPr>
            <w:r w:rsidRPr="00141DE8">
              <w:rPr>
                <w:rFonts w:cs="Arial"/>
              </w:rPr>
              <w:t xml:space="preserve">A gazetted detention centre declared by the Minister to be a detention centre to accommodate male and female, remanded or sentenced detainees. Refer to section 13 of </w:t>
            </w:r>
            <w:r w:rsidRPr="00141DE8">
              <w:rPr>
                <w:rFonts w:cs="Arial"/>
                <w:i/>
              </w:rPr>
              <w:t>Young Offenders Act 1994.</w:t>
            </w:r>
          </w:p>
        </w:tc>
      </w:tr>
      <w:tr w:rsidR="00AA4B67" w14:paraId="6BF4977C" w14:textId="77777777" w:rsidTr="00AA4B67">
        <w:tc>
          <w:tcPr>
            <w:tcW w:w="2115" w:type="dxa"/>
          </w:tcPr>
          <w:p w14:paraId="0D1655FC" w14:textId="77777777" w:rsidR="00AA4B67" w:rsidRPr="00141DE8" w:rsidRDefault="00AA4B67" w:rsidP="00AA4B67">
            <w:pPr>
              <w:pStyle w:val="Tabledata"/>
            </w:pPr>
            <w:bookmarkStart w:id="16" w:name="_Hlk229483774"/>
            <w:r w:rsidRPr="00141DE8">
              <w:t xml:space="preserve">Youth Justice Psychological Services </w:t>
            </w:r>
            <w:bookmarkEnd w:id="16"/>
            <w:r w:rsidRPr="00141DE8">
              <w:t>(YJPS)</w:t>
            </w:r>
          </w:p>
          <w:p w14:paraId="61FBCC18" w14:textId="77777777" w:rsidR="00AA4B67" w:rsidRPr="00141DE8" w:rsidRDefault="00AA4B67" w:rsidP="00AA4B67">
            <w:pPr>
              <w:pStyle w:val="Tabledata"/>
              <w:rPr>
                <w:b/>
              </w:rPr>
            </w:pPr>
          </w:p>
        </w:tc>
        <w:tc>
          <w:tcPr>
            <w:tcW w:w="7053" w:type="dxa"/>
          </w:tcPr>
          <w:p w14:paraId="13D1A005" w14:textId="60711D99" w:rsidR="00AA4B67" w:rsidRPr="00344FBE" w:rsidRDefault="00AA4B67" w:rsidP="00AA4B67">
            <w:pPr>
              <w:pStyle w:val="Tabledata"/>
            </w:pPr>
            <w:r w:rsidRPr="00141DE8">
              <w:t xml:space="preserve">Provides psychological services to </w:t>
            </w:r>
            <w:r w:rsidR="006E7CB0" w:rsidRPr="00141DE8">
              <w:rPr>
                <w:rFonts w:cs="Arial"/>
                <w:color w:val="000000" w:themeColor="text1"/>
              </w:rPr>
              <w:t>young people</w:t>
            </w:r>
            <w:r w:rsidR="006E7CB0" w:rsidRPr="00141DE8" w:rsidDel="006E7CB0">
              <w:t xml:space="preserve"> </w:t>
            </w:r>
            <w:r w:rsidRPr="00141DE8">
              <w:t xml:space="preserve">and their families, and </w:t>
            </w:r>
            <w:r w:rsidR="00970D94" w:rsidRPr="00141DE8">
              <w:t>s</w:t>
            </w:r>
            <w:r w:rsidRPr="00141DE8">
              <w:t xml:space="preserve">taff working with </w:t>
            </w:r>
            <w:r w:rsidR="006E7CB0" w:rsidRPr="00141DE8">
              <w:rPr>
                <w:rFonts w:cs="Arial"/>
                <w:color w:val="000000" w:themeColor="text1"/>
              </w:rPr>
              <w:t>young people</w:t>
            </w:r>
            <w:r w:rsidRPr="00141DE8">
              <w:t xml:space="preserve">. Psychological services </w:t>
            </w:r>
            <w:r w:rsidR="00DD3226" w:rsidRPr="00141DE8">
              <w:t>include</w:t>
            </w:r>
            <w:r w:rsidRPr="00141DE8">
              <w:t xml:space="preserve"> a</w:t>
            </w:r>
            <w:r w:rsidR="00970D94" w:rsidRPr="00141DE8">
              <w:t>s</w:t>
            </w:r>
            <w:r w:rsidR="00D7441A" w:rsidRPr="00141DE8">
              <w:t>s</w:t>
            </w:r>
            <w:r w:rsidRPr="00141DE8">
              <w:t>e</w:t>
            </w:r>
            <w:r w:rsidR="00970D94" w:rsidRPr="00141DE8">
              <w:t>s</w:t>
            </w:r>
            <w:r w:rsidR="00D7441A" w:rsidRPr="00141DE8">
              <w:t>s</w:t>
            </w:r>
            <w:r w:rsidRPr="00141DE8">
              <w:t>ment, intervention and consultation.</w:t>
            </w:r>
          </w:p>
        </w:tc>
      </w:tr>
    </w:tbl>
    <w:p w14:paraId="0078D1D7" w14:textId="2973D4FE" w:rsidR="003D708E" w:rsidRDefault="003D708E" w:rsidP="003D708E">
      <w:pPr>
        <w:pStyle w:val="Heading2"/>
      </w:pPr>
      <w:bookmarkStart w:id="17" w:name="_Toc232081629"/>
      <w:r>
        <w:t>Related legislation</w:t>
      </w:r>
      <w:bookmarkEnd w:id="17"/>
      <w:r>
        <w:t xml:space="preserve"> </w:t>
      </w:r>
    </w:p>
    <w:p w14:paraId="11B4D803" w14:textId="77777777" w:rsidR="006E7CB0" w:rsidRPr="000F5444" w:rsidRDefault="006E7CB0" w:rsidP="00870964">
      <w:pPr>
        <w:pStyle w:val="ListBullet"/>
        <w:rPr>
          <w:i/>
          <w:iCs/>
        </w:rPr>
      </w:pPr>
      <w:r w:rsidRPr="000F5444">
        <w:rPr>
          <w:i/>
          <w:iCs/>
        </w:rPr>
        <w:t>Criminal Law (Mental Impairment) Act 2023</w:t>
      </w:r>
    </w:p>
    <w:p w14:paraId="70F0054C" w14:textId="77777777" w:rsidR="00AA4B67" w:rsidRPr="000F5444" w:rsidRDefault="00AA4B67" w:rsidP="00870964">
      <w:pPr>
        <w:pStyle w:val="ListBullet"/>
        <w:rPr>
          <w:i/>
          <w:iCs/>
        </w:rPr>
      </w:pPr>
      <w:r w:rsidRPr="000F5444">
        <w:rPr>
          <w:i/>
          <w:iCs/>
        </w:rPr>
        <w:t>Young Offenders Act 1994</w:t>
      </w:r>
    </w:p>
    <w:p w14:paraId="4C9FCD2F" w14:textId="01662F1E" w:rsidR="00613341" w:rsidRDefault="00AA4B67" w:rsidP="00870964">
      <w:pPr>
        <w:pStyle w:val="ListBullet"/>
        <w:rPr>
          <w:iCs/>
        </w:rPr>
      </w:pPr>
      <w:r w:rsidRPr="00870964">
        <w:rPr>
          <w:iCs/>
        </w:rPr>
        <w:t>Young Offenders Regulations 1995</w:t>
      </w:r>
      <w:bookmarkStart w:id="18" w:name="_Toc178286"/>
    </w:p>
    <w:p w14:paraId="482A35DD" w14:textId="77777777" w:rsidR="00613341" w:rsidRDefault="00613341">
      <w:pPr>
        <w:rPr>
          <w:rFonts w:eastAsia="Times New Roman"/>
          <w:iCs/>
          <w:szCs w:val="22"/>
        </w:rPr>
      </w:pPr>
      <w:r>
        <w:rPr>
          <w:iCs/>
        </w:rPr>
        <w:br w:type="page"/>
      </w:r>
    </w:p>
    <w:p w14:paraId="5AF1D7A1" w14:textId="6D54FCC1" w:rsidR="003E7C04" w:rsidRDefault="002E5756" w:rsidP="00DD3226">
      <w:pPr>
        <w:pStyle w:val="Heading1"/>
        <w:spacing w:before="360" w:after="240"/>
      </w:pPr>
      <w:bookmarkStart w:id="19" w:name="_Toc232081630"/>
      <w:r w:rsidRPr="009D516D">
        <w:lastRenderedPageBreak/>
        <w:t>A</w:t>
      </w:r>
      <w:r w:rsidR="00970D94">
        <w:t>s</w:t>
      </w:r>
      <w:r w:rsidR="00D7441A">
        <w:t>s</w:t>
      </w:r>
      <w:r w:rsidRPr="009D516D">
        <w:t>urance</w:t>
      </w:r>
      <w:bookmarkEnd w:id="18"/>
      <w:bookmarkEnd w:id="19"/>
    </w:p>
    <w:p w14:paraId="5741BA1F" w14:textId="1AFF9B34" w:rsidR="002E5756" w:rsidRPr="009D516D" w:rsidRDefault="002E5756" w:rsidP="00DD3226">
      <w:pPr>
        <w:spacing w:before="360" w:after="240"/>
      </w:pPr>
      <w:r>
        <w:t>It is expected that</w:t>
      </w:r>
      <w:r w:rsidRPr="009D516D">
        <w:t>:</w:t>
      </w:r>
    </w:p>
    <w:p w14:paraId="0F8E0FFB" w14:textId="5B86E742" w:rsidR="002E5756" w:rsidRPr="000F16F8" w:rsidRDefault="00363870" w:rsidP="002E5756">
      <w:pPr>
        <w:pStyle w:val="ListBullet"/>
      </w:pPr>
      <w:r>
        <w:t xml:space="preserve">The </w:t>
      </w:r>
      <w:r w:rsidR="009C6A86">
        <w:t xml:space="preserve">YDC </w:t>
      </w:r>
      <w:r w:rsidR="002E5756">
        <w:t xml:space="preserve">will undertake local </w:t>
      </w:r>
      <w:r w:rsidR="002E5756" w:rsidRPr="000F16F8">
        <w:t xml:space="preserve">compliance in accordance with the </w:t>
      </w:r>
      <w:hyperlink r:id="rId21" w:history="1">
        <w:r w:rsidR="002E5756" w:rsidRPr="003E63D6">
          <w:rPr>
            <w:rStyle w:val="Hyperlink"/>
          </w:rPr>
          <w:t>Compliance Manual</w:t>
        </w:r>
      </w:hyperlink>
      <w:r w:rsidR="002E5756" w:rsidRPr="000F16F8">
        <w:t>.</w:t>
      </w:r>
    </w:p>
    <w:p w14:paraId="5807C60E" w14:textId="78B21088" w:rsidR="002E5756" w:rsidRDefault="004C274A" w:rsidP="002E5756">
      <w:pPr>
        <w:pStyle w:val="ListBullet"/>
      </w:pPr>
      <w:r>
        <w:t xml:space="preserve">The </w:t>
      </w:r>
      <w:r w:rsidR="00F527AD">
        <w:t xml:space="preserve">Young People Directorate within Head Office </w:t>
      </w:r>
      <w:r>
        <w:t xml:space="preserve">will </w:t>
      </w:r>
      <w:r w:rsidR="00F527AD">
        <w:t xml:space="preserve">undertake </w:t>
      </w:r>
      <w:r>
        <w:t xml:space="preserve"> </w:t>
      </w:r>
      <w:r w:rsidR="002E5756">
        <w:t xml:space="preserve">management oversight </w:t>
      </w:r>
      <w:r>
        <w:t xml:space="preserve"> </w:t>
      </w:r>
      <w:r w:rsidR="002E5756">
        <w:t>as required.</w:t>
      </w:r>
      <w:r w:rsidR="002E5756" w:rsidRPr="000F16F8">
        <w:t xml:space="preserve"> </w:t>
      </w:r>
    </w:p>
    <w:p w14:paraId="3D45F7EE" w14:textId="679447F6" w:rsidR="002E5756" w:rsidRPr="000F16F8" w:rsidRDefault="003E63D6" w:rsidP="002E5756">
      <w:pPr>
        <w:pStyle w:val="ListBullet"/>
      </w:pPr>
      <w:r>
        <w:t>Operational</w:t>
      </w:r>
      <w:r w:rsidR="002E5756" w:rsidRPr="000F16F8">
        <w:t xml:space="preserve"> Compliance </w:t>
      </w:r>
      <w:r w:rsidR="002E5756">
        <w:t xml:space="preserve">Branch will undertake checks </w:t>
      </w:r>
      <w:r w:rsidR="002E5756" w:rsidRPr="000F16F8">
        <w:t xml:space="preserve">in accordance with the </w:t>
      </w:r>
      <w:hyperlink r:id="rId22" w:history="1">
        <w:r w:rsidRPr="003E63D6">
          <w:rPr>
            <w:rStyle w:val="Hyperlink"/>
          </w:rPr>
          <w:t xml:space="preserve">Operational </w:t>
        </w:r>
        <w:r w:rsidR="002E5756" w:rsidRPr="003E63D6">
          <w:rPr>
            <w:rStyle w:val="Hyperlink"/>
          </w:rPr>
          <w:t>Compliance Framework</w:t>
        </w:r>
        <w:r w:rsidR="002E5756" w:rsidRPr="00461D26">
          <w:rPr>
            <w:rStyle w:val="Hyperlink"/>
            <w:color w:val="auto"/>
            <w:u w:val="none"/>
          </w:rPr>
          <w:t>.</w:t>
        </w:r>
      </w:hyperlink>
    </w:p>
    <w:p w14:paraId="40452E11" w14:textId="77777777" w:rsidR="00245869" w:rsidRDefault="002E5756" w:rsidP="00D05B49">
      <w:pPr>
        <w:pStyle w:val="ListBullet"/>
      </w:pPr>
      <w:r w:rsidRPr="000F16F8">
        <w:t xml:space="preserve">Independent </w:t>
      </w:r>
      <w:r>
        <w:t>o</w:t>
      </w:r>
      <w:r w:rsidRPr="000F16F8">
        <w:t xml:space="preserve">versight </w:t>
      </w:r>
      <w:r>
        <w:t xml:space="preserve">will be undertaken as required. </w:t>
      </w:r>
    </w:p>
    <w:p w14:paraId="39051C64" w14:textId="77777777" w:rsidR="00245869" w:rsidRPr="00EA7EAC" w:rsidRDefault="00245869" w:rsidP="00EA7EAC">
      <w:r>
        <w:br w:type="page"/>
      </w:r>
    </w:p>
    <w:p w14:paraId="141EF67B" w14:textId="6ED63B14" w:rsidR="00245869" w:rsidRDefault="00245869" w:rsidP="00870964">
      <w:pPr>
        <w:pStyle w:val="Heading1"/>
      </w:pPr>
      <w:bookmarkStart w:id="20" w:name="_Toc232081631"/>
      <w:r>
        <w:lastRenderedPageBreak/>
        <w:t xml:space="preserve">Document </w:t>
      </w:r>
      <w:r w:rsidR="009C6A86">
        <w:t>V</w:t>
      </w:r>
      <w:r>
        <w:t xml:space="preserve">ersion </w:t>
      </w:r>
      <w:r w:rsidR="009C6A86">
        <w:t>H</w:t>
      </w:r>
      <w:r>
        <w:t>istory</w:t>
      </w:r>
      <w:bookmarkEnd w:id="20"/>
    </w:p>
    <w:p w14:paraId="02E29179" w14:textId="11FD66F1" w:rsidR="00245869" w:rsidRPr="00AA4B67" w:rsidRDefault="00245869" w:rsidP="00245869">
      <w:pPr>
        <w:pStyle w:val="Instructionalnote"/>
        <w:rPr>
          <w:color w:val="auto"/>
        </w:rPr>
      </w:pPr>
    </w:p>
    <w:tbl>
      <w:tblPr>
        <w:tblStyle w:val="DCStable"/>
        <w:tblW w:w="9608" w:type="dxa"/>
        <w:tblCellMar>
          <w:top w:w="57" w:type="dxa"/>
          <w:left w:w="85" w:type="dxa"/>
          <w:bottom w:w="57" w:type="dxa"/>
          <w:right w:w="85" w:type="dxa"/>
        </w:tblCellMar>
        <w:tblLook w:val="0620" w:firstRow="1" w:lastRow="0" w:firstColumn="0" w:lastColumn="0" w:noHBand="1" w:noVBand="1"/>
      </w:tblPr>
      <w:tblGrid>
        <w:gridCol w:w="1051"/>
        <w:gridCol w:w="2283"/>
        <w:gridCol w:w="2881"/>
        <w:gridCol w:w="1699"/>
        <w:gridCol w:w="1694"/>
      </w:tblGrid>
      <w:tr w:rsidR="00C53759" w:rsidRPr="007D3C6F" w14:paraId="76C012C8" w14:textId="1A9D1E8A" w:rsidTr="00D07E67">
        <w:trPr>
          <w:cnfStyle w:val="100000000000" w:firstRow="1" w:lastRow="0" w:firstColumn="0" w:lastColumn="0" w:oddVBand="0" w:evenVBand="0" w:oddHBand="0" w:evenHBand="0" w:firstRowFirstColumn="0" w:firstRowLastColumn="0" w:lastRowFirstColumn="0" w:lastRowLastColumn="0"/>
          <w:trHeight w:val="532"/>
        </w:trPr>
        <w:tc>
          <w:tcPr>
            <w:tcW w:w="1051" w:type="dxa"/>
          </w:tcPr>
          <w:p w14:paraId="48F378B1" w14:textId="77777777" w:rsidR="00C53759" w:rsidRPr="007D3C6F" w:rsidRDefault="00C53759" w:rsidP="00DF778C">
            <w:pPr>
              <w:pStyle w:val="Tableheading"/>
            </w:pPr>
            <w:r w:rsidRPr="007D3C6F">
              <w:t>Version no</w:t>
            </w:r>
          </w:p>
        </w:tc>
        <w:tc>
          <w:tcPr>
            <w:tcW w:w="2283" w:type="dxa"/>
          </w:tcPr>
          <w:p w14:paraId="3F69FED0" w14:textId="77777777" w:rsidR="00C53759" w:rsidRPr="007D3C6F" w:rsidRDefault="00C53759" w:rsidP="00DF778C">
            <w:pPr>
              <w:pStyle w:val="Tableheading"/>
            </w:pPr>
            <w:r w:rsidRPr="007D3C6F">
              <w:t>Primary author(s)</w:t>
            </w:r>
          </w:p>
        </w:tc>
        <w:tc>
          <w:tcPr>
            <w:tcW w:w="2881" w:type="dxa"/>
          </w:tcPr>
          <w:p w14:paraId="60613A3E" w14:textId="77777777" w:rsidR="00C53759" w:rsidRPr="007D3C6F" w:rsidRDefault="00C53759" w:rsidP="00DF778C">
            <w:pPr>
              <w:pStyle w:val="Tableheading"/>
            </w:pPr>
            <w:r w:rsidRPr="007D3C6F">
              <w:t>Description of version</w:t>
            </w:r>
          </w:p>
        </w:tc>
        <w:tc>
          <w:tcPr>
            <w:tcW w:w="1699" w:type="dxa"/>
          </w:tcPr>
          <w:p w14:paraId="0D043DB5" w14:textId="77777777" w:rsidR="00C53759" w:rsidRPr="007D3C6F" w:rsidRDefault="00C53759" w:rsidP="00DF778C">
            <w:pPr>
              <w:pStyle w:val="Tableheading"/>
            </w:pPr>
            <w:r w:rsidRPr="007D3C6F">
              <w:t>Date completed</w:t>
            </w:r>
          </w:p>
        </w:tc>
        <w:tc>
          <w:tcPr>
            <w:tcW w:w="1694" w:type="dxa"/>
          </w:tcPr>
          <w:p w14:paraId="18A955FF" w14:textId="55DE2268" w:rsidR="00C53759" w:rsidRPr="007D3C6F" w:rsidRDefault="00C53759" w:rsidP="00DF778C">
            <w:pPr>
              <w:pStyle w:val="Tableheading"/>
            </w:pPr>
            <w:r>
              <w:t>Effective Date</w:t>
            </w:r>
          </w:p>
        </w:tc>
      </w:tr>
      <w:tr w:rsidR="00C53759" w:rsidRPr="007D3C6F" w14:paraId="1B34F4A5" w14:textId="246DFDD1" w:rsidTr="00D07E67">
        <w:trPr>
          <w:trHeight w:val="806"/>
        </w:trPr>
        <w:tc>
          <w:tcPr>
            <w:tcW w:w="1051" w:type="dxa"/>
          </w:tcPr>
          <w:p w14:paraId="0BC9A88B" w14:textId="2373CED6" w:rsidR="00C53759" w:rsidRDefault="00C53759" w:rsidP="00AA4B67">
            <w:pPr>
              <w:pStyle w:val="Tabledata"/>
            </w:pPr>
            <w:r>
              <w:t>1.0</w:t>
            </w:r>
          </w:p>
        </w:tc>
        <w:tc>
          <w:tcPr>
            <w:tcW w:w="2283" w:type="dxa"/>
          </w:tcPr>
          <w:p w14:paraId="52538495" w14:textId="1E4AAC00" w:rsidR="00C53759" w:rsidRDefault="00C53759" w:rsidP="00AA4B67">
            <w:pPr>
              <w:pStyle w:val="Tabledata"/>
            </w:pPr>
            <w:r>
              <w:t>Operational Policy</w:t>
            </w:r>
          </w:p>
        </w:tc>
        <w:tc>
          <w:tcPr>
            <w:tcW w:w="2881" w:type="dxa"/>
          </w:tcPr>
          <w:p w14:paraId="691228C9" w14:textId="12511718" w:rsidR="00C53759" w:rsidRDefault="00C53759" w:rsidP="00AA4B67">
            <w:pPr>
              <w:pStyle w:val="Tabledata"/>
            </w:pPr>
            <w:r>
              <w:t>Approved by A/Director Operational Projects, Policy, Compliance and Contracts</w:t>
            </w:r>
          </w:p>
        </w:tc>
        <w:tc>
          <w:tcPr>
            <w:tcW w:w="1699" w:type="dxa"/>
          </w:tcPr>
          <w:p w14:paraId="78B38CFE" w14:textId="4C75B501" w:rsidR="00C53759" w:rsidRDefault="00C53759" w:rsidP="00AA4B67">
            <w:pPr>
              <w:pStyle w:val="Tabledata"/>
            </w:pPr>
            <w:r>
              <w:t>1 October 2021</w:t>
            </w:r>
          </w:p>
        </w:tc>
        <w:tc>
          <w:tcPr>
            <w:tcW w:w="1694" w:type="dxa"/>
          </w:tcPr>
          <w:p w14:paraId="2AAEF419" w14:textId="0AB44F06" w:rsidR="00C53759" w:rsidRDefault="00C53759" w:rsidP="00AA4B67">
            <w:pPr>
              <w:pStyle w:val="Tabledata"/>
            </w:pPr>
            <w:r>
              <w:t>19 October 2021</w:t>
            </w:r>
          </w:p>
        </w:tc>
      </w:tr>
      <w:tr w:rsidR="00D07E67" w:rsidRPr="007D3C6F" w14:paraId="057CE066" w14:textId="77777777" w:rsidTr="00D07E67">
        <w:trPr>
          <w:trHeight w:val="806"/>
        </w:trPr>
        <w:tc>
          <w:tcPr>
            <w:tcW w:w="1051" w:type="dxa"/>
          </w:tcPr>
          <w:p w14:paraId="4102FD34" w14:textId="14DA18AB" w:rsidR="00D07E67" w:rsidRDefault="00D07E67" w:rsidP="00AA4B67">
            <w:pPr>
              <w:pStyle w:val="Tabledata"/>
            </w:pPr>
            <w:r>
              <w:t>2.0</w:t>
            </w:r>
          </w:p>
        </w:tc>
        <w:tc>
          <w:tcPr>
            <w:tcW w:w="2283" w:type="dxa"/>
          </w:tcPr>
          <w:p w14:paraId="5A91EA63" w14:textId="77777777" w:rsidR="00D07E67" w:rsidRDefault="00D07E67" w:rsidP="00AA4B67">
            <w:pPr>
              <w:pStyle w:val="Tabledata"/>
            </w:pPr>
            <w:r>
              <w:t>Operational Policy</w:t>
            </w:r>
          </w:p>
          <w:p w14:paraId="4B4AEAF6" w14:textId="77777777" w:rsidR="002A5984" w:rsidRDefault="002A5984" w:rsidP="002A5984">
            <w:pPr>
              <w:pStyle w:val="Tabledata"/>
            </w:pPr>
          </w:p>
          <w:p w14:paraId="2AB8984C" w14:textId="5624BDCB" w:rsidR="002A5984" w:rsidRDefault="002A5984" w:rsidP="009D2A8F">
            <w:pPr>
              <w:pStyle w:val="Tabledata"/>
            </w:pPr>
          </w:p>
        </w:tc>
        <w:tc>
          <w:tcPr>
            <w:tcW w:w="2881" w:type="dxa"/>
          </w:tcPr>
          <w:p w14:paraId="162A7A05" w14:textId="77777777" w:rsidR="00870964" w:rsidRDefault="00870964" w:rsidP="00870964">
            <w:pPr>
              <w:pStyle w:val="Tabledata"/>
            </w:pPr>
            <w:r>
              <w:t xml:space="preserve">Approved by the Deputy Commissioner </w:t>
            </w:r>
          </w:p>
          <w:p w14:paraId="7697C2D1" w14:textId="77777777" w:rsidR="00870964" w:rsidRDefault="00870964" w:rsidP="00870964">
            <w:pPr>
              <w:pStyle w:val="Tabledata"/>
            </w:pPr>
            <w:r>
              <w:t>Operational Support</w:t>
            </w:r>
          </w:p>
          <w:p w14:paraId="06B75E60" w14:textId="3719C430" w:rsidR="00D07E67" w:rsidRDefault="00870964" w:rsidP="00870964">
            <w:pPr>
              <w:pStyle w:val="Tabledata"/>
            </w:pPr>
            <w:r>
              <w:t>CM Ref: S23/99511</w:t>
            </w:r>
          </w:p>
        </w:tc>
        <w:tc>
          <w:tcPr>
            <w:tcW w:w="1699" w:type="dxa"/>
          </w:tcPr>
          <w:p w14:paraId="43AC3648" w14:textId="0BEAB7C8" w:rsidR="00D07E67" w:rsidRDefault="00870964" w:rsidP="00AA4B67">
            <w:pPr>
              <w:pStyle w:val="Tabledata"/>
            </w:pPr>
            <w:r>
              <w:t>15 November 2023</w:t>
            </w:r>
          </w:p>
        </w:tc>
        <w:tc>
          <w:tcPr>
            <w:tcW w:w="1694" w:type="dxa"/>
          </w:tcPr>
          <w:p w14:paraId="40AB44D8" w14:textId="2C78AFCC" w:rsidR="00D07E67" w:rsidRDefault="00737872" w:rsidP="00AA4B67">
            <w:pPr>
              <w:pStyle w:val="Tabledata"/>
            </w:pPr>
            <w:r>
              <w:t>1</w:t>
            </w:r>
            <w:r w:rsidR="008416F6">
              <w:t>8</w:t>
            </w:r>
            <w:r>
              <w:t xml:space="preserve"> December 2023</w:t>
            </w:r>
          </w:p>
        </w:tc>
      </w:tr>
      <w:tr w:rsidR="00870964" w:rsidRPr="007D3C6F" w14:paraId="435D0363" w14:textId="77777777" w:rsidTr="00D07E67">
        <w:trPr>
          <w:trHeight w:val="806"/>
        </w:trPr>
        <w:tc>
          <w:tcPr>
            <w:tcW w:w="1051" w:type="dxa"/>
          </w:tcPr>
          <w:p w14:paraId="0F6AA229" w14:textId="7013F719" w:rsidR="00870964" w:rsidRPr="00C23238" w:rsidRDefault="00870964" w:rsidP="00AA4B67">
            <w:pPr>
              <w:pStyle w:val="Tabledata"/>
            </w:pPr>
            <w:r w:rsidRPr="00C23238">
              <w:t>3.0</w:t>
            </w:r>
          </w:p>
        </w:tc>
        <w:tc>
          <w:tcPr>
            <w:tcW w:w="2283" w:type="dxa"/>
          </w:tcPr>
          <w:p w14:paraId="08DBB885" w14:textId="117EDAFF" w:rsidR="00870964" w:rsidRPr="00C23238" w:rsidRDefault="00870964" w:rsidP="00AA4B67">
            <w:pPr>
              <w:pStyle w:val="Tabledata"/>
            </w:pPr>
            <w:r w:rsidRPr="00C23238">
              <w:t>Operational Policy</w:t>
            </w:r>
          </w:p>
        </w:tc>
        <w:tc>
          <w:tcPr>
            <w:tcW w:w="2881" w:type="dxa"/>
          </w:tcPr>
          <w:p w14:paraId="1D0C569B" w14:textId="77777777" w:rsidR="00870964" w:rsidRPr="00C23238" w:rsidRDefault="00870964" w:rsidP="00870964">
            <w:pPr>
              <w:pStyle w:val="Tabledata"/>
            </w:pPr>
            <w:bookmarkStart w:id="21" w:name="_Hlk230862842"/>
            <w:r w:rsidRPr="00C23238">
              <w:t xml:space="preserve">Approved by the Deputy Commissioner </w:t>
            </w:r>
          </w:p>
          <w:p w14:paraId="7D633320" w14:textId="77777777" w:rsidR="00870964" w:rsidRPr="00C23238" w:rsidRDefault="00870964" w:rsidP="00870964">
            <w:pPr>
              <w:pStyle w:val="Tabledata"/>
            </w:pPr>
            <w:r w:rsidRPr="00C23238">
              <w:t>Operational Support</w:t>
            </w:r>
          </w:p>
          <w:p w14:paraId="70426D94" w14:textId="4B8E9092" w:rsidR="00870964" w:rsidRPr="00C23238" w:rsidRDefault="00870964" w:rsidP="009D2A8F">
            <w:pPr>
              <w:pStyle w:val="Tabledata"/>
            </w:pPr>
            <w:r w:rsidRPr="00C23238">
              <w:t>CM Ref: S25/14900</w:t>
            </w:r>
            <w:bookmarkEnd w:id="21"/>
          </w:p>
        </w:tc>
        <w:tc>
          <w:tcPr>
            <w:tcW w:w="1699" w:type="dxa"/>
          </w:tcPr>
          <w:p w14:paraId="3F72A780" w14:textId="1BA2504D" w:rsidR="00870964" w:rsidRPr="00C23238" w:rsidRDefault="00870964" w:rsidP="00AA4B67">
            <w:pPr>
              <w:pStyle w:val="Tabledata"/>
            </w:pPr>
            <w:r w:rsidRPr="00C23238">
              <w:t>05 May 2025</w:t>
            </w:r>
          </w:p>
        </w:tc>
        <w:tc>
          <w:tcPr>
            <w:tcW w:w="1694" w:type="dxa"/>
          </w:tcPr>
          <w:p w14:paraId="2C90A029" w14:textId="78F3EC27" w:rsidR="00870964" w:rsidRPr="00C23238" w:rsidRDefault="00870964" w:rsidP="00AA4B67">
            <w:pPr>
              <w:pStyle w:val="Tabledata"/>
            </w:pPr>
            <w:r w:rsidRPr="00C23238">
              <w:t>08 May 2025</w:t>
            </w:r>
          </w:p>
        </w:tc>
      </w:tr>
      <w:tr w:rsidR="00870964" w:rsidRPr="007D3C6F" w14:paraId="2FD3E709" w14:textId="77777777" w:rsidTr="00D07E67">
        <w:trPr>
          <w:trHeight w:val="806"/>
        </w:trPr>
        <w:tc>
          <w:tcPr>
            <w:tcW w:w="1051" w:type="dxa"/>
          </w:tcPr>
          <w:p w14:paraId="78E4041F" w14:textId="21DA5039" w:rsidR="00870964" w:rsidRPr="00141DE8" w:rsidRDefault="00870964" w:rsidP="00AA4B67">
            <w:pPr>
              <w:pStyle w:val="Tabledata"/>
            </w:pPr>
            <w:r w:rsidRPr="00141DE8">
              <w:t>4.0</w:t>
            </w:r>
          </w:p>
        </w:tc>
        <w:tc>
          <w:tcPr>
            <w:tcW w:w="2283" w:type="dxa"/>
          </w:tcPr>
          <w:p w14:paraId="5E7F114C" w14:textId="447A82CB" w:rsidR="00870964" w:rsidRPr="00141DE8" w:rsidRDefault="00870964" w:rsidP="00AA4B67">
            <w:pPr>
              <w:pStyle w:val="Tabledata"/>
            </w:pPr>
            <w:r w:rsidRPr="00141DE8">
              <w:t>Operational Policy</w:t>
            </w:r>
          </w:p>
        </w:tc>
        <w:tc>
          <w:tcPr>
            <w:tcW w:w="2881" w:type="dxa"/>
          </w:tcPr>
          <w:p w14:paraId="1A0EB808" w14:textId="77777777" w:rsidR="00870964" w:rsidRPr="00141DE8" w:rsidRDefault="00870964" w:rsidP="00870964">
            <w:pPr>
              <w:pStyle w:val="Tabledata"/>
            </w:pPr>
            <w:r w:rsidRPr="00141DE8">
              <w:t xml:space="preserve">Approved by the Deputy Commissioner </w:t>
            </w:r>
          </w:p>
          <w:p w14:paraId="41B6D89B" w14:textId="77777777" w:rsidR="00870964" w:rsidRPr="00141DE8" w:rsidRDefault="00870964" w:rsidP="00870964">
            <w:pPr>
              <w:pStyle w:val="Tabledata"/>
            </w:pPr>
            <w:r w:rsidRPr="00141DE8">
              <w:t>Operational Support</w:t>
            </w:r>
          </w:p>
          <w:p w14:paraId="4BC76A26" w14:textId="7B33A037" w:rsidR="00870964" w:rsidRPr="00141DE8" w:rsidRDefault="00870964" w:rsidP="00870964">
            <w:pPr>
              <w:pStyle w:val="Tabledata"/>
            </w:pPr>
            <w:r w:rsidRPr="00141DE8">
              <w:t>CM Ref: S2</w:t>
            </w:r>
            <w:r w:rsidR="00F87AA6" w:rsidRPr="00141DE8">
              <w:t>6</w:t>
            </w:r>
            <w:r w:rsidRPr="00141DE8">
              <w:t>/</w:t>
            </w:r>
            <w:r w:rsidR="00141DE8">
              <w:t>60960</w:t>
            </w:r>
          </w:p>
        </w:tc>
        <w:tc>
          <w:tcPr>
            <w:tcW w:w="1699" w:type="dxa"/>
          </w:tcPr>
          <w:p w14:paraId="3C400FF8" w14:textId="1FAFA816" w:rsidR="00870964" w:rsidRPr="00141DE8" w:rsidRDefault="00141DE8" w:rsidP="00AA4B67">
            <w:pPr>
              <w:pStyle w:val="Tabledata"/>
            </w:pPr>
            <w:r>
              <w:t>10 June 2026</w:t>
            </w:r>
          </w:p>
        </w:tc>
        <w:tc>
          <w:tcPr>
            <w:tcW w:w="1694" w:type="dxa"/>
          </w:tcPr>
          <w:p w14:paraId="00B1609C" w14:textId="543D1697" w:rsidR="00870964" w:rsidRPr="00C23238" w:rsidRDefault="00141DE8" w:rsidP="00AA4B67">
            <w:pPr>
              <w:pStyle w:val="Tabledata"/>
            </w:pPr>
            <w:r>
              <w:t>11 June 2025</w:t>
            </w:r>
          </w:p>
        </w:tc>
      </w:tr>
    </w:tbl>
    <w:p w14:paraId="60738DE9" w14:textId="77777777" w:rsidR="00245869" w:rsidRPr="00D05B49" w:rsidRDefault="00245869" w:rsidP="00D05B49"/>
    <w:sectPr w:rsidR="00245869" w:rsidRPr="00D05B49" w:rsidSect="009814BD">
      <w:headerReference w:type="default" r:id="rId23"/>
      <w:footerReference w:type="default" r:id="rId24"/>
      <w:type w:val="continuous"/>
      <w:pgSz w:w="11900" w:h="16840" w:code="9"/>
      <w:pgMar w:top="1418" w:right="1418" w:bottom="1134" w:left="1304"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8466E" w14:textId="77777777" w:rsidR="00371DAF" w:rsidRDefault="00371DAF" w:rsidP="00D06E62">
      <w:r>
        <w:separator/>
      </w:r>
    </w:p>
  </w:endnote>
  <w:endnote w:type="continuationSeparator" w:id="0">
    <w:p w14:paraId="3A548876" w14:textId="77777777" w:rsidR="00371DAF" w:rsidRDefault="00371DAF" w:rsidP="00D0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Bold">
    <w:panose1 w:val="020B0704020202020204"/>
    <w:charset w:val="00"/>
    <w:family w:val="roman"/>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66AE5" w14:textId="77777777" w:rsidR="009B751B" w:rsidRDefault="00627992" w:rsidP="00663830">
    <w:pPr>
      <w:pStyle w:val="Footer"/>
      <w:tabs>
        <w:tab w:val="clear" w:pos="9026"/>
        <w:tab w:val="left" w:pos="1095"/>
        <w:tab w:val="left" w:pos="8080"/>
      </w:tabs>
    </w:pPr>
    <w:r w:rsidRPr="00627992">
      <w:rPr>
        <w:color w:val="C00000"/>
      </w:rPr>
      <w:t>The current version of this document is maintained on the Prison Operations intranet page</w:t>
    </w:r>
    <w:r>
      <w:tab/>
    </w:r>
    <w:r w:rsidRPr="00627992">
      <w:t xml:space="preserve">Page </w:t>
    </w:r>
    <w:r w:rsidRPr="00627992">
      <w:fldChar w:fldCharType="begin"/>
    </w:r>
    <w:r w:rsidRPr="00627992">
      <w:instrText xml:space="preserve"> PAGE  \* Arabic  \* MERGEFORMAT </w:instrText>
    </w:r>
    <w:r w:rsidRPr="00627992">
      <w:fldChar w:fldCharType="separate"/>
    </w:r>
    <w:r w:rsidR="004C274A">
      <w:rPr>
        <w:noProof/>
      </w:rPr>
      <w:t>5</w:t>
    </w:r>
    <w:r w:rsidRPr="00627992">
      <w:fldChar w:fldCharType="end"/>
    </w:r>
    <w:r w:rsidRPr="00627992">
      <w:t xml:space="preserve"> of </w:t>
    </w:r>
    <w:r w:rsidR="00644A2D">
      <w:rPr>
        <w:noProof/>
      </w:rPr>
      <w:fldChar w:fldCharType="begin"/>
    </w:r>
    <w:r w:rsidR="00644A2D">
      <w:rPr>
        <w:noProof/>
      </w:rPr>
      <w:instrText xml:space="preserve"> NUMPAGES  \* Arabic  \* MERGEFORMAT </w:instrText>
    </w:r>
    <w:r w:rsidR="00644A2D">
      <w:rPr>
        <w:noProof/>
      </w:rPr>
      <w:fldChar w:fldCharType="separate"/>
    </w:r>
    <w:r w:rsidR="004C274A">
      <w:rPr>
        <w:noProof/>
      </w:rPr>
      <w:t>5</w:t>
    </w:r>
    <w:r w:rsidR="00644A2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9F15E" w14:textId="77777777" w:rsidR="00371DAF" w:rsidRDefault="00371DAF" w:rsidP="00D06E62">
      <w:r>
        <w:separator/>
      </w:r>
    </w:p>
  </w:footnote>
  <w:footnote w:type="continuationSeparator" w:id="0">
    <w:p w14:paraId="02B9A183" w14:textId="77777777" w:rsidR="00371DAF" w:rsidRDefault="00371DAF" w:rsidP="00D06E62">
      <w:r>
        <w:continuationSeparator/>
      </w:r>
    </w:p>
  </w:footnote>
  <w:footnote w:id="1">
    <w:p w14:paraId="7D9C3CB5" w14:textId="77777777" w:rsidR="00AB5995" w:rsidRDefault="00AB5995" w:rsidP="00AB5995">
      <w:pPr>
        <w:pStyle w:val="FootnoteText"/>
      </w:pPr>
      <w:r>
        <w:rPr>
          <w:rStyle w:val="FootnoteReference"/>
        </w:rPr>
        <w:footnoteRef/>
      </w:r>
      <w:r>
        <w:t xml:space="preserve"> </w:t>
      </w:r>
      <w:r w:rsidRPr="00303689">
        <w:rPr>
          <w:i/>
          <w:iCs/>
        </w:rPr>
        <w:t>Criminal Law (Mental Impairment) Act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00C46" w14:textId="30593520" w:rsidR="00663830" w:rsidRDefault="00663830" w:rsidP="00663830">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sidR="00870964">
      <w:rPr>
        <w:noProof/>
      </w:rPr>
      <w:t>COPP 7.4 Young People at Risk of Self-Harm or Requiring Additional Support and Monitoring</w:t>
    </w:r>
    <w:r>
      <w:rPr>
        <w:noProof/>
      </w:rPr>
      <w:fldChar w:fldCharType="end"/>
    </w:r>
    <w:r w:rsidR="003E7C04">
      <w:rPr>
        <w:noProof/>
      </w:rPr>
      <w:t xml:space="preserve"> </w:t>
    </w:r>
    <w:r>
      <w:rPr>
        <w:noProof/>
      </w:rPr>
      <w:t xml:space="preserve">v </w:t>
    </w:r>
    <w:r w:rsidR="009C6A86">
      <w:rPr>
        <w:noProof/>
      </w:rPr>
      <w:t>2</w:t>
    </w:r>
    <w:r w:rsidR="00F71643">
      <w:rPr>
        <w:noProof/>
      </w:rPr>
      <w:t>.0</w:t>
    </w:r>
  </w:p>
  <w:p w14:paraId="43E3BB70" w14:textId="77777777" w:rsidR="000925A5" w:rsidRDefault="000925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5522" w14:textId="77777777" w:rsidR="005657AE" w:rsidRDefault="00663830">
    <w:pPr>
      <w:pStyle w:val="Header"/>
    </w:pPr>
    <w:r w:rsidRPr="008114B3">
      <w:rPr>
        <w:rFonts w:cs="Arial"/>
        <w:noProof/>
        <w:sz w:val="56"/>
        <w:szCs w:val="56"/>
        <w:lang w:eastAsia="en-AU"/>
      </w:rPr>
      <mc:AlternateContent>
        <mc:Choice Requires="wps">
          <w:drawing>
            <wp:anchor distT="0" distB="0" distL="114300" distR="114300" simplePos="0" relativeHeight="251669504" behindDoc="0" locked="0" layoutInCell="1" allowOverlap="1" wp14:anchorId="53573564" wp14:editId="53A80E2D">
              <wp:simplePos x="0" y="0"/>
              <wp:positionH relativeFrom="margin">
                <wp:posOffset>181610</wp:posOffset>
              </wp:positionH>
              <wp:positionV relativeFrom="paragraph">
                <wp:posOffset>220980</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1483379727"/>
                          </w:sdtPr>
                          <w:sdtEndPr>
                            <w:rPr>
                              <w:sz w:val="20"/>
                              <w:szCs w:val="20"/>
                            </w:rPr>
                          </w:sdtEndPr>
                          <w:sdtContent>
                            <w:p w14:paraId="698E08EE" w14:textId="77777777" w:rsidR="008D51C1" w:rsidRPr="00464E72" w:rsidRDefault="008D51C1"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573564" id="_x0000_t202" coordsize="21600,21600" o:spt="202" path="m,l,21600r21600,l21600,xe">
              <v:stroke joinstyle="miter"/>
              <v:path gradientshapeok="t" o:connecttype="rect"/>
            </v:shapetype>
            <v:shape id="Text Box 1" o:spid="_x0000_s1026" type="#_x0000_t202" style="position:absolute;margin-left:14.3pt;margin-top:17.4pt;width:129.75pt;height:23.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" filled="f" stroked="f">
              <v:textbox>
                <w:txbxContent>
                  <w:sdt>
                    <w:sdtPr>
                      <w:rPr>
                        <w:rFonts w:ascii="Arial Bold" w:hAnsi="Arial Bold"/>
                        <w:b/>
                        <w:color w:val="FFFFFF" w:themeColor="background1"/>
                      </w:rPr>
                      <w:id w:val="-1483379727"/>
                    </w:sdtPr>
                    <w:sdtEndPr>
                      <w:rPr>
                        <w:sz w:val="20"/>
                        <w:szCs w:val="20"/>
                      </w:rPr>
                    </w:sdtEndPr>
                    <w:sdtContent>
                      <w:p w14:paraId="698E08EE" w14:textId="77777777" w:rsidR="008D51C1" w:rsidRPr="00464E72" w:rsidRDefault="008D51C1"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Pr>
        <w:noProof/>
        <w:lang w:eastAsia="en-AU"/>
      </w:rPr>
      <mc:AlternateContent>
        <mc:Choice Requires="wps">
          <w:drawing>
            <wp:anchor distT="0" distB="0" distL="114300" distR="114300" simplePos="0" relativeHeight="251665408" behindDoc="0" locked="0" layoutInCell="1" allowOverlap="1" wp14:anchorId="7134ADCF" wp14:editId="0CFCD9C2">
              <wp:simplePos x="0" y="0"/>
              <wp:positionH relativeFrom="column">
                <wp:posOffset>2543810</wp:posOffset>
              </wp:positionH>
              <wp:positionV relativeFrom="paragraph">
                <wp:posOffset>-17145</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AB0166" w14:textId="77777777" w:rsidR="00B937D8" w:rsidRDefault="00B937D8" w:rsidP="00B937D8">
                          <w:pPr>
                            <w:pStyle w:val="Publicationtitle"/>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34ADCF" id="Text Box 21" o:spid="_x0000_s1027" type="#_x0000_t202" style="position:absolute;margin-left:200.3pt;margin-top:-1.35pt;width:312.7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" filled="f" stroked="f" strokeweight=".5pt">
              <v:textbox>
                <w:txbxContent>
                  <w:p w14:paraId="65AB0166" w14:textId="77777777" w:rsidR="00B937D8" w:rsidRDefault="00B937D8" w:rsidP="00B937D8">
                    <w:pPr>
                      <w:pStyle w:val="Publicationtitle"/>
                    </w:pPr>
                    <w:r>
                      <w:t>Commissioner’s Operating Policy and Procedure (COPP)</w:t>
                    </w:r>
                  </w:p>
                </w:txbxContent>
              </v:textbox>
            </v:shape>
          </w:pict>
        </mc:Fallback>
      </mc:AlternateContent>
    </w:r>
    <w:r>
      <w:rPr>
        <w:noProof/>
        <w:lang w:eastAsia="en-AU"/>
      </w:rPr>
      <w:drawing>
        <wp:anchor distT="0" distB="0" distL="114300" distR="114300" simplePos="0" relativeHeight="251671552" behindDoc="1" locked="0" layoutInCell="1" allowOverlap="1" wp14:anchorId="5B3AAF2E" wp14:editId="755F7164">
          <wp:simplePos x="0" y="0"/>
          <wp:positionH relativeFrom="page">
            <wp:posOffset>-29210</wp:posOffset>
          </wp:positionH>
          <wp:positionV relativeFrom="page">
            <wp:posOffset>-59055</wp:posOffset>
          </wp:positionV>
          <wp:extent cx="7580630" cy="10719435"/>
          <wp:effectExtent l="0" t="0" r="127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6203F" w14:textId="169B757A" w:rsidR="009B751B" w:rsidRDefault="00644A2D" w:rsidP="004D040B">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sidR="00227E36">
      <w:rPr>
        <w:noProof/>
      </w:rPr>
      <w:t>COPP 7.4 Young People at Risk of Self-Harm or Requiring Additional Support and Monitoring</w:t>
    </w:r>
    <w:r>
      <w:rPr>
        <w:noProof/>
      </w:rPr>
      <w:fldChar w:fldCharType="end"/>
    </w:r>
    <w:r w:rsidR="00B937D8">
      <w:rPr>
        <w:noProof/>
      </w:rPr>
      <w:t xml:space="preserve"> </w:t>
    </w:r>
    <w:r w:rsidR="00C31022">
      <w:rPr>
        <w:noProof/>
      </w:rPr>
      <w:t>v4</w:t>
    </w:r>
    <w:r w:rsidR="00920781">
      <w:rPr>
        <w:noProof/>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6684E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B8113D"/>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9A5360B"/>
    <w:multiLevelType w:val="hybridMultilevel"/>
    <w:tmpl w:val="0E424F36"/>
    <w:lvl w:ilvl="0" w:tplc="0C090001">
      <w:start w:val="1"/>
      <w:numFmt w:val="bullet"/>
      <w:lvlText w:val=""/>
      <w:lvlJc w:val="left"/>
      <w:pPr>
        <w:ind w:left="720" w:hanging="360"/>
      </w:pPr>
      <w:rPr>
        <w:rFonts w:ascii="Symbol" w:hAnsi="Symbo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704332F"/>
    <w:multiLevelType w:val="hybridMultilevel"/>
    <w:tmpl w:val="809A0DDA"/>
    <w:lvl w:ilvl="0" w:tplc="CE30BCAA">
      <w:start w:val="1"/>
      <w:numFmt w:val="lowerLetter"/>
      <w:lvlText w:val="%1."/>
      <w:lvlJc w:val="left"/>
      <w:pPr>
        <w:ind w:left="1440" w:hanging="360"/>
      </w:pPr>
    </w:lvl>
    <w:lvl w:ilvl="1" w:tplc="442472EE">
      <w:start w:val="1"/>
      <w:numFmt w:val="lowerLetter"/>
      <w:lvlText w:val="%2."/>
      <w:lvlJc w:val="left"/>
      <w:pPr>
        <w:ind w:left="1440" w:hanging="360"/>
      </w:pPr>
    </w:lvl>
    <w:lvl w:ilvl="2" w:tplc="8F9865B8">
      <w:start w:val="1"/>
      <w:numFmt w:val="lowerLetter"/>
      <w:lvlText w:val="%3."/>
      <w:lvlJc w:val="left"/>
      <w:pPr>
        <w:ind w:left="1440" w:hanging="360"/>
      </w:pPr>
    </w:lvl>
    <w:lvl w:ilvl="3" w:tplc="B9684FCA">
      <w:start w:val="1"/>
      <w:numFmt w:val="lowerLetter"/>
      <w:lvlText w:val="%4."/>
      <w:lvlJc w:val="left"/>
      <w:pPr>
        <w:ind w:left="1440" w:hanging="360"/>
      </w:pPr>
    </w:lvl>
    <w:lvl w:ilvl="4" w:tplc="812AC404">
      <w:start w:val="1"/>
      <w:numFmt w:val="lowerLetter"/>
      <w:lvlText w:val="%5."/>
      <w:lvlJc w:val="left"/>
      <w:pPr>
        <w:ind w:left="1440" w:hanging="360"/>
      </w:pPr>
    </w:lvl>
    <w:lvl w:ilvl="5" w:tplc="6C789242">
      <w:start w:val="1"/>
      <w:numFmt w:val="lowerLetter"/>
      <w:lvlText w:val="%6."/>
      <w:lvlJc w:val="left"/>
      <w:pPr>
        <w:ind w:left="1440" w:hanging="360"/>
      </w:pPr>
    </w:lvl>
    <w:lvl w:ilvl="6" w:tplc="8F6A64FE">
      <w:start w:val="1"/>
      <w:numFmt w:val="lowerLetter"/>
      <w:lvlText w:val="%7."/>
      <w:lvlJc w:val="left"/>
      <w:pPr>
        <w:ind w:left="1440" w:hanging="360"/>
      </w:pPr>
    </w:lvl>
    <w:lvl w:ilvl="7" w:tplc="DF9AB22A">
      <w:start w:val="1"/>
      <w:numFmt w:val="lowerLetter"/>
      <w:lvlText w:val="%8."/>
      <w:lvlJc w:val="left"/>
      <w:pPr>
        <w:ind w:left="1440" w:hanging="360"/>
      </w:pPr>
    </w:lvl>
    <w:lvl w:ilvl="8" w:tplc="683E86E0">
      <w:start w:val="1"/>
      <w:numFmt w:val="lowerLetter"/>
      <w:lvlText w:val="%9."/>
      <w:lvlJc w:val="left"/>
      <w:pPr>
        <w:ind w:left="1440" w:hanging="360"/>
      </w:pPr>
    </w:lvl>
  </w:abstractNum>
  <w:abstractNum w:abstractNumId="4" w15:restartNumberingAfterBreak="0">
    <w:nsid w:val="19C96965"/>
    <w:multiLevelType w:val="multilevel"/>
    <w:tmpl w:val="7A44155A"/>
    <w:lvl w:ilvl="0">
      <w:start w:val="1"/>
      <w:numFmt w:val="decimal"/>
      <w:lvlText w:val="%1."/>
      <w:lvlJc w:val="left"/>
      <w:pPr>
        <w:tabs>
          <w:tab w:val="num" w:pos="851"/>
        </w:tabs>
        <w:ind w:left="851" w:hanging="851"/>
      </w:pPr>
      <w:rPr>
        <w:rFonts w:hint="default"/>
      </w:rPr>
    </w:lvl>
    <w:lvl w:ilvl="1">
      <w:start w:val="1"/>
      <w:numFmt w:val="decimal"/>
      <w:isLgl/>
      <w:lvlText w:val="%1.%2"/>
      <w:lvlJc w:val="left"/>
      <w:pPr>
        <w:tabs>
          <w:tab w:val="num" w:pos="851"/>
        </w:tabs>
        <w:ind w:left="851" w:hanging="851"/>
      </w:pPr>
      <w:rPr>
        <w:rFonts w:hint="default"/>
      </w:rPr>
    </w:lvl>
    <w:lvl w:ilvl="2">
      <w:start w:val="1"/>
      <w:numFmt w:val="decimal"/>
      <w:pStyle w:val="111Heading"/>
      <w:isLgl/>
      <w:lvlText w:val="%1.%2.%3"/>
      <w:lvlJc w:val="left"/>
      <w:pPr>
        <w:tabs>
          <w:tab w:val="num" w:pos="1419"/>
        </w:tabs>
        <w:ind w:left="1419" w:hanging="851"/>
      </w:pPr>
      <w:rPr>
        <w:rFonts w:hint="default"/>
        <w:b w:val="0"/>
        <w:color w:val="000000" w:themeColor="text1"/>
        <w:sz w:val="24"/>
        <w:szCs w:val="24"/>
      </w:rPr>
    </w:lvl>
    <w:lvl w:ilvl="3">
      <w:start w:val="1"/>
      <w:numFmt w:val="decimal"/>
      <w:isLgl/>
      <w:lvlText w:val="%1.%2.%3.%4"/>
      <w:lvlJc w:val="left"/>
      <w:pPr>
        <w:tabs>
          <w:tab w:val="num" w:pos="539"/>
        </w:tabs>
        <w:ind w:left="539" w:hanging="720"/>
      </w:pPr>
      <w:rPr>
        <w:rFonts w:hint="default"/>
      </w:rPr>
    </w:lvl>
    <w:lvl w:ilvl="4">
      <w:start w:val="1"/>
      <w:numFmt w:val="decimal"/>
      <w:isLgl/>
      <w:lvlText w:val="%1.%2.%3.%4.%5"/>
      <w:lvlJc w:val="left"/>
      <w:pPr>
        <w:tabs>
          <w:tab w:val="num" w:pos="899"/>
        </w:tabs>
        <w:ind w:left="899" w:hanging="1080"/>
      </w:pPr>
      <w:rPr>
        <w:rFonts w:hint="default"/>
      </w:rPr>
    </w:lvl>
    <w:lvl w:ilvl="5">
      <w:start w:val="1"/>
      <w:numFmt w:val="decimal"/>
      <w:isLgl/>
      <w:lvlText w:val="%1.%2.%3.%4.%5.%6"/>
      <w:lvlJc w:val="left"/>
      <w:pPr>
        <w:tabs>
          <w:tab w:val="num" w:pos="1259"/>
        </w:tabs>
        <w:ind w:left="1259" w:hanging="1440"/>
      </w:pPr>
      <w:rPr>
        <w:rFonts w:hint="default"/>
      </w:rPr>
    </w:lvl>
    <w:lvl w:ilvl="6">
      <w:start w:val="1"/>
      <w:numFmt w:val="decimal"/>
      <w:isLgl/>
      <w:lvlText w:val="%1.%2.%3.%4.%5.%6.%7"/>
      <w:lvlJc w:val="left"/>
      <w:pPr>
        <w:tabs>
          <w:tab w:val="num" w:pos="1259"/>
        </w:tabs>
        <w:ind w:left="1259" w:hanging="1440"/>
      </w:pPr>
      <w:rPr>
        <w:rFonts w:hint="default"/>
      </w:rPr>
    </w:lvl>
    <w:lvl w:ilvl="7">
      <w:start w:val="1"/>
      <w:numFmt w:val="decimal"/>
      <w:isLgl/>
      <w:lvlText w:val="%1.%2.%3.%4.%5.%6.%7.%8"/>
      <w:lvlJc w:val="left"/>
      <w:pPr>
        <w:tabs>
          <w:tab w:val="num" w:pos="1619"/>
        </w:tabs>
        <w:ind w:left="1619" w:hanging="1800"/>
      </w:pPr>
      <w:rPr>
        <w:rFonts w:hint="default"/>
      </w:rPr>
    </w:lvl>
    <w:lvl w:ilvl="8">
      <w:start w:val="1"/>
      <w:numFmt w:val="decimal"/>
      <w:isLgl/>
      <w:lvlText w:val="%1.%2.%3.%4.%5.%6.%7.%8.%9"/>
      <w:lvlJc w:val="left"/>
      <w:pPr>
        <w:tabs>
          <w:tab w:val="num" w:pos="1619"/>
        </w:tabs>
        <w:ind w:left="1619" w:hanging="1800"/>
      </w:pPr>
      <w:rPr>
        <w:rFonts w:hint="default"/>
      </w:rPr>
    </w:lvl>
  </w:abstractNum>
  <w:abstractNum w:abstractNumId="5" w15:restartNumberingAfterBreak="0">
    <w:nsid w:val="200A583F"/>
    <w:multiLevelType w:val="hybridMultilevel"/>
    <w:tmpl w:val="3C4A2FEA"/>
    <w:lvl w:ilvl="0" w:tplc="480EC24A">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EDC6DA2"/>
    <w:multiLevelType w:val="hybridMultilevel"/>
    <w:tmpl w:val="84F42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6CB5324"/>
    <w:multiLevelType w:val="hybridMultilevel"/>
    <w:tmpl w:val="BA1898B6"/>
    <w:lvl w:ilvl="0" w:tplc="3378D644">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BB41DE4"/>
    <w:multiLevelType w:val="multilevel"/>
    <w:tmpl w:val="84F42C78"/>
    <w:lvl w:ilvl="0">
      <w:start w:val="1"/>
      <w:numFmt w:val="bullet"/>
      <w:lvlText w:val=""/>
      <w:lvlJc w:val="left"/>
      <w:pPr>
        <w:ind w:left="720" w:hanging="360"/>
      </w:pPr>
      <w:rPr>
        <w:rFonts w:ascii="Symbol" w:hAnsi="Symbol"/>
        <w:color w:val="C0000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C831FC1"/>
    <w:multiLevelType w:val="hybridMultilevel"/>
    <w:tmpl w:val="CDD6458C"/>
    <w:lvl w:ilvl="0" w:tplc="81540DCC">
      <w:start w:val="1"/>
      <w:numFmt w:val="decimal"/>
      <w:lvlText w:val="%1."/>
      <w:lvlJc w:val="left"/>
      <w:pPr>
        <w:ind w:left="1440" w:hanging="360"/>
      </w:pPr>
    </w:lvl>
    <w:lvl w:ilvl="1" w:tplc="BF70CD30">
      <w:start w:val="1"/>
      <w:numFmt w:val="decimal"/>
      <w:lvlText w:val="%2."/>
      <w:lvlJc w:val="left"/>
      <w:pPr>
        <w:ind w:left="1440" w:hanging="360"/>
      </w:pPr>
    </w:lvl>
    <w:lvl w:ilvl="2" w:tplc="4B7E6FC0">
      <w:start w:val="1"/>
      <w:numFmt w:val="decimal"/>
      <w:lvlText w:val="%3."/>
      <w:lvlJc w:val="left"/>
      <w:pPr>
        <w:ind w:left="1440" w:hanging="360"/>
      </w:pPr>
    </w:lvl>
    <w:lvl w:ilvl="3" w:tplc="82D0E85C">
      <w:start w:val="1"/>
      <w:numFmt w:val="decimal"/>
      <w:lvlText w:val="%4."/>
      <w:lvlJc w:val="left"/>
      <w:pPr>
        <w:ind w:left="1440" w:hanging="360"/>
      </w:pPr>
    </w:lvl>
    <w:lvl w:ilvl="4" w:tplc="BDDC5BB8">
      <w:start w:val="1"/>
      <w:numFmt w:val="decimal"/>
      <w:lvlText w:val="%5."/>
      <w:lvlJc w:val="left"/>
      <w:pPr>
        <w:ind w:left="1440" w:hanging="360"/>
      </w:pPr>
    </w:lvl>
    <w:lvl w:ilvl="5" w:tplc="22E6260E">
      <w:start w:val="1"/>
      <w:numFmt w:val="decimal"/>
      <w:lvlText w:val="%6."/>
      <w:lvlJc w:val="left"/>
      <w:pPr>
        <w:ind w:left="1440" w:hanging="360"/>
      </w:pPr>
    </w:lvl>
    <w:lvl w:ilvl="6" w:tplc="5EC6316E">
      <w:start w:val="1"/>
      <w:numFmt w:val="decimal"/>
      <w:lvlText w:val="%7."/>
      <w:lvlJc w:val="left"/>
      <w:pPr>
        <w:ind w:left="1440" w:hanging="360"/>
      </w:pPr>
    </w:lvl>
    <w:lvl w:ilvl="7" w:tplc="BE6A75F2">
      <w:start w:val="1"/>
      <w:numFmt w:val="decimal"/>
      <w:lvlText w:val="%8."/>
      <w:lvlJc w:val="left"/>
      <w:pPr>
        <w:ind w:left="1440" w:hanging="360"/>
      </w:pPr>
    </w:lvl>
    <w:lvl w:ilvl="8" w:tplc="555281DA">
      <w:start w:val="1"/>
      <w:numFmt w:val="decimal"/>
      <w:lvlText w:val="%9."/>
      <w:lvlJc w:val="left"/>
      <w:pPr>
        <w:ind w:left="1440" w:hanging="360"/>
      </w:pPr>
    </w:lvl>
  </w:abstractNum>
  <w:abstractNum w:abstractNumId="10" w15:restartNumberingAfterBreak="0">
    <w:nsid w:val="41C61053"/>
    <w:multiLevelType w:val="hybridMultilevel"/>
    <w:tmpl w:val="E620191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4DDC4894"/>
    <w:multiLevelType w:val="hybridMultilevel"/>
    <w:tmpl w:val="41769648"/>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E7760A9"/>
    <w:multiLevelType w:val="hybridMultilevel"/>
    <w:tmpl w:val="94F4E5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7CA2FB1"/>
    <w:multiLevelType w:val="hybridMultilevel"/>
    <w:tmpl w:val="AE740B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C45666"/>
    <w:multiLevelType w:val="hybridMultilevel"/>
    <w:tmpl w:val="85CA1922"/>
    <w:lvl w:ilvl="0" w:tplc="941451E4">
      <w:start w:val="1"/>
      <w:numFmt w:val="decimal"/>
      <w:lvlText w:val="%1."/>
      <w:lvlJc w:val="left"/>
      <w:pPr>
        <w:ind w:left="1440" w:hanging="360"/>
      </w:pPr>
    </w:lvl>
    <w:lvl w:ilvl="1" w:tplc="F65256D0">
      <w:start w:val="1"/>
      <w:numFmt w:val="decimal"/>
      <w:lvlText w:val="%2."/>
      <w:lvlJc w:val="left"/>
      <w:pPr>
        <w:ind w:left="1440" w:hanging="360"/>
      </w:pPr>
    </w:lvl>
    <w:lvl w:ilvl="2" w:tplc="D8F49E24">
      <w:start w:val="1"/>
      <w:numFmt w:val="decimal"/>
      <w:lvlText w:val="%3."/>
      <w:lvlJc w:val="left"/>
      <w:pPr>
        <w:ind w:left="1440" w:hanging="360"/>
      </w:pPr>
    </w:lvl>
    <w:lvl w:ilvl="3" w:tplc="3A30B8FE">
      <w:start w:val="1"/>
      <w:numFmt w:val="decimal"/>
      <w:lvlText w:val="%4."/>
      <w:lvlJc w:val="left"/>
      <w:pPr>
        <w:ind w:left="1440" w:hanging="360"/>
      </w:pPr>
    </w:lvl>
    <w:lvl w:ilvl="4" w:tplc="7292E59E">
      <w:start w:val="1"/>
      <w:numFmt w:val="decimal"/>
      <w:lvlText w:val="%5."/>
      <w:lvlJc w:val="left"/>
      <w:pPr>
        <w:ind w:left="1440" w:hanging="360"/>
      </w:pPr>
    </w:lvl>
    <w:lvl w:ilvl="5" w:tplc="8B7C8666">
      <w:start w:val="1"/>
      <w:numFmt w:val="decimal"/>
      <w:lvlText w:val="%6."/>
      <w:lvlJc w:val="left"/>
      <w:pPr>
        <w:ind w:left="1440" w:hanging="360"/>
      </w:pPr>
    </w:lvl>
    <w:lvl w:ilvl="6" w:tplc="94A62020">
      <w:start w:val="1"/>
      <w:numFmt w:val="decimal"/>
      <w:lvlText w:val="%7."/>
      <w:lvlJc w:val="left"/>
      <w:pPr>
        <w:ind w:left="1440" w:hanging="360"/>
      </w:pPr>
    </w:lvl>
    <w:lvl w:ilvl="7" w:tplc="E77E76CE">
      <w:start w:val="1"/>
      <w:numFmt w:val="decimal"/>
      <w:lvlText w:val="%8."/>
      <w:lvlJc w:val="left"/>
      <w:pPr>
        <w:ind w:left="1440" w:hanging="360"/>
      </w:pPr>
    </w:lvl>
    <w:lvl w:ilvl="8" w:tplc="2BD849B4">
      <w:start w:val="1"/>
      <w:numFmt w:val="decimal"/>
      <w:lvlText w:val="%9."/>
      <w:lvlJc w:val="left"/>
      <w:pPr>
        <w:ind w:left="1440" w:hanging="360"/>
      </w:pPr>
    </w:lvl>
  </w:abstractNum>
  <w:abstractNum w:abstractNumId="15" w15:restartNumberingAfterBreak="0">
    <w:nsid w:val="6B3C3CC7"/>
    <w:multiLevelType w:val="multilevel"/>
    <w:tmpl w:val="ECB0ADF4"/>
    <w:lvl w:ilvl="0">
      <w:start w:val="1"/>
      <w:numFmt w:val="bullet"/>
      <w:lvlText w:val=""/>
      <w:lvlJc w:val="left"/>
      <w:pPr>
        <w:tabs>
          <w:tab w:val="num" w:pos="851"/>
        </w:tabs>
        <w:ind w:left="851" w:hanging="851"/>
      </w:pPr>
      <w:rPr>
        <w:rFonts w:ascii="Symbol" w:hAnsi="Symbol" w:hint="default"/>
      </w:rPr>
    </w:lvl>
    <w:lvl w:ilvl="1">
      <w:start w:val="1"/>
      <w:numFmt w:val="decimal"/>
      <w:isLgl/>
      <w:lvlText w:val="%1.%2"/>
      <w:lvlJc w:val="left"/>
      <w:pPr>
        <w:tabs>
          <w:tab w:val="num" w:pos="851"/>
        </w:tabs>
        <w:ind w:left="851" w:hanging="851"/>
      </w:pPr>
      <w:rPr>
        <w:rFonts w:hint="default"/>
      </w:rPr>
    </w:lvl>
    <w:lvl w:ilvl="2">
      <w:start w:val="1"/>
      <w:numFmt w:val="decimal"/>
      <w:isLgl/>
      <w:lvlText w:val="%1.%2.%3"/>
      <w:lvlJc w:val="left"/>
      <w:pPr>
        <w:tabs>
          <w:tab w:val="num" w:pos="1419"/>
        </w:tabs>
        <w:ind w:left="1419" w:hanging="851"/>
      </w:pPr>
      <w:rPr>
        <w:rFonts w:hint="default"/>
        <w:b w:val="0"/>
        <w:color w:val="000000" w:themeColor="text1"/>
        <w:sz w:val="24"/>
        <w:szCs w:val="24"/>
      </w:rPr>
    </w:lvl>
    <w:lvl w:ilvl="3">
      <w:start w:val="1"/>
      <w:numFmt w:val="decimal"/>
      <w:isLgl/>
      <w:lvlText w:val="%1.%2.%3.%4"/>
      <w:lvlJc w:val="left"/>
      <w:pPr>
        <w:tabs>
          <w:tab w:val="num" w:pos="539"/>
        </w:tabs>
        <w:ind w:left="539" w:hanging="720"/>
      </w:pPr>
      <w:rPr>
        <w:rFonts w:hint="default"/>
      </w:rPr>
    </w:lvl>
    <w:lvl w:ilvl="4">
      <w:start w:val="1"/>
      <w:numFmt w:val="decimal"/>
      <w:isLgl/>
      <w:lvlText w:val="%1.%2.%3.%4.%5"/>
      <w:lvlJc w:val="left"/>
      <w:pPr>
        <w:tabs>
          <w:tab w:val="num" w:pos="899"/>
        </w:tabs>
        <w:ind w:left="899" w:hanging="1080"/>
      </w:pPr>
      <w:rPr>
        <w:rFonts w:hint="default"/>
      </w:rPr>
    </w:lvl>
    <w:lvl w:ilvl="5">
      <w:start w:val="1"/>
      <w:numFmt w:val="decimal"/>
      <w:isLgl/>
      <w:lvlText w:val="%1.%2.%3.%4.%5.%6"/>
      <w:lvlJc w:val="left"/>
      <w:pPr>
        <w:tabs>
          <w:tab w:val="num" w:pos="1259"/>
        </w:tabs>
        <w:ind w:left="1259" w:hanging="1440"/>
      </w:pPr>
      <w:rPr>
        <w:rFonts w:hint="default"/>
      </w:rPr>
    </w:lvl>
    <w:lvl w:ilvl="6">
      <w:start w:val="1"/>
      <w:numFmt w:val="decimal"/>
      <w:isLgl/>
      <w:lvlText w:val="%1.%2.%3.%4.%5.%6.%7"/>
      <w:lvlJc w:val="left"/>
      <w:pPr>
        <w:tabs>
          <w:tab w:val="num" w:pos="1259"/>
        </w:tabs>
        <w:ind w:left="1259" w:hanging="1440"/>
      </w:pPr>
      <w:rPr>
        <w:rFonts w:hint="default"/>
      </w:rPr>
    </w:lvl>
    <w:lvl w:ilvl="7">
      <w:start w:val="1"/>
      <w:numFmt w:val="decimal"/>
      <w:isLgl/>
      <w:lvlText w:val="%1.%2.%3.%4.%5.%6.%7.%8"/>
      <w:lvlJc w:val="left"/>
      <w:pPr>
        <w:tabs>
          <w:tab w:val="num" w:pos="1619"/>
        </w:tabs>
        <w:ind w:left="1619" w:hanging="1800"/>
      </w:pPr>
      <w:rPr>
        <w:rFonts w:hint="default"/>
      </w:rPr>
    </w:lvl>
    <w:lvl w:ilvl="8">
      <w:start w:val="1"/>
      <w:numFmt w:val="decimal"/>
      <w:isLgl/>
      <w:lvlText w:val="%1.%2.%3.%4.%5.%6.%7.%8.%9"/>
      <w:lvlJc w:val="left"/>
      <w:pPr>
        <w:tabs>
          <w:tab w:val="num" w:pos="1619"/>
        </w:tabs>
        <w:ind w:left="1619" w:hanging="1800"/>
      </w:pPr>
      <w:rPr>
        <w:rFonts w:hint="default"/>
      </w:rPr>
    </w:lvl>
  </w:abstractNum>
  <w:abstractNum w:abstractNumId="16" w15:restartNumberingAfterBreak="0">
    <w:nsid w:val="75FD4723"/>
    <w:multiLevelType w:val="hybridMultilevel"/>
    <w:tmpl w:val="0D222CBA"/>
    <w:lvl w:ilvl="0" w:tplc="312E38C6">
      <w:start w:val="1"/>
      <w:numFmt w:val="decimal"/>
      <w:pStyle w:val="ListNumber"/>
      <w:lvlText w:val="%1."/>
      <w:lvlJc w:val="left"/>
      <w:pPr>
        <w:ind w:left="720" w:hanging="360"/>
      </w:pPr>
      <w:rPr>
        <w:rFonts w:ascii="Arial" w:hAnsi="Arial" w:hint="default"/>
        <w:b w:val="0"/>
        <w:i w:val="0"/>
        <w:color w:val="auto"/>
        <w:sz w:val="24"/>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B634C6D"/>
    <w:multiLevelType w:val="hybridMultilevel"/>
    <w:tmpl w:val="4DDEC75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8" w15:restartNumberingAfterBreak="0">
    <w:nsid w:val="7D6A17D4"/>
    <w:multiLevelType w:val="hybridMultilevel"/>
    <w:tmpl w:val="A40E4C02"/>
    <w:lvl w:ilvl="0" w:tplc="66DC7A6A">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16cid:durableId="2101102070">
    <w:abstractNumId w:val="7"/>
  </w:num>
  <w:num w:numId="2" w16cid:durableId="1284074107">
    <w:abstractNumId w:val="5"/>
  </w:num>
  <w:num w:numId="3" w16cid:durableId="1270816061">
    <w:abstractNumId w:val="1"/>
  </w:num>
  <w:num w:numId="4" w16cid:durableId="1936328404">
    <w:abstractNumId w:val="0"/>
  </w:num>
  <w:num w:numId="5" w16cid:durableId="1320302101">
    <w:abstractNumId w:val="10"/>
  </w:num>
  <w:num w:numId="6" w16cid:durableId="14443014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97435384">
    <w:abstractNumId w:val="6"/>
  </w:num>
  <w:num w:numId="8" w16cid:durableId="1134830046">
    <w:abstractNumId w:val="16"/>
  </w:num>
  <w:num w:numId="9" w16cid:durableId="1531407877">
    <w:abstractNumId w:val="2"/>
  </w:num>
  <w:num w:numId="10" w16cid:durableId="1904292414">
    <w:abstractNumId w:val="8"/>
  </w:num>
  <w:num w:numId="11" w16cid:durableId="2140875655">
    <w:abstractNumId w:val="4"/>
  </w:num>
  <w:num w:numId="12" w16cid:durableId="1075590093">
    <w:abstractNumId w:val="15"/>
  </w:num>
  <w:num w:numId="13" w16cid:durableId="989333213">
    <w:abstractNumId w:val="12"/>
  </w:num>
  <w:num w:numId="14" w16cid:durableId="1977644050">
    <w:abstractNumId w:val="11"/>
  </w:num>
  <w:num w:numId="15" w16cid:durableId="696077515">
    <w:abstractNumId w:val="13"/>
  </w:num>
  <w:num w:numId="16" w16cid:durableId="1174303303">
    <w:abstractNumId w:val="18"/>
  </w:num>
  <w:num w:numId="17" w16cid:durableId="929390721">
    <w:abstractNumId w:val="17"/>
  </w:num>
  <w:num w:numId="18" w16cid:durableId="1327132805">
    <w:abstractNumId w:val="3"/>
  </w:num>
  <w:num w:numId="19" w16cid:durableId="1813326425">
    <w:abstractNumId w:val="14"/>
  </w:num>
  <w:num w:numId="20" w16cid:durableId="3925827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SR6DQ+nhnX7t4zWZjL8bM/tBfOhacWrfsJTNS+paUSDDDRlYSOo7tc7jmflUvu3eogxjGUbLalwocKzs/+666Q==" w:salt="YE+Q1x1HoTo761j0X75Wlw=="/>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nualSave" w:val="Y"/>
  </w:docVars>
  <w:rsids>
    <w:rsidRoot w:val="00754534"/>
    <w:rsid w:val="00010E90"/>
    <w:rsid w:val="00012531"/>
    <w:rsid w:val="00033383"/>
    <w:rsid w:val="000377C5"/>
    <w:rsid w:val="000378D4"/>
    <w:rsid w:val="00043B61"/>
    <w:rsid w:val="00045F51"/>
    <w:rsid w:val="00046CF7"/>
    <w:rsid w:val="00067E5B"/>
    <w:rsid w:val="000717CF"/>
    <w:rsid w:val="000755EE"/>
    <w:rsid w:val="00083645"/>
    <w:rsid w:val="000925A5"/>
    <w:rsid w:val="00095A90"/>
    <w:rsid w:val="000A013B"/>
    <w:rsid w:val="000B4C76"/>
    <w:rsid w:val="000B6320"/>
    <w:rsid w:val="000D008C"/>
    <w:rsid w:val="000D50F8"/>
    <w:rsid w:val="000D69A3"/>
    <w:rsid w:val="000E0A33"/>
    <w:rsid w:val="000E4B13"/>
    <w:rsid w:val="000F5444"/>
    <w:rsid w:val="000F6F61"/>
    <w:rsid w:val="000F7531"/>
    <w:rsid w:val="001035D6"/>
    <w:rsid w:val="001076F7"/>
    <w:rsid w:val="001158E9"/>
    <w:rsid w:val="00126611"/>
    <w:rsid w:val="00131037"/>
    <w:rsid w:val="00137A39"/>
    <w:rsid w:val="00141DE8"/>
    <w:rsid w:val="00144A1B"/>
    <w:rsid w:val="00146739"/>
    <w:rsid w:val="00150099"/>
    <w:rsid w:val="00155864"/>
    <w:rsid w:val="00155956"/>
    <w:rsid w:val="00160BAA"/>
    <w:rsid w:val="00163FE0"/>
    <w:rsid w:val="001757E8"/>
    <w:rsid w:val="0018035C"/>
    <w:rsid w:val="00190914"/>
    <w:rsid w:val="00193880"/>
    <w:rsid w:val="001E0FA1"/>
    <w:rsid w:val="001E4395"/>
    <w:rsid w:val="002104F9"/>
    <w:rsid w:val="002128F1"/>
    <w:rsid w:val="002178FA"/>
    <w:rsid w:val="00220E83"/>
    <w:rsid w:val="00227E36"/>
    <w:rsid w:val="00231A0B"/>
    <w:rsid w:val="002457AA"/>
    <w:rsid w:val="00245869"/>
    <w:rsid w:val="00250C62"/>
    <w:rsid w:val="00254316"/>
    <w:rsid w:val="0027609B"/>
    <w:rsid w:val="00285795"/>
    <w:rsid w:val="002A5984"/>
    <w:rsid w:val="002B2B65"/>
    <w:rsid w:val="002C7473"/>
    <w:rsid w:val="002D02A5"/>
    <w:rsid w:val="002E1D64"/>
    <w:rsid w:val="002E5756"/>
    <w:rsid w:val="002E6F7B"/>
    <w:rsid w:val="00302144"/>
    <w:rsid w:val="00303689"/>
    <w:rsid w:val="00303B0A"/>
    <w:rsid w:val="003052C7"/>
    <w:rsid w:val="00307964"/>
    <w:rsid w:val="00320BCD"/>
    <w:rsid w:val="0032292A"/>
    <w:rsid w:val="00345046"/>
    <w:rsid w:val="00351907"/>
    <w:rsid w:val="00363870"/>
    <w:rsid w:val="00371DAF"/>
    <w:rsid w:val="00380258"/>
    <w:rsid w:val="00383A8F"/>
    <w:rsid w:val="00395040"/>
    <w:rsid w:val="003B0B3D"/>
    <w:rsid w:val="003B7F38"/>
    <w:rsid w:val="003C0EA8"/>
    <w:rsid w:val="003C1B90"/>
    <w:rsid w:val="003D708E"/>
    <w:rsid w:val="003E63D6"/>
    <w:rsid w:val="003E6CE1"/>
    <w:rsid w:val="003E7C04"/>
    <w:rsid w:val="003F1F37"/>
    <w:rsid w:val="003F5D78"/>
    <w:rsid w:val="00400DF5"/>
    <w:rsid w:val="00402020"/>
    <w:rsid w:val="0040796F"/>
    <w:rsid w:val="00411428"/>
    <w:rsid w:val="00454078"/>
    <w:rsid w:val="00457598"/>
    <w:rsid w:val="00461D26"/>
    <w:rsid w:val="00464E72"/>
    <w:rsid w:val="00466CC7"/>
    <w:rsid w:val="004801C4"/>
    <w:rsid w:val="00481C90"/>
    <w:rsid w:val="00484419"/>
    <w:rsid w:val="00490500"/>
    <w:rsid w:val="004946F8"/>
    <w:rsid w:val="004B307A"/>
    <w:rsid w:val="004B460F"/>
    <w:rsid w:val="004B6106"/>
    <w:rsid w:val="004C040F"/>
    <w:rsid w:val="004C08C4"/>
    <w:rsid w:val="004C274A"/>
    <w:rsid w:val="004D013D"/>
    <w:rsid w:val="004D040B"/>
    <w:rsid w:val="004D1107"/>
    <w:rsid w:val="004D154A"/>
    <w:rsid w:val="004E454C"/>
    <w:rsid w:val="004E571B"/>
    <w:rsid w:val="00521AF0"/>
    <w:rsid w:val="00522B8B"/>
    <w:rsid w:val="005435EF"/>
    <w:rsid w:val="00554385"/>
    <w:rsid w:val="005657AE"/>
    <w:rsid w:val="00576EFF"/>
    <w:rsid w:val="00592112"/>
    <w:rsid w:val="005968E9"/>
    <w:rsid w:val="005A1F45"/>
    <w:rsid w:val="005A3EA6"/>
    <w:rsid w:val="005B4936"/>
    <w:rsid w:val="005D7856"/>
    <w:rsid w:val="005E566A"/>
    <w:rsid w:val="0061240E"/>
    <w:rsid w:val="006128D7"/>
    <w:rsid w:val="00613341"/>
    <w:rsid w:val="006146D6"/>
    <w:rsid w:val="00627992"/>
    <w:rsid w:val="006335A4"/>
    <w:rsid w:val="00634C54"/>
    <w:rsid w:val="006418D2"/>
    <w:rsid w:val="006444FB"/>
    <w:rsid w:val="00644A2D"/>
    <w:rsid w:val="00645B84"/>
    <w:rsid w:val="006551E7"/>
    <w:rsid w:val="00656F4A"/>
    <w:rsid w:val="00663830"/>
    <w:rsid w:val="0066550E"/>
    <w:rsid w:val="00682116"/>
    <w:rsid w:val="006835FC"/>
    <w:rsid w:val="006B3601"/>
    <w:rsid w:val="006C4F83"/>
    <w:rsid w:val="006E1D9D"/>
    <w:rsid w:val="006E3595"/>
    <w:rsid w:val="006E7CB0"/>
    <w:rsid w:val="0071032D"/>
    <w:rsid w:val="00711C79"/>
    <w:rsid w:val="00715807"/>
    <w:rsid w:val="00737872"/>
    <w:rsid w:val="007444AC"/>
    <w:rsid w:val="007522FE"/>
    <w:rsid w:val="00752A9E"/>
    <w:rsid w:val="00754534"/>
    <w:rsid w:val="00757365"/>
    <w:rsid w:val="00767687"/>
    <w:rsid w:val="00775238"/>
    <w:rsid w:val="007B0741"/>
    <w:rsid w:val="007B0D89"/>
    <w:rsid w:val="007C441E"/>
    <w:rsid w:val="007D3150"/>
    <w:rsid w:val="007D3457"/>
    <w:rsid w:val="007D3C6F"/>
    <w:rsid w:val="007E67F4"/>
    <w:rsid w:val="008000C6"/>
    <w:rsid w:val="00803710"/>
    <w:rsid w:val="0080389B"/>
    <w:rsid w:val="0080403A"/>
    <w:rsid w:val="00810227"/>
    <w:rsid w:val="008114B3"/>
    <w:rsid w:val="008416F6"/>
    <w:rsid w:val="00844223"/>
    <w:rsid w:val="00850EA5"/>
    <w:rsid w:val="00857A48"/>
    <w:rsid w:val="0086067A"/>
    <w:rsid w:val="00870964"/>
    <w:rsid w:val="008976B1"/>
    <w:rsid w:val="008A37F7"/>
    <w:rsid w:val="008B47A2"/>
    <w:rsid w:val="008B5E88"/>
    <w:rsid w:val="008D3DE0"/>
    <w:rsid w:val="008D51C1"/>
    <w:rsid w:val="008E06E6"/>
    <w:rsid w:val="0091065E"/>
    <w:rsid w:val="00920781"/>
    <w:rsid w:val="00930B45"/>
    <w:rsid w:val="0096091F"/>
    <w:rsid w:val="00970D94"/>
    <w:rsid w:val="009814BD"/>
    <w:rsid w:val="00984DD1"/>
    <w:rsid w:val="009962C0"/>
    <w:rsid w:val="009A19E1"/>
    <w:rsid w:val="009B2D55"/>
    <w:rsid w:val="009B751B"/>
    <w:rsid w:val="009C6A86"/>
    <w:rsid w:val="009D2A8F"/>
    <w:rsid w:val="009D5D43"/>
    <w:rsid w:val="00A37664"/>
    <w:rsid w:val="00A42648"/>
    <w:rsid w:val="00A42A8F"/>
    <w:rsid w:val="00A43D05"/>
    <w:rsid w:val="00A4675C"/>
    <w:rsid w:val="00A547EA"/>
    <w:rsid w:val="00A820CD"/>
    <w:rsid w:val="00A82FA4"/>
    <w:rsid w:val="00A93655"/>
    <w:rsid w:val="00AA4B67"/>
    <w:rsid w:val="00AA6897"/>
    <w:rsid w:val="00AB5995"/>
    <w:rsid w:val="00AC5EAE"/>
    <w:rsid w:val="00AC67F7"/>
    <w:rsid w:val="00AD1BB8"/>
    <w:rsid w:val="00AE3362"/>
    <w:rsid w:val="00AF4C82"/>
    <w:rsid w:val="00AF7DDC"/>
    <w:rsid w:val="00B02B08"/>
    <w:rsid w:val="00B143BB"/>
    <w:rsid w:val="00B307B5"/>
    <w:rsid w:val="00B6556E"/>
    <w:rsid w:val="00B66AA2"/>
    <w:rsid w:val="00B71202"/>
    <w:rsid w:val="00B71E59"/>
    <w:rsid w:val="00B834C3"/>
    <w:rsid w:val="00B937D8"/>
    <w:rsid w:val="00B97899"/>
    <w:rsid w:val="00BA518F"/>
    <w:rsid w:val="00BA615B"/>
    <w:rsid w:val="00BB61F7"/>
    <w:rsid w:val="00BE34ED"/>
    <w:rsid w:val="00C01C48"/>
    <w:rsid w:val="00C06A93"/>
    <w:rsid w:val="00C0767A"/>
    <w:rsid w:val="00C11C3C"/>
    <w:rsid w:val="00C14873"/>
    <w:rsid w:val="00C15484"/>
    <w:rsid w:val="00C2101E"/>
    <w:rsid w:val="00C23238"/>
    <w:rsid w:val="00C30C75"/>
    <w:rsid w:val="00C31022"/>
    <w:rsid w:val="00C34111"/>
    <w:rsid w:val="00C34C67"/>
    <w:rsid w:val="00C35BDB"/>
    <w:rsid w:val="00C420B5"/>
    <w:rsid w:val="00C53759"/>
    <w:rsid w:val="00C53CBB"/>
    <w:rsid w:val="00C56EBD"/>
    <w:rsid w:val="00C778D1"/>
    <w:rsid w:val="00C8272F"/>
    <w:rsid w:val="00C86839"/>
    <w:rsid w:val="00C8720B"/>
    <w:rsid w:val="00CA5712"/>
    <w:rsid w:val="00CB5E51"/>
    <w:rsid w:val="00CC32C2"/>
    <w:rsid w:val="00CC47AF"/>
    <w:rsid w:val="00CC5B35"/>
    <w:rsid w:val="00CC7E45"/>
    <w:rsid w:val="00CD6FF4"/>
    <w:rsid w:val="00CE1A06"/>
    <w:rsid w:val="00CE40C2"/>
    <w:rsid w:val="00CE7ED8"/>
    <w:rsid w:val="00D0221B"/>
    <w:rsid w:val="00D05B49"/>
    <w:rsid w:val="00D06E62"/>
    <w:rsid w:val="00D07E67"/>
    <w:rsid w:val="00D1076A"/>
    <w:rsid w:val="00D20E41"/>
    <w:rsid w:val="00D231EF"/>
    <w:rsid w:val="00D41476"/>
    <w:rsid w:val="00D51AB4"/>
    <w:rsid w:val="00D52373"/>
    <w:rsid w:val="00D7441A"/>
    <w:rsid w:val="00D86B37"/>
    <w:rsid w:val="00D92DF5"/>
    <w:rsid w:val="00D9330E"/>
    <w:rsid w:val="00D95AC1"/>
    <w:rsid w:val="00DA5276"/>
    <w:rsid w:val="00DD3226"/>
    <w:rsid w:val="00DE7156"/>
    <w:rsid w:val="00DE770F"/>
    <w:rsid w:val="00DF778C"/>
    <w:rsid w:val="00E05538"/>
    <w:rsid w:val="00E102E9"/>
    <w:rsid w:val="00E11E6E"/>
    <w:rsid w:val="00E26289"/>
    <w:rsid w:val="00E717FC"/>
    <w:rsid w:val="00E76C1C"/>
    <w:rsid w:val="00E81368"/>
    <w:rsid w:val="00E84D53"/>
    <w:rsid w:val="00EA2F74"/>
    <w:rsid w:val="00EA6531"/>
    <w:rsid w:val="00EA7EAC"/>
    <w:rsid w:val="00EC11D3"/>
    <w:rsid w:val="00EC2113"/>
    <w:rsid w:val="00EC5AF1"/>
    <w:rsid w:val="00EC7AB2"/>
    <w:rsid w:val="00EF1CBD"/>
    <w:rsid w:val="00EF2200"/>
    <w:rsid w:val="00F00FD5"/>
    <w:rsid w:val="00F049E7"/>
    <w:rsid w:val="00F1090C"/>
    <w:rsid w:val="00F45492"/>
    <w:rsid w:val="00F527AD"/>
    <w:rsid w:val="00F60389"/>
    <w:rsid w:val="00F6585C"/>
    <w:rsid w:val="00F71643"/>
    <w:rsid w:val="00F81AD3"/>
    <w:rsid w:val="00F87AA6"/>
    <w:rsid w:val="00F933CE"/>
    <w:rsid w:val="00F948E8"/>
    <w:rsid w:val="00FA1D8B"/>
    <w:rsid w:val="00FA430D"/>
    <w:rsid w:val="00FC1426"/>
    <w:rsid w:val="00FC361B"/>
    <w:rsid w:val="00FD07B6"/>
    <w:rsid w:val="00FE207C"/>
    <w:rsid w:val="00FF1083"/>
    <w:rsid w:val="00FF25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D8B846"/>
  <w14:defaultImageDpi w14:val="300"/>
  <w15:docId w15:val="{592E55E5-352F-4A0D-A58F-ACB6B0A7C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756"/>
    <w:rPr>
      <w:rFonts w:ascii="Arial" w:hAnsi="Arial"/>
      <w:sz w:val="24"/>
      <w:szCs w:val="24"/>
      <w:lang w:eastAsia="en-US"/>
    </w:rPr>
  </w:style>
  <w:style w:type="paragraph" w:styleId="Heading1">
    <w:name w:val="heading 1"/>
    <w:basedOn w:val="Normal"/>
    <w:next w:val="Normal"/>
    <w:link w:val="Heading1Char"/>
    <w:uiPriority w:val="9"/>
    <w:qFormat/>
    <w:rsid w:val="006444FB"/>
    <w:pPr>
      <w:keepNext/>
      <w:keepLines/>
      <w:numPr>
        <w:numId w:val="3"/>
      </w:numPr>
      <w:spacing w:before="240" w:after="120"/>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0755EE"/>
    <w:pPr>
      <w:numPr>
        <w:ilvl w:val="1"/>
      </w:numPr>
      <w:outlineLvl w:val="1"/>
    </w:pPr>
    <w:rPr>
      <w:bCs w:val="0"/>
      <w:sz w:val="24"/>
      <w:szCs w:val="26"/>
    </w:rPr>
  </w:style>
  <w:style w:type="paragraph" w:styleId="Heading3">
    <w:name w:val="heading 3"/>
    <w:basedOn w:val="Heading2"/>
    <w:next w:val="Normal"/>
    <w:link w:val="Heading3Char"/>
    <w:uiPriority w:val="9"/>
    <w:unhideWhenUsed/>
    <w:qFormat/>
    <w:rsid w:val="00C34111"/>
    <w:pPr>
      <w:numPr>
        <w:ilvl w:val="2"/>
      </w:numPr>
      <w:spacing w:before="200"/>
      <w:outlineLvl w:val="2"/>
    </w:pPr>
    <w:rPr>
      <w:b w:val="0"/>
      <w:bCs/>
    </w:rPr>
  </w:style>
  <w:style w:type="paragraph" w:styleId="Heading4">
    <w:name w:val="heading 4"/>
    <w:basedOn w:val="Normal"/>
    <w:next w:val="Normal"/>
    <w:link w:val="Heading4Char"/>
    <w:uiPriority w:val="9"/>
    <w:semiHidden/>
    <w:unhideWhenUsed/>
    <w:qFormat/>
    <w:rsid w:val="000755EE"/>
    <w:pPr>
      <w:keepNext/>
      <w:keepLines/>
      <w:numPr>
        <w:ilvl w:val="3"/>
        <w:numId w:val="3"/>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semiHidden/>
    <w:unhideWhenUsed/>
    <w:qFormat/>
    <w:rsid w:val="000755EE"/>
    <w:pPr>
      <w:keepNext/>
      <w:keepLines/>
      <w:numPr>
        <w:ilvl w:val="4"/>
        <w:numId w:val="3"/>
      </w:numPr>
      <w:spacing w:before="200"/>
      <w:outlineLvl w:val="4"/>
    </w:pPr>
    <w:rPr>
      <w:rFonts w:ascii="Calibri" w:eastAsia="MS Gothic" w:hAnsi="Calibri"/>
      <w:color w:val="243F60"/>
    </w:rPr>
  </w:style>
  <w:style w:type="paragraph" w:styleId="Heading6">
    <w:name w:val="heading 6"/>
    <w:basedOn w:val="Normal"/>
    <w:next w:val="Normal"/>
    <w:link w:val="Heading6Char"/>
    <w:uiPriority w:val="9"/>
    <w:semiHidden/>
    <w:unhideWhenUsed/>
    <w:qFormat/>
    <w:rsid w:val="000755EE"/>
    <w:pPr>
      <w:keepNext/>
      <w:keepLines/>
      <w:numPr>
        <w:ilvl w:val="5"/>
        <w:numId w:val="3"/>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semiHidden/>
    <w:unhideWhenUsed/>
    <w:qFormat/>
    <w:rsid w:val="000755EE"/>
    <w:pPr>
      <w:keepNext/>
      <w:keepLines/>
      <w:numPr>
        <w:ilvl w:val="6"/>
        <w:numId w:val="3"/>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semiHidden/>
    <w:unhideWhenUsed/>
    <w:qFormat/>
    <w:rsid w:val="000755EE"/>
    <w:pPr>
      <w:keepNext/>
      <w:keepLines/>
      <w:numPr>
        <w:ilvl w:val="7"/>
        <w:numId w:val="3"/>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semiHidden/>
    <w:unhideWhenUsed/>
    <w:qFormat/>
    <w:rsid w:val="000755EE"/>
    <w:pPr>
      <w:keepNext/>
      <w:keepLines/>
      <w:numPr>
        <w:ilvl w:val="8"/>
        <w:numId w:val="3"/>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5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iPriority w:val="99"/>
    <w:unhideWhenUsed/>
    <w:rsid w:val="00592112"/>
    <w:pPr>
      <w:tabs>
        <w:tab w:val="center" w:pos="4513"/>
        <w:tab w:val="right" w:pos="9026"/>
      </w:tabs>
      <w:ind w:left="-284"/>
    </w:pPr>
    <w:rPr>
      <w:sz w:val="20"/>
    </w:rPr>
  </w:style>
  <w:style w:type="character" w:customStyle="1" w:styleId="FooterChar">
    <w:name w:val="Footer Char"/>
    <w:link w:val="Footer"/>
    <w:uiPriority w:val="99"/>
    <w:rsid w:val="00592112"/>
    <w:rPr>
      <w:rFonts w:ascii="Arial" w:hAnsi="Arial"/>
      <w:szCs w:val="24"/>
      <w:lang w:eastAsia="en-US"/>
    </w:rPr>
  </w:style>
  <w:style w:type="paragraph" w:customStyle="1" w:styleId="Heading">
    <w:name w:val="Heading"/>
    <w:basedOn w:val="Normal"/>
    <w:qFormat/>
    <w:rsid w:val="00DF778C"/>
    <w:pPr>
      <w:spacing w:before="120" w:after="120"/>
    </w:pPr>
    <w:rPr>
      <w:b/>
      <w:color w:val="000000" w:themeColor="text1"/>
      <w:sz w:val="32"/>
    </w:rPr>
  </w:style>
  <w:style w:type="character" w:customStyle="1" w:styleId="Heading1Char">
    <w:name w:val="Heading 1 Char"/>
    <w:link w:val="Heading1"/>
    <w:uiPriority w:val="9"/>
    <w:rsid w:val="006444FB"/>
    <w:rPr>
      <w:rFonts w:ascii="Arial" w:eastAsia="MS Gothic" w:hAnsi="Arial"/>
      <w:b/>
      <w:bCs/>
      <w:color w:val="000000" w:themeColor="text1"/>
      <w:sz w:val="28"/>
      <w:szCs w:val="28"/>
      <w:lang w:val="en-US" w:eastAsia="en-US"/>
    </w:rPr>
  </w:style>
  <w:style w:type="character" w:customStyle="1" w:styleId="Heading2Char">
    <w:name w:val="Heading 2 Char"/>
    <w:link w:val="Heading2"/>
    <w:uiPriority w:val="9"/>
    <w:rsid w:val="000755EE"/>
    <w:rPr>
      <w:rFonts w:ascii="Arial" w:eastAsia="MS Gothic" w:hAnsi="Arial" w:cs="Times New Roman"/>
      <w:b/>
      <w:szCs w:val="26"/>
    </w:rPr>
  </w:style>
  <w:style w:type="character" w:customStyle="1" w:styleId="Heading3Char">
    <w:name w:val="Heading 3 Char"/>
    <w:link w:val="Heading3"/>
    <w:uiPriority w:val="9"/>
    <w:semiHidden/>
    <w:rsid w:val="00C34111"/>
    <w:rPr>
      <w:rFonts w:ascii="Arial" w:eastAsia="MS Gothic" w:hAnsi="Arial"/>
      <w:bCs/>
      <w:color w:val="003057"/>
      <w:sz w:val="24"/>
      <w:szCs w:val="26"/>
      <w:lang w:val="en-US" w:eastAsia="en-US"/>
    </w:rPr>
  </w:style>
  <w:style w:type="character" w:customStyle="1" w:styleId="Heading4Char">
    <w:name w:val="Heading 4 Char"/>
    <w:link w:val="Heading4"/>
    <w:uiPriority w:val="9"/>
    <w:semiHidden/>
    <w:rsid w:val="000755EE"/>
    <w:rPr>
      <w:rFonts w:ascii="Calibri" w:eastAsia="MS Gothic" w:hAnsi="Calibri" w:cs="Times New Roman"/>
      <w:b/>
      <w:bCs/>
      <w:i/>
      <w:iCs/>
      <w:color w:val="4F81BD"/>
    </w:rPr>
  </w:style>
  <w:style w:type="character" w:customStyle="1" w:styleId="Heading5Char">
    <w:name w:val="Heading 5 Char"/>
    <w:link w:val="Heading5"/>
    <w:uiPriority w:val="9"/>
    <w:semiHidden/>
    <w:rsid w:val="000755EE"/>
    <w:rPr>
      <w:rFonts w:ascii="Calibri" w:eastAsia="MS Gothic" w:hAnsi="Calibri" w:cs="Times New Roman"/>
      <w:color w:val="243F60"/>
    </w:rPr>
  </w:style>
  <w:style w:type="character" w:customStyle="1" w:styleId="Heading6Char">
    <w:name w:val="Heading 6 Char"/>
    <w:link w:val="Heading6"/>
    <w:uiPriority w:val="9"/>
    <w:semiHidden/>
    <w:rsid w:val="000755EE"/>
    <w:rPr>
      <w:rFonts w:ascii="Calibri" w:eastAsia="MS Gothic" w:hAnsi="Calibri" w:cs="Times New Roman"/>
      <w:i/>
      <w:iCs/>
      <w:color w:val="243F60"/>
    </w:rPr>
  </w:style>
  <w:style w:type="character" w:customStyle="1" w:styleId="Heading7Char">
    <w:name w:val="Heading 7 Char"/>
    <w:link w:val="Heading7"/>
    <w:uiPriority w:val="9"/>
    <w:semiHidden/>
    <w:rsid w:val="000755EE"/>
    <w:rPr>
      <w:rFonts w:ascii="Calibri" w:eastAsia="MS Gothic" w:hAnsi="Calibri" w:cs="Times New Roman"/>
      <w:i/>
      <w:iCs/>
      <w:color w:val="404040"/>
    </w:rPr>
  </w:style>
  <w:style w:type="character" w:customStyle="1" w:styleId="Heading8Char">
    <w:name w:val="Heading 8 Char"/>
    <w:link w:val="Heading8"/>
    <w:uiPriority w:val="9"/>
    <w:semiHidden/>
    <w:rsid w:val="000755EE"/>
    <w:rPr>
      <w:rFonts w:ascii="Calibri" w:eastAsia="MS Gothic" w:hAnsi="Calibri" w:cs="Times New Roman"/>
      <w:color w:val="404040"/>
      <w:sz w:val="20"/>
      <w:szCs w:val="20"/>
    </w:rPr>
  </w:style>
  <w:style w:type="character" w:customStyle="1" w:styleId="Heading9Char">
    <w:name w:val="Heading 9 Char"/>
    <w:link w:val="Heading9"/>
    <w:uiPriority w:val="9"/>
    <w:semiHidden/>
    <w:rsid w:val="000755EE"/>
    <w:rPr>
      <w:rFonts w:ascii="Calibri" w:eastAsia="MS Gothic" w:hAnsi="Calibri" w:cs="Times New Roman"/>
      <w:i/>
      <w:iCs/>
      <w:color w:val="404040"/>
      <w:sz w:val="20"/>
      <w:szCs w:val="20"/>
    </w:rPr>
  </w:style>
  <w:style w:type="paragraph" w:customStyle="1" w:styleId="Instructionalnote">
    <w:name w:val="Instructional note"/>
    <w:basedOn w:val="Normal"/>
    <w:qFormat/>
    <w:rsid w:val="00EA7EAC"/>
    <w:rPr>
      <w:color w:val="C00000"/>
    </w:rPr>
  </w:style>
  <w:style w:type="paragraph" w:styleId="TOCHeading">
    <w:name w:val="TOC Heading"/>
    <w:basedOn w:val="Heading1"/>
    <w:next w:val="Normal"/>
    <w:uiPriority w:val="39"/>
    <w:semiHidden/>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C34C67"/>
    <w:pPr>
      <w:tabs>
        <w:tab w:val="left" w:pos="480"/>
        <w:tab w:val="right" w:leader="dot" w:pos="9168"/>
      </w:tabs>
      <w:spacing w:after="100"/>
    </w:pPr>
  </w:style>
  <w:style w:type="paragraph" w:styleId="TOC2">
    <w:name w:val="toc 2"/>
    <w:basedOn w:val="Normal"/>
    <w:next w:val="Normal"/>
    <w:autoRedefine/>
    <w:uiPriority w:val="39"/>
    <w:unhideWhenUsed/>
    <w:rsid w:val="002E5756"/>
    <w:pPr>
      <w:tabs>
        <w:tab w:val="left" w:pos="1022"/>
        <w:tab w:val="right" w:leader="dot" w:pos="9168"/>
      </w:tabs>
      <w:spacing w:after="100"/>
      <w:ind w:left="240" w:firstLine="194"/>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uiPriority w:val="10"/>
    <w:qFormat/>
    <w:rsid w:val="00A547EA"/>
    <w:pPr>
      <w:spacing w:before="2280" w:after="240"/>
    </w:pPr>
    <w:rPr>
      <w:rFonts w:ascii="Arial Bold" w:hAnsi="Arial Bold"/>
      <w:b/>
      <w:color w:val="6A1A41"/>
      <w:sz w:val="36"/>
      <w:szCs w:val="56"/>
    </w:rPr>
  </w:style>
  <w:style w:type="character" w:customStyle="1" w:styleId="TitleChar">
    <w:name w:val="Title Char"/>
    <w:link w:val="Title"/>
    <w:uiPriority w:val="10"/>
    <w:rsid w:val="00A547EA"/>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A547EA"/>
    <w:pPr>
      <w:keepNext/>
      <w:keepLines/>
      <w:numPr>
        <w:numId w:val="4"/>
      </w:numPr>
      <w:spacing w:after="120"/>
      <w:ind w:left="357" w:hanging="357"/>
    </w:pPr>
    <w:rPr>
      <w:rFonts w:eastAsia="Times New Roman"/>
      <w:szCs w:val="22"/>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3D708E"/>
    <w:pPr>
      <w:ind w:left="720"/>
      <w:contextualSpacing/>
    </w:pPr>
  </w:style>
  <w:style w:type="paragraph" w:customStyle="1" w:styleId="Tabledata">
    <w:name w:val="Table data"/>
    <w:basedOn w:val="Normal"/>
    <w:qFormat/>
    <w:rsid w:val="00EA7EAC"/>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paragraph" w:styleId="ListNumber">
    <w:name w:val="List Number"/>
    <w:basedOn w:val="ListParagraph"/>
    <w:uiPriority w:val="99"/>
    <w:unhideWhenUsed/>
    <w:rsid w:val="002E5756"/>
    <w:pPr>
      <w:numPr>
        <w:numId w:val="8"/>
      </w:numPr>
      <w:spacing w:before="120" w:after="120"/>
      <w:ind w:hanging="578"/>
      <w:contextualSpacing w:val="0"/>
    </w:pPr>
    <w:rPr>
      <w:rFonts w:eastAsiaTheme="minorHAnsi"/>
      <w:szCs w:val="22"/>
    </w:rPr>
  </w:style>
  <w:style w:type="character" w:styleId="UnresolvedMention">
    <w:name w:val="Unresolved Mention"/>
    <w:basedOn w:val="DefaultParagraphFont"/>
    <w:uiPriority w:val="99"/>
    <w:semiHidden/>
    <w:unhideWhenUsed/>
    <w:rsid w:val="003E7C04"/>
    <w:rPr>
      <w:color w:val="605E5C"/>
      <w:shd w:val="clear" w:color="auto" w:fill="E1DFDD"/>
    </w:rPr>
  </w:style>
  <w:style w:type="paragraph" w:customStyle="1" w:styleId="111Heading">
    <w:name w:val="1.1.1 Heading"/>
    <w:basedOn w:val="Normal"/>
    <w:rsid w:val="003E7C04"/>
    <w:pPr>
      <w:numPr>
        <w:ilvl w:val="2"/>
        <w:numId w:val="11"/>
      </w:numPr>
      <w:spacing w:before="60" w:after="60"/>
    </w:pPr>
    <w:rPr>
      <w:rFonts w:eastAsia="Times New Roman"/>
      <w:lang w:eastAsia="en-AU"/>
    </w:rPr>
  </w:style>
  <w:style w:type="character" w:styleId="CommentReference">
    <w:name w:val="annotation reference"/>
    <w:basedOn w:val="DefaultParagraphFont"/>
    <w:uiPriority w:val="99"/>
    <w:semiHidden/>
    <w:unhideWhenUsed/>
    <w:rsid w:val="003E7C04"/>
    <w:rPr>
      <w:sz w:val="16"/>
      <w:szCs w:val="16"/>
    </w:rPr>
  </w:style>
  <w:style w:type="paragraph" w:styleId="CommentText">
    <w:name w:val="annotation text"/>
    <w:basedOn w:val="Normal"/>
    <w:link w:val="CommentTextChar"/>
    <w:uiPriority w:val="99"/>
    <w:unhideWhenUsed/>
    <w:rsid w:val="003E7C04"/>
    <w:rPr>
      <w:sz w:val="20"/>
      <w:szCs w:val="20"/>
    </w:rPr>
  </w:style>
  <w:style w:type="character" w:customStyle="1" w:styleId="CommentTextChar">
    <w:name w:val="Comment Text Char"/>
    <w:basedOn w:val="DefaultParagraphFont"/>
    <w:link w:val="CommentText"/>
    <w:uiPriority w:val="99"/>
    <w:rsid w:val="003E7C04"/>
    <w:rPr>
      <w:rFonts w:ascii="Arial" w:hAnsi="Arial"/>
      <w:lang w:eastAsia="en-US"/>
    </w:rPr>
  </w:style>
  <w:style w:type="paragraph" w:styleId="CommentSubject">
    <w:name w:val="annotation subject"/>
    <w:basedOn w:val="CommentText"/>
    <w:next w:val="CommentText"/>
    <w:link w:val="CommentSubjectChar"/>
    <w:uiPriority w:val="99"/>
    <w:semiHidden/>
    <w:unhideWhenUsed/>
    <w:rsid w:val="003E7C04"/>
    <w:rPr>
      <w:b/>
      <w:bCs/>
    </w:rPr>
  </w:style>
  <w:style w:type="character" w:customStyle="1" w:styleId="CommentSubjectChar">
    <w:name w:val="Comment Subject Char"/>
    <w:basedOn w:val="CommentTextChar"/>
    <w:link w:val="CommentSubject"/>
    <w:uiPriority w:val="99"/>
    <w:semiHidden/>
    <w:rsid w:val="003E7C04"/>
    <w:rPr>
      <w:rFonts w:ascii="Arial" w:hAnsi="Arial"/>
      <w:b/>
      <w:bCs/>
      <w:lang w:eastAsia="en-US"/>
    </w:rPr>
  </w:style>
  <w:style w:type="character" w:styleId="FollowedHyperlink">
    <w:name w:val="FollowedHyperlink"/>
    <w:basedOn w:val="DefaultParagraphFont"/>
    <w:uiPriority w:val="99"/>
    <w:semiHidden/>
    <w:unhideWhenUsed/>
    <w:rsid w:val="00AA4B67"/>
    <w:rPr>
      <w:color w:val="800080" w:themeColor="followedHyperlink"/>
      <w:u w:val="single"/>
    </w:rPr>
  </w:style>
  <w:style w:type="paragraph" w:styleId="TOC3">
    <w:name w:val="toc 3"/>
    <w:basedOn w:val="Normal"/>
    <w:next w:val="Normal"/>
    <w:autoRedefine/>
    <w:uiPriority w:val="39"/>
    <w:unhideWhenUsed/>
    <w:rsid w:val="00C56EBD"/>
    <w:pPr>
      <w:spacing w:after="100"/>
      <w:ind w:left="480"/>
    </w:pPr>
  </w:style>
  <w:style w:type="paragraph" w:styleId="Revision">
    <w:name w:val="Revision"/>
    <w:hidden/>
    <w:uiPriority w:val="99"/>
    <w:semiHidden/>
    <w:rsid w:val="000E4B13"/>
    <w:rPr>
      <w:rFonts w:ascii="Arial" w:hAnsi="Arial"/>
      <w:sz w:val="24"/>
      <w:szCs w:val="24"/>
      <w:lang w:eastAsia="en-US"/>
    </w:rPr>
  </w:style>
  <w:style w:type="paragraph" w:styleId="FootnoteText">
    <w:name w:val="footnote text"/>
    <w:basedOn w:val="Normal"/>
    <w:link w:val="FootnoteTextChar"/>
    <w:uiPriority w:val="99"/>
    <w:semiHidden/>
    <w:unhideWhenUsed/>
    <w:rsid w:val="00155956"/>
    <w:rPr>
      <w:sz w:val="20"/>
      <w:szCs w:val="20"/>
    </w:rPr>
  </w:style>
  <w:style w:type="character" w:customStyle="1" w:styleId="FootnoteTextChar">
    <w:name w:val="Footnote Text Char"/>
    <w:basedOn w:val="DefaultParagraphFont"/>
    <w:link w:val="FootnoteText"/>
    <w:uiPriority w:val="99"/>
    <w:semiHidden/>
    <w:rsid w:val="00155956"/>
    <w:rPr>
      <w:rFonts w:ascii="Arial" w:hAnsi="Arial"/>
      <w:lang w:eastAsia="en-US"/>
    </w:rPr>
  </w:style>
  <w:style w:type="character" w:styleId="FootnoteReference">
    <w:name w:val="footnote reference"/>
    <w:basedOn w:val="DefaultParagraphFont"/>
    <w:uiPriority w:val="99"/>
    <w:semiHidden/>
    <w:unhideWhenUsed/>
    <w:rsid w:val="00155956"/>
    <w:rPr>
      <w:vertAlign w:val="superscript"/>
    </w:rPr>
  </w:style>
  <w:style w:type="character" w:customStyle="1" w:styleId="cf01">
    <w:name w:val="cf01"/>
    <w:basedOn w:val="DefaultParagraphFont"/>
    <w:rsid w:val="000F5444"/>
    <w:rPr>
      <w:rFonts w:ascii="Segoe UI" w:hAnsi="Segoe UI" w:cs="Segoe UI" w:hint="default"/>
      <w:i/>
      <w:iCs/>
      <w:sz w:val="18"/>
      <w:szCs w:val="18"/>
    </w:rPr>
  </w:style>
  <w:style w:type="character" w:customStyle="1" w:styleId="cf11">
    <w:name w:val="cf11"/>
    <w:basedOn w:val="DefaultParagraphFont"/>
    <w:rsid w:val="000F544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982387">
      <w:bodyDiv w:val="1"/>
      <w:marLeft w:val="0"/>
      <w:marRight w:val="0"/>
      <w:marTop w:val="0"/>
      <w:marBottom w:val="0"/>
      <w:divBdr>
        <w:top w:val="none" w:sz="0" w:space="0" w:color="auto"/>
        <w:left w:val="none" w:sz="0" w:space="0" w:color="auto"/>
        <w:bottom w:val="none" w:sz="0" w:space="0" w:color="auto"/>
        <w:right w:val="none" w:sz="0" w:space="0" w:color="auto"/>
      </w:divBdr>
      <w:divsChild>
        <w:div w:id="809439159">
          <w:marLeft w:val="0"/>
          <w:marRight w:val="0"/>
          <w:marTop w:val="0"/>
          <w:marBottom w:val="0"/>
          <w:divBdr>
            <w:top w:val="none" w:sz="0" w:space="0" w:color="auto"/>
            <w:left w:val="none" w:sz="0" w:space="0" w:color="auto"/>
            <w:bottom w:val="none" w:sz="0" w:space="0" w:color="auto"/>
            <w:right w:val="none" w:sz="0" w:space="0" w:color="auto"/>
          </w:divBdr>
        </w:div>
        <w:div w:id="1655597245">
          <w:marLeft w:val="0"/>
          <w:marRight w:val="0"/>
          <w:marTop w:val="0"/>
          <w:marBottom w:val="0"/>
          <w:divBdr>
            <w:top w:val="none" w:sz="0" w:space="0" w:color="auto"/>
            <w:left w:val="none" w:sz="0" w:space="0" w:color="auto"/>
            <w:bottom w:val="none" w:sz="0" w:space="0" w:color="auto"/>
            <w:right w:val="none" w:sz="0" w:space="0" w:color="auto"/>
          </w:divBdr>
        </w:div>
      </w:divsChild>
    </w:div>
    <w:div w:id="1997562831">
      <w:bodyDiv w:val="1"/>
      <w:marLeft w:val="0"/>
      <w:marRight w:val="0"/>
      <w:marTop w:val="0"/>
      <w:marBottom w:val="0"/>
      <w:divBdr>
        <w:top w:val="none" w:sz="0" w:space="0" w:color="auto"/>
        <w:left w:val="none" w:sz="0" w:space="0" w:color="auto"/>
        <w:bottom w:val="none" w:sz="0" w:space="0" w:color="auto"/>
        <w:right w:val="none" w:sz="0" w:space="0" w:color="auto"/>
      </w:divBdr>
      <w:divsChild>
        <w:div w:id="44452314">
          <w:marLeft w:val="0"/>
          <w:marRight w:val="0"/>
          <w:marTop w:val="0"/>
          <w:marBottom w:val="0"/>
          <w:divBdr>
            <w:top w:val="none" w:sz="0" w:space="0" w:color="auto"/>
            <w:left w:val="none" w:sz="0" w:space="0" w:color="auto"/>
            <w:bottom w:val="none" w:sz="0" w:space="0" w:color="auto"/>
            <w:right w:val="none" w:sz="0" w:space="0" w:color="auto"/>
          </w:divBdr>
        </w:div>
        <w:div w:id="12999908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hildsafe.humanrights.gov.au/national-principles/about-national-principles" TargetMode="External"/><Relationship Id="rId18" Type="http://schemas.openxmlformats.org/officeDocument/2006/relationships/hyperlink" Target="https://dojwa.sharepoint.com/sites/intranet/prison-operations/Pages/bhdc-copps.asp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dojwa.sharepoint.com/search/Pages/results.aspx?k=operational%20compliance&amp;ql=3081" TargetMode="External"/><Relationship Id="rId7" Type="http://schemas.openxmlformats.org/officeDocument/2006/relationships/styles" Target="styles.xml"/><Relationship Id="rId12" Type="http://schemas.openxmlformats.org/officeDocument/2006/relationships/hyperlink" Target="https://www.ayja.org.au/wp-content/uploads/2019/04/AYJA-Poster-April-2019.pdf" TargetMode="External"/><Relationship Id="rId17" Type="http://schemas.openxmlformats.org/officeDocument/2006/relationships/hyperlink" Target="https://dojwa.sharepoint.com/sites/intranet/prison-operations/Pages/arms-sams-youth.asp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dojwa.sharepoint.com/sites/intranet/prison-operations/Pages/arms-sams-youth.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dojwa.sharepoint.com/sites/intranet/prison-operations/Pages/bhdc-copps.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hchr.org/en/instruments-mechanisms/instruments/united-nations-standard-minimum-rules-administration-juvenile" TargetMode="External"/><Relationship Id="rId22" Type="http://schemas.openxmlformats.org/officeDocument/2006/relationships/hyperlink" Target="https://dojwa.sharepoint.com/search/Pages/results.aspx?k=operational%20compliance&amp;ql=308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15230902-a580-4ba6-8738-a56353c9ac26" ContentTypeId="0x010100C5D63A055CE82242A2E4B837C82D470C" PreviousValue="false"/>
</file>

<file path=customXml/item4.xml><?xml version="1.0" encoding="utf-8"?>
<ct:contentTypeSchema xmlns:ct="http://schemas.microsoft.com/office/2006/metadata/contentType" xmlns:ma="http://schemas.microsoft.com/office/2006/metadata/properties/metaAttributes" ct:_="" ma:_="" ma:contentTypeName="DCS Document" ma:contentTypeID="0x010100C5D63A055CE82242A2E4B837C82D470C00F0D83A50F2144C42ACB5D0D7865205AD" ma:contentTypeVersion="3" ma:contentTypeDescription="" ma:contentTypeScope="" ma:versionID="42bbab49f36ed8fec9b3c3a5d5a50fb9">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5803bea382f296392a5d9361e4ac8430"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b0680b8-824f-4913-9105-d98a88a20ba5}" ma:internalName="TaxCatchAll" ma:showField="CatchAllData"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b0680b8-824f-4913-9105-d98a88a20ba5}" ma:internalName="TaxCatchAllLabel" ma:readOnly="true" ma:showField="CatchAllDataLabel"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ent Owner Name" ma:list="UserInfo" ma:SharePointGroup="4" ma:internalName="Contributor_x0020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ent Owner Email" ma:list="UserInfo" ma:SharePointGroup="4"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Content Owner Position" ma:default="Senior Project Officer"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0;#Advisory Services|8cc1496a-6584-483e-8dcd-3e26a031bf4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7;#Strategic Communications|f79bcab4-4348-403e-ad4c-9761a12bb89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8;#Community Relations|ffba8bc2-640c-4bfe-8f63-b1fc456e246a"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9;#Templates|d73d990e-b5bb-4bad-9fd6-d25e3a2f8bb9"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Youth Custodial Rules</TermName>
          <TermId xmlns="http://schemas.microsoft.com/office/infopath/2007/PartnerControls">58081a5c-2417-44d0-aab6-abfe5521b729</TermId>
        </TermInfo>
      </Terms>
    </pa8a0a93780a4945b3173f20d8e45055>
    <Contributor_x0020_Name xmlns="87620643-678a-4ec4-b8d1-35ea5295a2f1">
      <UserInfo>
        <DisplayName>Nageswaran, Nimilandra</DisplayName>
        <AccountId>20</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Corrective Services</TermName>
          <TermId xmlns="http://schemas.microsoft.com/office/infopath/2007/PartnerControls">ce9ba758-ea71-457b-9a14-44db9922bfb4</TermId>
        </TermInfo>
      </Terms>
    </n398ab4bf91e43a0a550736abedc299f>
    <TaxCatchAll xmlns="87620643-678a-4ec4-b8d1-35ea5295a2f1">
      <Value>10</Value>
      <Value>9</Value>
      <Value>8</Value>
      <Value>7</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Operational Support</TermName>
          <TermId xmlns="http://schemas.microsoft.com/office/infopath/2007/PartnerControls">06b4752c-4a05-4733-84b5-3d0fa3cfc36b</TermId>
        </TermInfo>
      </Terms>
    </kf620cb349b946fa81ca1074c0b3c5af>
    <CategoryDescription xmlns="http://schemas.microsoft.com/sharepoint.v3">The Department of Justice (the Department) is committed to the early identification and management of detainees in custody presenting either at risk to self, or as requiring multi-disciplinary intervention and additional support and monitoring.</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Community Justice Management Youth</TermName>
          <TermId xmlns="http://schemas.microsoft.com/office/infopath/2007/PartnerControls">bbc87106-b7e5-46e7-a714-53483c2cd0fb</TermId>
        </TermInfo>
      </Terms>
    </g2cdfbdd30c849e9bbb5c12aa747ff35>
    <Contributor_x0020_Email xmlns="87620643-678a-4ec4-b8d1-35ea5295a2f1">
      <UserInfo>
        <DisplayName>Nageswaran, Nimilandra</DisplayName>
        <AccountId>20</AccountId>
        <AccountType/>
      </UserInfo>
    </Contributor_x0020_Email>
    <Date_x0020_Valid_x0020_From xmlns="87620643-678a-4ec4-b8d1-35ea5295a2f1" xsi:nil="true"/>
    <_DCDateCreated xmlns="http://schemas.microsoft.com/sharepoint/v3/fields" xsi:nil="true"/>
  </documentManagement>
</p:properties>
</file>

<file path=customXml/itemProps1.xml><?xml version="1.0" encoding="utf-8"?>
<ds:datastoreItem xmlns:ds="http://schemas.openxmlformats.org/officeDocument/2006/customXml" ds:itemID="{6696C0FD-8E3F-46D2-915D-D5D66F222BA8}">
  <ds:schemaRefs>
    <ds:schemaRef ds:uri="http://schemas.openxmlformats.org/officeDocument/2006/bibliography"/>
  </ds:schemaRefs>
</ds:datastoreItem>
</file>

<file path=customXml/itemProps2.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3.xml><?xml version="1.0" encoding="utf-8"?>
<ds:datastoreItem xmlns:ds="http://schemas.openxmlformats.org/officeDocument/2006/customXml" ds:itemID="{E171D0D4-FBD3-4076-A952-B1BC63707D36}">
  <ds:schemaRefs>
    <ds:schemaRef ds:uri="Microsoft.SharePoint.Taxonomy.ContentTypeSync"/>
  </ds:schemaRefs>
</ds:datastoreItem>
</file>

<file path=customXml/itemProps4.xml><?xml version="1.0" encoding="utf-8"?>
<ds:datastoreItem xmlns:ds="http://schemas.openxmlformats.org/officeDocument/2006/customXml" ds:itemID="{734891CD-0402-4469-9D8D-E9985E0D0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D31270-8447-466A-B9FE-DA2C0C9A5A75}">
  <ds:schemaRefs>
    <ds:schemaRef ds:uri="http://schemas.microsoft.com/office/2006/metadata/properties"/>
    <ds:schemaRef ds:uri="http://schemas.microsoft.com/office/infopath/2007/PartnerControls"/>
    <ds:schemaRef ds:uri="87620643-678a-4ec4-b8d1-35ea5295a2f1"/>
    <ds:schemaRef ds:uri="http://schemas.microsoft.com/sharepoint/v3/field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1939</Words>
  <Characters>11054</Characters>
  <Application>Microsoft Office Word</Application>
  <DocSecurity>12</DocSecurity>
  <Lines>92</Lines>
  <Paragraphs>25</Paragraphs>
  <ScaleCrop>false</ScaleCrop>
  <HeadingPairs>
    <vt:vector size="2" baseType="variant">
      <vt:variant>
        <vt:lpstr>Title</vt:lpstr>
      </vt:variant>
      <vt:variant>
        <vt:i4>1</vt:i4>
      </vt:variant>
    </vt:vector>
  </HeadingPairs>
  <TitlesOfParts>
    <vt:vector size="1" baseType="lpstr">
      <vt:lpstr>COPP 7.4 Detainees at Risk of Self-Harm or Requiring Additional Support and Monitoring</vt:lpstr>
    </vt:vector>
  </TitlesOfParts>
  <Manager>Nimilandra.Nageswaran@correctiveservices.wa.gov.au</Manager>
  <Company>Department of Justice</Company>
  <LinksUpToDate>false</LinksUpToDate>
  <CharactersWithSpaces>12968</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7.4 Detainees at Risk of Self-Harm or Requiring Additional Support and Monitoring</dc:title>
  <dc:subject/>
  <dc:creator>Byrne, Claire</dc:creator>
  <cp:keywords/>
  <dc:description/>
  <cp:lastModifiedBy>Maris Margetts</cp:lastModifiedBy>
  <cp:revision>2</cp:revision>
  <cp:lastPrinted>2021-09-29T05:36:00Z</cp:lastPrinted>
  <dcterms:created xsi:type="dcterms:W3CDTF">2026-06-12T09:08:00Z</dcterms:created>
  <dcterms:modified xsi:type="dcterms:W3CDTF">2026-06-12T09:08:00Z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0x010100C5D63A055CE82242A2E4B837C82D470C00F0D83A50F2144C42ACB5D0D7865205AD</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y fmtid="{D5CDD505-2E9C-101B-9397-08002B2CF9AE}" pid="7" name="Base Target">
    <vt:lpwstr>_blank</vt:lpwstr>
  </property>
</Properties>
</file>