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63A8" w14:textId="53C10BBC" w:rsidR="00146739" w:rsidRPr="002E5756" w:rsidRDefault="002F68EE" w:rsidP="002E5756">
      <w:pPr>
        <w:pStyle w:val="Title"/>
      </w:pPr>
      <w:r>
        <w:t xml:space="preserve">COPP </w:t>
      </w:r>
      <w:r w:rsidR="004649E2">
        <w:t>7.</w:t>
      </w:r>
      <w:r w:rsidR="00DA5F9E">
        <w:t>5</w:t>
      </w:r>
      <w:r w:rsidR="004649E2">
        <w:t xml:space="preserve"> </w:t>
      </w:r>
      <w:r w:rsidR="00BB062A" w:rsidRPr="00BB062A">
        <w:t xml:space="preserve">Trans, Gender Diverse and Intersex </w:t>
      </w:r>
      <w:r w:rsidR="00C11CB5">
        <w:t>Detainees</w:t>
      </w:r>
    </w:p>
    <w:p w14:paraId="561DEE22" w14:textId="2DC581D7" w:rsidR="000D69A3" w:rsidRPr="00EA7EAC" w:rsidRDefault="00906E80" w:rsidP="00EA7EAC">
      <w:pPr>
        <w:pStyle w:val="Subtitle"/>
      </w:pPr>
      <w:r>
        <w:t xml:space="preserve">Youth </w:t>
      </w:r>
      <w:r w:rsidR="00A547EA">
        <w:t>Detention Centre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61AE5572" w14:textId="77777777" w:rsidTr="004B06D2">
        <w:trPr>
          <w:trHeight w:val="5648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554580D7" w14:textId="2D7FD844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0053E4DE" w14:textId="77777777" w:rsidR="0095242A" w:rsidRDefault="004649E2" w:rsidP="008E5DF6">
            <w:r w:rsidRPr="004649E2">
              <w:t xml:space="preserve">In </w:t>
            </w:r>
            <w:r w:rsidR="00337F7B">
              <w:t>the context of</w:t>
            </w:r>
            <w:r w:rsidRPr="004649E2">
              <w:t xml:space="preserve"> </w:t>
            </w:r>
            <w:r w:rsidR="002E5756" w:rsidRPr="004649E2">
              <w:t>the</w:t>
            </w:r>
            <w:r w:rsidR="0095242A">
              <w:t xml:space="preserve"> following:</w:t>
            </w:r>
          </w:p>
          <w:p w14:paraId="1C98645A" w14:textId="77777777" w:rsidR="0095242A" w:rsidRDefault="0095242A" w:rsidP="008E5DF6"/>
          <w:p w14:paraId="36ED5B4F" w14:textId="77777777" w:rsidR="00EF36E5" w:rsidRPr="008E5DF6" w:rsidRDefault="002848F3" w:rsidP="008E5DF6">
            <w:hyperlink r:id="rId12" w:history="1">
              <w:r w:rsidR="00EF36E5" w:rsidRPr="008D77C7">
                <w:rPr>
                  <w:rStyle w:val="Hyperlink"/>
                  <w:bCs/>
                </w:rPr>
                <w:t>Australian Human Rights Commission National Principles for Child Safe Organisations, 2018</w:t>
              </w:r>
            </w:hyperlink>
          </w:p>
          <w:p w14:paraId="4AD4ABE8" w14:textId="77777777" w:rsidR="00EF36E5" w:rsidRDefault="00EF36E5" w:rsidP="008E5DF6"/>
          <w:p w14:paraId="5BD3C4B0" w14:textId="77777777" w:rsidR="00EF36E5" w:rsidRPr="008D77C7" w:rsidRDefault="00EF36E5" w:rsidP="008E5DF6">
            <w:r w:rsidRPr="008D77C7">
              <w:t>Risk management strategies focus on preventing, identifying and mitigating risks to children and young people.</w:t>
            </w:r>
          </w:p>
          <w:p w14:paraId="662D72DF" w14:textId="77777777" w:rsidR="00EF36E5" w:rsidRPr="008D77C7" w:rsidRDefault="00EF36E5" w:rsidP="008E5DF6"/>
          <w:p w14:paraId="789CB42B" w14:textId="77777777" w:rsidR="00EF36E5" w:rsidRPr="008D77C7" w:rsidRDefault="00EF36E5" w:rsidP="008E5DF6">
            <w:r w:rsidRPr="008D77C7">
              <w:t>The organisation, including staff and volunteers, understands children and young people’s diverse circumstances and provides support and responds to those who are vulnerable.</w:t>
            </w:r>
          </w:p>
          <w:p w14:paraId="2EB8C9B0" w14:textId="77777777" w:rsidR="00EF36E5" w:rsidRDefault="00EF36E5" w:rsidP="008E5DF6"/>
          <w:p w14:paraId="021E265B" w14:textId="5A9BF51C" w:rsidR="00EF36E5" w:rsidRPr="00453790" w:rsidRDefault="002848F3" w:rsidP="008E5DF6">
            <w:hyperlink r:id="rId13" w:history="1">
              <w:r w:rsidR="00EF36E5" w:rsidRPr="001A1099">
                <w:rPr>
                  <w:rStyle w:val="Hyperlink"/>
                  <w:bCs/>
                </w:rPr>
                <w:t>Australasian Youth Justice Administrators Standards, 2009</w:t>
              </w:r>
            </w:hyperlink>
          </w:p>
          <w:p w14:paraId="44E44E49" w14:textId="77777777" w:rsidR="0095242A" w:rsidRDefault="0095242A" w:rsidP="008E5DF6"/>
          <w:p w14:paraId="4122734E" w14:textId="154438CB" w:rsidR="00EF36E5" w:rsidRDefault="00B91597" w:rsidP="008E5DF6">
            <w:r w:rsidRPr="00D37ACF">
              <w:t>Physical resources support safe and positive environments for staff, children and young people.</w:t>
            </w:r>
          </w:p>
        </w:tc>
      </w:tr>
    </w:tbl>
    <w:p w14:paraId="55FE6BB3" w14:textId="77777777" w:rsidR="0037788B" w:rsidRDefault="0037788B" w:rsidP="00803710">
      <w:pPr>
        <w:rPr>
          <w:b/>
        </w:rPr>
        <w:sectPr w:rsidR="0037788B" w:rsidSect="002E5756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47E85232" w14:textId="77777777" w:rsidR="004B06D2" w:rsidRPr="00D33552" w:rsidRDefault="004B06D2" w:rsidP="00D33552">
      <w:r>
        <w:br w:type="page"/>
      </w:r>
    </w:p>
    <w:p w14:paraId="1C76832D" w14:textId="0BD6BB9E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0479C610" w14:textId="1A776B0F" w:rsidR="001A7CF8" w:rsidRDefault="00BB675F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9427679" w:history="1">
        <w:r w:rsidR="001A7CF8" w:rsidRPr="00F461BA">
          <w:rPr>
            <w:rStyle w:val="Hyperlink"/>
            <w:noProof/>
          </w:rPr>
          <w:t>1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Scope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_Toc199427679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3</w:t>
        </w:r>
        <w:r w:rsidR="001A7CF8">
          <w:rPr>
            <w:noProof/>
            <w:webHidden/>
          </w:rPr>
          <w:fldChar w:fldCharType="end"/>
        </w:r>
      </w:hyperlink>
    </w:p>
    <w:p w14:paraId="4EB0050A" w14:textId="392E704E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0" w:history="1">
        <w:r w:rsidR="001A7CF8" w:rsidRPr="00F461BA">
          <w:rPr>
            <w:rStyle w:val="Hyperlink"/>
            <w:noProof/>
          </w:rPr>
          <w:t>2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Policy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_Toc199427680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3</w:t>
        </w:r>
        <w:r w:rsidR="001A7CF8">
          <w:rPr>
            <w:noProof/>
            <w:webHidden/>
          </w:rPr>
          <w:fldChar w:fldCharType="end"/>
        </w:r>
      </w:hyperlink>
    </w:p>
    <w:p w14:paraId="51BE376F" w14:textId="2EFDCBA5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1" w:history="1">
        <w:r w:rsidR="001A7CF8" w:rsidRPr="00F461BA">
          <w:rPr>
            <w:rStyle w:val="Hyperlink"/>
            <w:noProof/>
          </w:rPr>
          <w:t>3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Admission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_Toc199427681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5</w:t>
        </w:r>
        <w:r w:rsidR="001A7CF8">
          <w:rPr>
            <w:noProof/>
            <w:webHidden/>
          </w:rPr>
          <w:fldChar w:fldCharType="end"/>
        </w:r>
      </w:hyperlink>
    </w:p>
    <w:p w14:paraId="09617F42" w14:textId="2F12D10A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2" w:history="1">
        <w:r w:rsidR="001A7CF8" w:rsidRPr="00F461BA">
          <w:rPr>
            <w:rStyle w:val="Hyperlink"/>
            <w:noProof/>
          </w:rPr>
          <w:t>3.1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Admission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_Toc199427682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5</w:t>
        </w:r>
        <w:r w:rsidR="001A7CF8">
          <w:rPr>
            <w:noProof/>
            <w:webHidden/>
          </w:rPr>
          <w:fldChar w:fldCharType="end"/>
        </w:r>
      </w:hyperlink>
    </w:p>
    <w:p w14:paraId="7C5BC9F6" w14:textId="166DBB89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3" w:history="1">
        <w:r w:rsidR="001A7CF8" w:rsidRPr="00F461BA">
          <w:rPr>
            <w:rStyle w:val="Hyperlink"/>
            <w:noProof/>
          </w:rPr>
          <w:t>3.2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Identity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_Toc199427683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5</w:t>
        </w:r>
        <w:r w:rsidR="001A7CF8">
          <w:rPr>
            <w:noProof/>
            <w:webHidden/>
          </w:rPr>
          <w:fldChar w:fldCharType="end"/>
        </w:r>
      </w:hyperlink>
    </w:p>
    <w:p w14:paraId="685FCB0A" w14:textId="41D87D96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4" w:history="1">
        <w:r w:rsidR="001A7CF8" w:rsidRPr="00F461BA">
          <w:rPr>
            <w:rStyle w:val="Hyperlink"/>
            <w:noProof/>
          </w:rPr>
          <w:t>3.3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Preferred placement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_Toc199427684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6</w:t>
        </w:r>
        <w:r w:rsidR="001A7CF8">
          <w:rPr>
            <w:noProof/>
            <w:webHidden/>
          </w:rPr>
          <w:fldChar w:fldCharType="end"/>
        </w:r>
      </w:hyperlink>
    </w:p>
    <w:p w14:paraId="3DFD3565" w14:textId="20BACBBD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5" w:history="1">
        <w:r w:rsidR="001A7CF8" w:rsidRPr="00F461BA">
          <w:rPr>
            <w:rStyle w:val="Hyperlink"/>
            <w:noProof/>
          </w:rPr>
          <w:t>4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Searches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_Toc199427685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6</w:t>
        </w:r>
        <w:r w:rsidR="001A7CF8">
          <w:rPr>
            <w:noProof/>
            <w:webHidden/>
          </w:rPr>
          <w:fldChar w:fldCharType="end"/>
        </w:r>
      </w:hyperlink>
    </w:p>
    <w:p w14:paraId="35F639B6" w14:textId="32616FD4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6" w:history="1">
        <w:r w:rsidR="001A7CF8" w:rsidRPr="00F461BA">
          <w:rPr>
            <w:rStyle w:val="Hyperlink"/>
            <w:noProof/>
          </w:rPr>
          <w:t>5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Initial Placement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_Toc199427686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6</w:t>
        </w:r>
        <w:r w:rsidR="001A7CF8">
          <w:rPr>
            <w:noProof/>
            <w:webHidden/>
          </w:rPr>
          <w:fldChar w:fldCharType="end"/>
        </w:r>
      </w:hyperlink>
    </w:p>
    <w:p w14:paraId="4210C2AD" w14:textId="2EF88D1C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7" w:history="1">
        <w:r w:rsidR="001A7CF8" w:rsidRPr="00F461BA">
          <w:rPr>
            <w:rStyle w:val="Hyperlink"/>
            <w:noProof/>
          </w:rPr>
          <w:t>6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Property and Clothing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_Toc199427687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7</w:t>
        </w:r>
        <w:r w:rsidR="001A7CF8">
          <w:rPr>
            <w:noProof/>
            <w:webHidden/>
          </w:rPr>
          <w:fldChar w:fldCharType="end"/>
        </w:r>
      </w:hyperlink>
    </w:p>
    <w:p w14:paraId="18092C3C" w14:textId="483B4BAB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8" w:history="1">
        <w:r w:rsidR="001A7CF8" w:rsidRPr="00F461BA">
          <w:rPr>
            <w:rStyle w:val="Hyperlink"/>
            <w:noProof/>
          </w:rPr>
          <w:t>7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Placement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_Toc199427688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7</w:t>
        </w:r>
        <w:r w:rsidR="001A7CF8">
          <w:rPr>
            <w:noProof/>
            <w:webHidden/>
          </w:rPr>
          <w:fldChar w:fldCharType="end"/>
        </w:r>
      </w:hyperlink>
    </w:p>
    <w:p w14:paraId="32F2B4EB" w14:textId="063D0129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89" w:history="1">
        <w:r w:rsidR="001A7CF8" w:rsidRPr="00F461BA">
          <w:rPr>
            <w:rStyle w:val="Hyperlink"/>
            <w:noProof/>
          </w:rPr>
          <w:t>8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Management Plan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_Toc199427689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8</w:t>
        </w:r>
        <w:r w:rsidR="001A7CF8">
          <w:rPr>
            <w:noProof/>
            <w:webHidden/>
          </w:rPr>
          <w:fldChar w:fldCharType="end"/>
        </w:r>
      </w:hyperlink>
    </w:p>
    <w:p w14:paraId="24135AEA" w14:textId="50921C1E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0" w:history="1">
        <w:r w:rsidR="001A7CF8" w:rsidRPr="00F461BA">
          <w:rPr>
            <w:rStyle w:val="Hyperlink"/>
            <w:noProof/>
          </w:rPr>
          <w:t>9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Access to Support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_Toc199427690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9</w:t>
        </w:r>
        <w:r w:rsidR="001A7CF8">
          <w:rPr>
            <w:noProof/>
            <w:webHidden/>
          </w:rPr>
          <w:fldChar w:fldCharType="end"/>
        </w:r>
      </w:hyperlink>
    </w:p>
    <w:p w14:paraId="159377AF" w14:textId="61EBFA67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1" w:history="1">
        <w:r w:rsidR="001A7CF8" w:rsidRPr="00F461BA">
          <w:rPr>
            <w:rStyle w:val="Hyperlink"/>
            <w:noProof/>
          </w:rPr>
          <w:t>9.1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Visits from friends and family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_Toc199427691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9</w:t>
        </w:r>
        <w:r w:rsidR="001A7CF8">
          <w:rPr>
            <w:noProof/>
            <w:webHidden/>
          </w:rPr>
          <w:fldChar w:fldCharType="end"/>
        </w:r>
      </w:hyperlink>
    </w:p>
    <w:p w14:paraId="556342A6" w14:textId="5B165D4A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2" w:history="1">
        <w:r w:rsidR="001A7CF8" w:rsidRPr="00F461BA">
          <w:rPr>
            <w:rStyle w:val="Hyperlink"/>
            <w:noProof/>
          </w:rPr>
          <w:t>10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Access to Health Services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_Toc199427692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9</w:t>
        </w:r>
        <w:r w:rsidR="001A7CF8">
          <w:rPr>
            <w:noProof/>
            <w:webHidden/>
          </w:rPr>
          <w:fldChar w:fldCharType="end"/>
        </w:r>
      </w:hyperlink>
    </w:p>
    <w:p w14:paraId="5C00BE7C" w14:textId="568624F9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3" w:history="1">
        <w:r w:rsidR="001A7CF8" w:rsidRPr="00F461BA">
          <w:rPr>
            <w:rStyle w:val="Hyperlink"/>
            <w:noProof/>
          </w:rPr>
          <w:t>11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Escorts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_Toc199427693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9</w:t>
        </w:r>
        <w:r w:rsidR="001A7CF8">
          <w:rPr>
            <w:noProof/>
            <w:webHidden/>
          </w:rPr>
          <w:fldChar w:fldCharType="end"/>
        </w:r>
      </w:hyperlink>
    </w:p>
    <w:p w14:paraId="23986F45" w14:textId="46CFD3C6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4" w:history="1">
        <w:r w:rsidR="001A7CF8" w:rsidRPr="00F461BA">
          <w:rPr>
            <w:rStyle w:val="Hyperlink"/>
            <w:noProof/>
          </w:rPr>
          <w:t>12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Detainees Identifying as Trans, Gender Diverse, or Intersex Post Admission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_Toc199427694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9</w:t>
        </w:r>
        <w:r w:rsidR="001A7CF8">
          <w:rPr>
            <w:noProof/>
            <w:webHidden/>
          </w:rPr>
          <w:fldChar w:fldCharType="end"/>
        </w:r>
      </w:hyperlink>
    </w:p>
    <w:p w14:paraId="29F163D6" w14:textId="46AC1C76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5" w:history="1">
        <w:r w:rsidR="001A7CF8" w:rsidRPr="00F461BA">
          <w:rPr>
            <w:rStyle w:val="Hyperlink"/>
            <w:noProof/>
          </w:rPr>
          <w:t>13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Annexures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_Toc199427695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10</w:t>
        </w:r>
        <w:r w:rsidR="001A7CF8">
          <w:rPr>
            <w:noProof/>
            <w:webHidden/>
          </w:rPr>
          <w:fldChar w:fldCharType="end"/>
        </w:r>
      </w:hyperlink>
    </w:p>
    <w:p w14:paraId="2C8FE44E" w14:textId="0CEC228F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6" w:history="1">
        <w:r w:rsidR="001A7CF8" w:rsidRPr="00F461BA">
          <w:rPr>
            <w:rStyle w:val="Hyperlink"/>
            <w:noProof/>
          </w:rPr>
          <w:t>13.1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Related COPPS and document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_Toc199427696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10</w:t>
        </w:r>
        <w:r w:rsidR="001A7CF8">
          <w:rPr>
            <w:noProof/>
            <w:webHidden/>
          </w:rPr>
          <w:fldChar w:fldCharType="end"/>
        </w:r>
      </w:hyperlink>
    </w:p>
    <w:p w14:paraId="27365CD4" w14:textId="6B2BD01F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7" w:history="1">
        <w:r w:rsidR="001A7CF8" w:rsidRPr="00F461BA">
          <w:rPr>
            <w:rStyle w:val="Hyperlink"/>
            <w:noProof/>
          </w:rPr>
          <w:t>13.2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Definitions and acronyms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_Toc199427697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10</w:t>
        </w:r>
        <w:r w:rsidR="001A7CF8">
          <w:rPr>
            <w:noProof/>
            <w:webHidden/>
          </w:rPr>
          <w:fldChar w:fldCharType="end"/>
        </w:r>
      </w:hyperlink>
    </w:p>
    <w:p w14:paraId="6B93F858" w14:textId="07BA1548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8" w:history="1">
        <w:r w:rsidR="001A7CF8" w:rsidRPr="00F461BA">
          <w:rPr>
            <w:rStyle w:val="Hyperlink"/>
            <w:noProof/>
          </w:rPr>
          <w:t>13.3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Related legislation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_Toc199427698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12</w:t>
        </w:r>
        <w:r w:rsidR="001A7CF8">
          <w:rPr>
            <w:noProof/>
            <w:webHidden/>
          </w:rPr>
          <w:fldChar w:fldCharType="end"/>
        </w:r>
      </w:hyperlink>
    </w:p>
    <w:p w14:paraId="26AB452D" w14:textId="054AE73C" w:rsidR="001A7CF8" w:rsidRDefault="002848F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699" w:history="1">
        <w:r w:rsidR="001A7CF8" w:rsidRPr="00F461BA">
          <w:rPr>
            <w:rStyle w:val="Hyperlink"/>
            <w:noProof/>
            <w:lang w:val="en-US"/>
          </w:rPr>
          <w:t>13.4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Assurance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_Toc199427699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12</w:t>
        </w:r>
        <w:r w:rsidR="001A7CF8">
          <w:rPr>
            <w:noProof/>
            <w:webHidden/>
          </w:rPr>
          <w:fldChar w:fldCharType="end"/>
        </w:r>
      </w:hyperlink>
    </w:p>
    <w:p w14:paraId="138996E8" w14:textId="213A8893" w:rsidR="001A7CF8" w:rsidRDefault="002848F3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9427700" w:history="1">
        <w:r w:rsidR="001A7CF8" w:rsidRPr="00F461BA">
          <w:rPr>
            <w:rStyle w:val="Hyperlink"/>
            <w:noProof/>
          </w:rPr>
          <w:t>14</w:t>
        </w:r>
        <w:r w:rsidR="001A7CF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1A7CF8" w:rsidRPr="00F461BA">
          <w:rPr>
            <w:rStyle w:val="Hyperlink"/>
            <w:noProof/>
          </w:rPr>
          <w:t>Document Version History</w:t>
        </w:r>
        <w:r w:rsidR="001A7CF8">
          <w:rPr>
            <w:noProof/>
            <w:webHidden/>
          </w:rPr>
          <w:tab/>
        </w:r>
        <w:r w:rsidR="001A7CF8">
          <w:rPr>
            <w:noProof/>
            <w:webHidden/>
          </w:rPr>
          <w:fldChar w:fldCharType="begin"/>
        </w:r>
        <w:r w:rsidR="001A7CF8">
          <w:rPr>
            <w:noProof/>
            <w:webHidden/>
          </w:rPr>
          <w:instrText xml:space="preserve"> PAGEREF _Toc199427700 \h </w:instrText>
        </w:r>
        <w:r w:rsidR="001A7CF8">
          <w:rPr>
            <w:noProof/>
            <w:webHidden/>
          </w:rPr>
        </w:r>
        <w:r w:rsidR="001A7CF8">
          <w:rPr>
            <w:noProof/>
            <w:webHidden/>
          </w:rPr>
          <w:fldChar w:fldCharType="separate"/>
        </w:r>
        <w:r w:rsidR="001A7CF8">
          <w:rPr>
            <w:noProof/>
            <w:webHidden/>
          </w:rPr>
          <w:t>12</w:t>
        </w:r>
        <w:r w:rsidR="001A7CF8">
          <w:rPr>
            <w:noProof/>
            <w:webHidden/>
          </w:rPr>
          <w:fldChar w:fldCharType="end"/>
        </w:r>
      </w:hyperlink>
    </w:p>
    <w:p w14:paraId="77FE33A4" w14:textId="206F07AB" w:rsidR="00634C54" w:rsidRDefault="00BB675F" w:rsidP="004E571B">
      <w:r>
        <w:fldChar w:fldCharType="end"/>
      </w:r>
    </w:p>
    <w:p w14:paraId="6E100174" w14:textId="77777777" w:rsidR="00634C54" w:rsidRDefault="00634C54">
      <w:r>
        <w:br w:type="page"/>
      </w:r>
    </w:p>
    <w:p w14:paraId="7714A81D" w14:textId="77777777" w:rsidR="00C8272F" w:rsidRDefault="00C8272F" w:rsidP="00C8272F">
      <w:pPr>
        <w:pStyle w:val="Heading1"/>
      </w:pPr>
      <w:bookmarkStart w:id="0" w:name="_Toc199427679"/>
      <w:r>
        <w:lastRenderedPageBreak/>
        <w:t>Scope</w:t>
      </w:r>
      <w:bookmarkEnd w:id="0"/>
    </w:p>
    <w:p w14:paraId="0E0D353C" w14:textId="05FA1C0E" w:rsidR="00D545B6" w:rsidRDefault="00E85864" w:rsidP="00F4510C">
      <w:r w:rsidRPr="00DD3FE2">
        <w:t>This Commi</w:t>
      </w:r>
      <w:r>
        <w:t>ss</w:t>
      </w:r>
      <w:r w:rsidRPr="00DD3FE2">
        <w:t xml:space="preserve">ioner’s Operating Policy and Procedure (COPP) applies to all </w:t>
      </w:r>
      <w:r>
        <w:t xml:space="preserve">Youth </w:t>
      </w:r>
      <w:r w:rsidRPr="00DD3FE2">
        <w:t>Detention Centre Custodial Officers and staff.</w:t>
      </w:r>
    </w:p>
    <w:p w14:paraId="61E9F79E" w14:textId="32B4A8E1" w:rsidR="00D85ECE" w:rsidRPr="00315998" w:rsidRDefault="00EC5AF1" w:rsidP="00D85ECE">
      <w:pPr>
        <w:pStyle w:val="Heading1"/>
      </w:pPr>
      <w:bookmarkStart w:id="1" w:name="_Toc199427680"/>
      <w:r>
        <w:t>Policy</w:t>
      </w:r>
      <w:bookmarkEnd w:id="1"/>
      <w:r>
        <w:t xml:space="preserve"> </w:t>
      </w:r>
    </w:p>
    <w:p w14:paraId="3745D833" w14:textId="4A8278B9" w:rsidR="004E48B6" w:rsidRDefault="00654E30" w:rsidP="00D85ECE">
      <w:r>
        <w:t xml:space="preserve">This COPP has been developed to provide a standardised approach to the </w:t>
      </w:r>
      <w:r w:rsidRPr="000F1DB1">
        <w:t xml:space="preserve">management of </w:t>
      </w:r>
      <w:r w:rsidR="00515DAD" w:rsidRPr="000F1DB1">
        <w:t>trans, gender diverse</w:t>
      </w:r>
      <w:r w:rsidR="00FC6564" w:rsidRPr="000F1DB1">
        <w:t>,</w:t>
      </w:r>
      <w:r w:rsidR="00515DAD" w:rsidRPr="000F1DB1">
        <w:t xml:space="preserve"> </w:t>
      </w:r>
      <w:r w:rsidR="00FC6564" w:rsidRPr="000F1DB1">
        <w:t>and</w:t>
      </w:r>
      <w:r w:rsidR="00515DAD" w:rsidRPr="000F1DB1">
        <w:t xml:space="preserve"> intersex</w:t>
      </w:r>
      <w:r w:rsidRPr="000F1DB1">
        <w:t xml:space="preserve"> </w:t>
      </w:r>
      <w:r w:rsidR="00EA31FF" w:rsidRPr="000F1DB1">
        <w:t>detainees</w:t>
      </w:r>
      <w:r w:rsidR="00B93811" w:rsidRPr="000F1DB1">
        <w:t>. This includes</w:t>
      </w:r>
      <w:r w:rsidR="00C11CB5" w:rsidRPr="000F1DB1">
        <w:t xml:space="preserve"> </w:t>
      </w:r>
      <w:r w:rsidR="00B93811" w:rsidRPr="000F1DB1">
        <w:t xml:space="preserve">detainees holding or stating they possess </w:t>
      </w:r>
      <w:r w:rsidR="00295470" w:rsidRPr="000F1DB1">
        <w:t xml:space="preserve">a birth certificate or </w:t>
      </w:r>
      <w:r w:rsidR="00B93811" w:rsidRPr="000F1DB1">
        <w:t xml:space="preserve">an acknowledgment document under the </w:t>
      </w:r>
      <w:r w:rsidR="00B93811" w:rsidRPr="000F1DB1">
        <w:rPr>
          <w:i/>
          <w:iCs/>
        </w:rPr>
        <w:t>Births, Deaths and Marriages Act 1998</w:t>
      </w:r>
      <w:r w:rsidR="00B93811" w:rsidRPr="000F1DB1">
        <w:t>, that legally lists their sex as other than they appear, or that differs from their biological sex, in Western Australia (WA) Youth Detention Centres.</w:t>
      </w:r>
    </w:p>
    <w:p w14:paraId="1A69E781" w14:textId="77777777" w:rsidR="004E48B6" w:rsidRDefault="004E48B6" w:rsidP="00D85ECE"/>
    <w:p w14:paraId="3D45FF45" w14:textId="5FC7664E" w:rsidR="00654E30" w:rsidRDefault="00C11CB5" w:rsidP="00D85ECE">
      <w:r>
        <w:t>Local, internal</w:t>
      </w:r>
      <w:r w:rsidR="00FC6564">
        <w:t>,</w:t>
      </w:r>
      <w:r>
        <w:t xml:space="preserve"> and external stakeholders </w:t>
      </w:r>
      <w:r w:rsidR="00FC6564">
        <w:t>were</w:t>
      </w:r>
      <w:r>
        <w:t xml:space="preserve"> engaged in the development of this COPP to ensure the policy reflect</w:t>
      </w:r>
      <w:r w:rsidR="00FC6564">
        <w:t>ed</w:t>
      </w:r>
      <w:r>
        <w:t xml:space="preserve"> the commitment of the Department in the recognition of these vulnerable </w:t>
      </w:r>
      <w:r w:rsidR="00C24ABA">
        <w:t>detainees</w:t>
      </w:r>
      <w:r>
        <w:t>.</w:t>
      </w:r>
    </w:p>
    <w:p w14:paraId="6F7B2B5D" w14:textId="77777777" w:rsidR="00654E30" w:rsidRDefault="00654E30" w:rsidP="00D85ECE"/>
    <w:p w14:paraId="033A29C2" w14:textId="77777777" w:rsidR="002B648E" w:rsidRDefault="002B648E" w:rsidP="002B648E">
      <w:r>
        <w:t xml:space="preserve">Some people may identify with a gender different to the one they were assigned at birth. </w:t>
      </w:r>
      <w:r w:rsidRPr="004D128C">
        <w:t>Trans and gender diverse people may identify as male, female, non-binary (that is, neither male nor female), or in another way which reflects their gender identity</w:t>
      </w:r>
      <w:r>
        <w:t>.</w:t>
      </w:r>
    </w:p>
    <w:p w14:paraId="509021D5" w14:textId="77777777" w:rsidR="005A0664" w:rsidRDefault="005A0664" w:rsidP="00D85ECE"/>
    <w:p w14:paraId="38313AC6" w14:textId="0F6FF9A5" w:rsidR="009222B4" w:rsidRDefault="00826E55" w:rsidP="00D85ECE">
      <w:r>
        <w:t>Intersex is a term used for p</w:t>
      </w:r>
      <w:r w:rsidRPr="00826E55">
        <w:t>eople who are born with sexual anatomy, reproductive organs and/or chromosomes that are inconsistent with the typical definitions of male and female.</w:t>
      </w:r>
      <w:r w:rsidR="00DE7B84">
        <w:t xml:space="preserve"> </w:t>
      </w:r>
      <w:r w:rsidR="004D128C">
        <w:t>I</w:t>
      </w:r>
      <w:r w:rsidR="00DE7B84">
        <w:t>ntersex</w:t>
      </w:r>
      <w:r w:rsidR="004D128C">
        <w:t xml:space="preserve"> variation</w:t>
      </w:r>
      <w:r w:rsidR="00DE7B84">
        <w:t xml:space="preserve"> </w:t>
      </w:r>
      <w:r w:rsidR="004D128C" w:rsidRPr="004D128C">
        <w:t>is quite separate to their gender identity</w:t>
      </w:r>
      <w:r w:rsidR="00DE7B84">
        <w:t xml:space="preserve">. </w:t>
      </w:r>
      <w:r w:rsidR="004D128C">
        <w:t xml:space="preserve">People with an </w:t>
      </w:r>
      <w:r w:rsidR="00DE7B84">
        <w:t>intersex</w:t>
      </w:r>
      <w:r w:rsidR="004D128C">
        <w:t xml:space="preserve"> variation </w:t>
      </w:r>
      <w:r w:rsidR="00DE7B84">
        <w:t>identify as either male or female, however, there are some w</w:t>
      </w:r>
      <w:r w:rsidR="00F37D5F">
        <w:t>ho</w:t>
      </w:r>
      <w:r w:rsidR="00DE7B84">
        <w:t xml:space="preserve"> identify as neither.</w:t>
      </w:r>
    </w:p>
    <w:p w14:paraId="53319D9A" w14:textId="77777777" w:rsidR="00581F50" w:rsidRDefault="00581F50" w:rsidP="00D85ECE"/>
    <w:p w14:paraId="7C5E8A91" w14:textId="613CC8F3" w:rsidR="00592D26" w:rsidRDefault="00581F50" w:rsidP="00D85ECE">
      <w:r>
        <w:t>It is unlawful to discriminate against a person based on their gender identity or intersex status</w:t>
      </w:r>
      <w:r>
        <w:rPr>
          <w:rStyle w:val="FootnoteReference"/>
        </w:rPr>
        <w:footnoteReference w:id="1"/>
      </w:r>
      <w:r>
        <w:t>.</w:t>
      </w:r>
      <w:r w:rsidRPr="00315998">
        <w:t>Trans</w:t>
      </w:r>
      <w:r>
        <w:t xml:space="preserve">, </w:t>
      </w:r>
      <w:r w:rsidR="00A873CE">
        <w:t>non-binary</w:t>
      </w:r>
      <w:r w:rsidR="00FC6564">
        <w:t>,</w:t>
      </w:r>
      <w:r w:rsidR="00A873CE">
        <w:t xml:space="preserve"> </w:t>
      </w:r>
      <w:r w:rsidR="00FC6564">
        <w:t>and</w:t>
      </w:r>
      <w:r w:rsidRPr="00315998">
        <w:t xml:space="preserve"> intersex detainees shall be treat</w:t>
      </w:r>
      <w:r>
        <w:t>ed</w:t>
      </w:r>
      <w:r w:rsidRPr="00315998">
        <w:t xml:space="preserve"> with the same respect and dignity accorded to any other detainee and shall not be discriminated against on the grounds of their gender identity or intersex status</w:t>
      </w:r>
      <w:r>
        <w:rPr>
          <w:rStyle w:val="FootnoteReference"/>
        </w:rPr>
        <w:footnoteReference w:id="2"/>
      </w:r>
      <w:r w:rsidRPr="00315998">
        <w:t>.</w:t>
      </w:r>
    </w:p>
    <w:p w14:paraId="3D19ABD4" w14:textId="77777777" w:rsidR="00D13B4A" w:rsidRDefault="00D13B4A" w:rsidP="00D05F68"/>
    <w:p w14:paraId="0A4445F1" w14:textId="65E90688" w:rsidR="00E8401F" w:rsidRDefault="002848F3" w:rsidP="00D05F68">
      <w:hyperlink r:id="rId17" w:history="1">
        <w:r w:rsidR="00FC6564" w:rsidRPr="00FC6564">
          <w:rPr>
            <w:rStyle w:val="Hyperlink"/>
          </w:rPr>
          <w:t>LGBTIQ+ Health Australia</w:t>
        </w:r>
      </w:hyperlink>
      <w:r w:rsidR="00F54660">
        <w:t xml:space="preserve"> provides that </w:t>
      </w:r>
      <w:r w:rsidR="0093029F">
        <w:t>trans, gender diverse</w:t>
      </w:r>
      <w:r w:rsidR="00FC6564">
        <w:t>,</w:t>
      </w:r>
      <w:r w:rsidR="0093029F">
        <w:t xml:space="preserve"> and</w:t>
      </w:r>
      <w:r w:rsidR="00F54660">
        <w:t xml:space="preserve"> </w:t>
      </w:r>
      <w:r w:rsidR="00E8401F">
        <w:t>intersex children</w:t>
      </w:r>
      <w:r w:rsidR="00FC0B8B">
        <w:t xml:space="preserve"> and young people</w:t>
      </w:r>
      <w:r w:rsidR="00E8401F">
        <w:t xml:space="preserve"> are more likely to experience poor mental health </w:t>
      </w:r>
      <w:r w:rsidR="00C30FDF">
        <w:t>including depression, anxiety</w:t>
      </w:r>
      <w:r w:rsidR="00FC6564">
        <w:t>,</w:t>
      </w:r>
      <w:r w:rsidR="00C30FDF">
        <w:t xml:space="preserve"> and self-harm </w:t>
      </w:r>
      <w:r w:rsidR="00E8401F">
        <w:t xml:space="preserve">due to social exclusion and </w:t>
      </w:r>
      <w:r w:rsidR="00C30FDF">
        <w:t>discrimination</w:t>
      </w:r>
      <w:r w:rsidR="00595723">
        <w:t>.</w:t>
      </w:r>
      <w:r w:rsidR="00FC0B8B">
        <w:t xml:space="preserve"> </w:t>
      </w:r>
    </w:p>
    <w:p w14:paraId="135C5BE5" w14:textId="77777777" w:rsidR="001728BA" w:rsidRPr="00F06F56" w:rsidRDefault="001728BA" w:rsidP="00D05F68"/>
    <w:p w14:paraId="593E1803" w14:textId="3F45C954" w:rsidR="001728BA" w:rsidRPr="00D85ECE" w:rsidRDefault="001728BA" w:rsidP="001728BA">
      <w:r>
        <w:t>For trans, gender diverse</w:t>
      </w:r>
      <w:r w:rsidR="00FC6564">
        <w:t>,</w:t>
      </w:r>
      <w:r>
        <w:t xml:space="preserve"> </w:t>
      </w:r>
      <w:r w:rsidR="00FC6564">
        <w:t>and</w:t>
      </w:r>
      <w:r>
        <w:t xml:space="preserve"> intersex children and young people, puberty and adolescence can be additionally challenging and a time of distress </w:t>
      </w:r>
      <w:r w:rsidR="00FC6564">
        <w:t>regarding</w:t>
      </w:r>
      <w:r>
        <w:t xml:space="preserve"> development and changes in their bodies.</w:t>
      </w:r>
    </w:p>
    <w:p w14:paraId="783BF282" w14:textId="77777777" w:rsidR="00C674F5" w:rsidRPr="003253B7" w:rsidRDefault="00C674F5" w:rsidP="00C674F5">
      <w:pPr>
        <w:rPr>
          <w:i/>
        </w:rPr>
      </w:pPr>
    </w:p>
    <w:p w14:paraId="4FE487AD" w14:textId="0D5DBCC1" w:rsidR="003253B7" w:rsidRPr="003253B7" w:rsidRDefault="0039238C" w:rsidP="003253B7">
      <w:r>
        <w:t>D</w:t>
      </w:r>
      <w:r w:rsidR="00C674F5" w:rsidRPr="00C674F5">
        <w:t xml:space="preserve">etainees </w:t>
      </w:r>
      <w:r w:rsidR="0030569B">
        <w:t>identifying as trans</w:t>
      </w:r>
      <w:r w:rsidR="00B90100">
        <w:t xml:space="preserve">, </w:t>
      </w:r>
      <w:r w:rsidR="000854C7">
        <w:t>non-binary</w:t>
      </w:r>
      <w:r w:rsidR="00142663">
        <w:t>,</w:t>
      </w:r>
      <w:r w:rsidR="000854C7">
        <w:t xml:space="preserve"> </w:t>
      </w:r>
      <w:r w:rsidR="0030569B">
        <w:t xml:space="preserve">or intersex </w:t>
      </w:r>
      <w:r>
        <w:t xml:space="preserve">may </w:t>
      </w:r>
      <w:r w:rsidR="00B63BA1">
        <w:t xml:space="preserve">experience </w:t>
      </w:r>
      <w:r w:rsidR="00A6024B">
        <w:t xml:space="preserve">segregation </w:t>
      </w:r>
      <w:r w:rsidR="00B63BA1">
        <w:t xml:space="preserve">or </w:t>
      </w:r>
      <w:r w:rsidR="00A6024B">
        <w:t>reduced support network</w:t>
      </w:r>
      <w:r w:rsidR="00B63BA1">
        <w:t xml:space="preserve"> options</w:t>
      </w:r>
      <w:r w:rsidR="00A6024B">
        <w:t>.</w:t>
      </w:r>
      <w:r w:rsidR="003253B7" w:rsidRPr="003253B7">
        <w:t xml:space="preserve"> </w:t>
      </w:r>
      <w:r w:rsidR="00A913A4">
        <w:t xml:space="preserve">In the report </w:t>
      </w:r>
      <w:r w:rsidR="00A913A4" w:rsidRPr="00A913A4">
        <w:t>‘</w:t>
      </w:r>
      <w:hyperlink r:id="rId18" w:history="1">
        <w:r w:rsidR="00A913A4" w:rsidRPr="00A913A4">
          <w:rPr>
            <w:rStyle w:val="Hyperlink"/>
          </w:rPr>
          <w:t>Trans pathways: The mental health experiences and care pathways of trans young people</w:t>
        </w:r>
      </w:hyperlink>
      <w:r w:rsidR="00A913A4">
        <w:t>’, c</w:t>
      </w:r>
      <w:r w:rsidR="003253B7" w:rsidRPr="003253B7">
        <w:t>lose to 50% of trans young people have attempted suicide at one point in their life</w:t>
      </w:r>
      <w:r w:rsidR="00A913A4">
        <w:t>.</w:t>
      </w:r>
    </w:p>
    <w:p w14:paraId="7D742F76" w14:textId="77777777" w:rsidR="00595723" w:rsidRDefault="00595723" w:rsidP="00595723"/>
    <w:p w14:paraId="6D4DCA16" w14:textId="14648F9F" w:rsidR="00595723" w:rsidRDefault="00DB4772" w:rsidP="00595723">
      <w:r>
        <w:t>C</w:t>
      </w:r>
      <w:r w:rsidR="00595723" w:rsidRPr="00595723">
        <w:t>hallenges may be exacerbated for detainees who have other dis</w:t>
      </w:r>
      <w:r w:rsidR="00041DF5">
        <w:t xml:space="preserve">tinct identities or experiences. This </w:t>
      </w:r>
      <w:r w:rsidR="00595723" w:rsidRPr="00595723">
        <w:t>includ</w:t>
      </w:r>
      <w:r w:rsidR="00041DF5">
        <w:t>es</w:t>
      </w:r>
      <w:r w:rsidR="00595723" w:rsidRPr="00595723">
        <w:t xml:space="preserve"> detainees who are Aboriginal, from culturally and linguistic diverse backgrounds, have a disability, </w:t>
      </w:r>
      <w:r w:rsidR="00041DF5">
        <w:t xml:space="preserve">are </w:t>
      </w:r>
      <w:r w:rsidR="00595723" w:rsidRPr="00595723">
        <w:t>from a religious faith</w:t>
      </w:r>
      <w:r w:rsidR="006B0AC8">
        <w:t>,</w:t>
      </w:r>
      <w:r w:rsidR="00595723" w:rsidRPr="00595723">
        <w:t xml:space="preserve"> or from regional or remote locations.</w:t>
      </w:r>
    </w:p>
    <w:p w14:paraId="5C4E9086" w14:textId="77777777" w:rsidR="003334C5" w:rsidRDefault="003334C5" w:rsidP="00595723"/>
    <w:p w14:paraId="24D3081B" w14:textId="7BE79E2D" w:rsidR="005262F0" w:rsidRDefault="00F6033F" w:rsidP="005262F0">
      <w:r>
        <w:t xml:space="preserve">Accommodating the needs of detainees who </w:t>
      </w:r>
      <w:r w:rsidR="000854C7">
        <w:t>self-</w:t>
      </w:r>
      <w:r>
        <w:t xml:space="preserve">identify as </w:t>
      </w:r>
      <w:r w:rsidR="00515DAD" w:rsidRPr="00515DAD">
        <w:t xml:space="preserve">trans, </w:t>
      </w:r>
      <w:r w:rsidR="000854C7">
        <w:t>non-binary</w:t>
      </w:r>
      <w:r w:rsidR="006B0AC8">
        <w:t>,</w:t>
      </w:r>
      <w:r w:rsidR="000854C7">
        <w:t xml:space="preserve"> </w:t>
      </w:r>
      <w:r w:rsidR="00515DAD" w:rsidRPr="00515DAD">
        <w:t xml:space="preserve">or </w:t>
      </w:r>
      <w:r w:rsidR="00515DAD" w:rsidRPr="000F1DB1">
        <w:t xml:space="preserve">intersex </w:t>
      </w:r>
      <w:r w:rsidR="00B93811" w:rsidRPr="000F1DB1">
        <w:t xml:space="preserve">or those detainees holding or stating they possess </w:t>
      </w:r>
      <w:r w:rsidR="00F12F48" w:rsidRPr="000F1DB1">
        <w:t xml:space="preserve">a birth certificate or </w:t>
      </w:r>
      <w:r w:rsidR="00B93811" w:rsidRPr="000F1DB1">
        <w:t xml:space="preserve">an acknowledgment document under the </w:t>
      </w:r>
      <w:r w:rsidR="00B93811" w:rsidRPr="000F1DB1">
        <w:rPr>
          <w:i/>
          <w:iCs/>
        </w:rPr>
        <w:t>Births, Deaths and Marriages Act 1998</w:t>
      </w:r>
      <w:r w:rsidR="00B93811" w:rsidRPr="000F1DB1">
        <w:t xml:space="preserve">  that legally lists their sex as other than they appear, or that differs from their biological sex, </w:t>
      </w:r>
      <w:r w:rsidR="006B0AC8" w:rsidRPr="000F1DB1">
        <w:t>shall</w:t>
      </w:r>
      <w:r w:rsidRPr="000F1DB1">
        <w:t xml:space="preserve"> be met through</w:t>
      </w:r>
      <w:r>
        <w:t xml:space="preserve"> individualised </w:t>
      </w:r>
      <w:r w:rsidR="006B0AC8">
        <w:t>P</w:t>
      </w:r>
      <w:r>
        <w:t xml:space="preserve">ersonal </w:t>
      </w:r>
      <w:r w:rsidR="006B0AC8">
        <w:t>S</w:t>
      </w:r>
      <w:r>
        <w:t xml:space="preserve">upport </w:t>
      </w:r>
      <w:r w:rsidR="006B0AC8">
        <w:t>P</w:t>
      </w:r>
      <w:r>
        <w:t>lans</w:t>
      </w:r>
      <w:r w:rsidR="00A913A4">
        <w:t xml:space="preserve"> (PSP)</w:t>
      </w:r>
      <w:r>
        <w:t xml:space="preserve">, access to programs, medical </w:t>
      </w:r>
      <w:r w:rsidR="00B270C2">
        <w:t>and psychological services</w:t>
      </w:r>
      <w:r w:rsidR="006B0AC8">
        <w:t>,</w:t>
      </w:r>
      <w:r>
        <w:t xml:space="preserve"> and appropriate </w:t>
      </w:r>
      <w:r w:rsidR="00B270C2">
        <w:t>care</w:t>
      </w:r>
      <w:r>
        <w:t xml:space="preserve"> from staff</w:t>
      </w:r>
      <w:r w:rsidR="00214A3A">
        <w:t>,</w:t>
      </w:r>
      <w:r w:rsidR="00192BD8" w:rsidRPr="00192BD8">
        <w:t xml:space="preserve"> </w:t>
      </w:r>
      <w:r w:rsidR="00BB36D9">
        <w:t>balanced against</w:t>
      </w:r>
      <w:r w:rsidR="00192BD8" w:rsidRPr="00192BD8">
        <w:t xml:space="preserve"> risks to </w:t>
      </w:r>
      <w:r w:rsidR="006B0AC8">
        <w:t xml:space="preserve">the </w:t>
      </w:r>
      <w:r w:rsidR="00192BD8" w:rsidRPr="00192BD8">
        <w:t>security and good order of</w:t>
      </w:r>
      <w:r w:rsidR="00915511">
        <w:t xml:space="preserve"> the detention </w:t>
      </w:r>
      <w:r w:rsidR="00A43B28">
        <w:t>centre.</w:t>
      </w:r>
    </w:p>
    <w:p w14:paraId="780FE011" w14:textId="77777777" w:rsidR="002551B9" w:rsidRDefault="002551B9" w:rsidP="00192BD8"/>
    <w:p w14:paraId="76B6BFA3" w14:textId="02CCF20F" w:rsidR="005262F0" w:rsidRDefault="00F20136" w:rsidP="00192BD8">
      <w:r>
        <w:t xml:space="preserve">Custodial Officers need to be aware of different terminology distinctions amongst trans and gender diverse </w:t>
      </w:r>
      <w:r w:rsidR="00FA3FC2">
        <w:t xml:space="preserve">detainees </w:t>
      </w:r>
      <w:r>
        <w:t xml:space="preserve">and be respectful of the </w:t>
      </w:r>
      <w:r w:rsidR="00FA3FC2">
        <w:t xml:space="preserve">detainees </w:t>
      </w:r>
      <w:r>
        <w:t xml:space="preserve">own, individual </w:t>
      </w:r>
      <w:r w:rsidRPr="000F1DB1">
        <w:t>language.</w:t>
      </w:r>
      <w:r w:rsidR="008A6F06" w:rsidRPr="000F1DB1">
        <w:t xml:space="preserve"> All references in this COPP to trans, gender diverse or intersex prisoners will include those detainees holding or stating they possess</w:t>
      </w:r>
      <w:r w:rsidR="00F12F48" w:rsidRPr="000F1DB1">
        <w:t xml:space="preserve"> a birth certificate or</w:t>
      </w:r>
      <w:r w:rsidR="008A6F06" w:rsidRPr="000F1DB1">
        <w:t xml:space="preserve"> an acknowledgment document under the </w:t>
      </w:r>
      <w:r w:rsidR="008A6F06" w:rsidRPr="000F1DB1">
        <w:rPr>
          <w:i/>
          <w:iCs/>
        </w:rPr>
        <w:t>Births, Deaths and Marriages Act 1998</w:t>
      </w:r>
      <w:r w:rsidR="008A6F06" w:rsidRPr="000F1DB1">
        <w:t>.</w:t>
      </w:r>
    </w:p>
    <w:p w14:paraId="609BA7D4" w14:textId="77777777" w:rsidR="00FA3FC2" w:rsidRDefault="00FA3FC2" w:rsidP="00192BD8"/>
    <w:p w14:paraId="7665CD98" w14:textId="06306316" w:rsidR="000755EE" w:rsidRDefault="006168B5" w:rsidP="009D408C">
      <w:pPr>
        <w:pStyle w:val="Heading1"/>
        <w:ind w:left="431" w:hanging="431"/>
      </w:pPr>
      <w:bookmarkStart w:id="2" w:name="_Toc199427681"/>
      <w:r>
        <w:lastRenderedPageBreak/>
        <w:t>Admission</w:t>
      </w:r>
      <w:bookmarkEnd w:id="2"/>
    </w:p>
    <w:p w14:paraId="58276416" w14:textId="77777777" w:rsidR="007F2FEE" w:rsidRDefault="0074271C" w:rsidP="00140346">
      <w:pPr>
        <w:pStyle w:val="Heading2"/>
      </w:pPr>
      <w:bookmarkStart w:id="3" w:name="_Toc199427682"/>
      <w:r>
        <w:t>Admission</w:t>
      </w:r>
      <w:bookmarkEnd w:id="3"/>
    </w:p>
    <w:p w14:paraId="1C30FD1A" w14:textId="3808E5DC" w:rsidR="007F2FEE" w:rsidRPr="007F2FEE" w:rsidRDefault="00107FC6" w:rsidP="002F68EE">
      <w:pPr>
        <w:pStyle w:val="Heading3"/>
      </w:pPr>
      <w:bookmarkStart w:id="4" w:name="_Toc47703989"/>
      <w:bookmarkStart w:id="5" w:name="_Toc47704049"/>
      <w:bookmarkStart w:id="6" w:name="_Toc49510214"/>
      <w:bookmarkStart w:id="7" w:name="_Toc49510709"/>
      <w:r>
        <w:t>Assumptions about a detainee</w:t>
      </w:r>
      <w:r w:rsidR="007F2FEE" w:rsidRPr="00140346">
        <w:t xml:space="preserve"> being trans or gender diverse should not be made by any staff, including on reception.</w:t>
      </w:r>
      <w:bookmarkEnd w:id="4"/>
      <w:bookmarkEnd w:id="5"/>
      <w:bookmarkEnd w:id="6"/>
      <w:bookmarkEnd w:id="7"/>
      <w:r w:rsidR="007F2FEE" w:rsidRPr="00140346">
        <w:t xml:space="preserve">  </w:t>
      </w:r>
    </w:p>
    <w:p w14:paraId="3F2C9C53" w14:textId="42F1AF02" w:rsidR="007F2FEE" w:rsidRPr="007F2FEE" w:rsidRDefault="00646553" w:rsidP="00C4154E">
      <w:pPr>
        <w:pStyle w:val="Heading3"/>
      </w:pPr>
      <w:bookmarkStart w:id="8" w:name="_Toc2939522"/>
      <w:r>
        <w:t>All a</w:t>
      </w:r>
      <w:r w:rsidR="00D456AD" w:rsidRPr="00A87904">
        <w:t xml:space="preserve">dmission processes </w:t>
      </w:r>
      <w:r>
        <w:t>s</w:t>
      </w:r>
      <w:r w:rsidR="00D456AD" w:rsidRPr="00A87904">
        <w:t xml:space="preserve">hall be in accordance with </w:t>
      </w:r>
      <w:bookmarkEnd w:id="8"/>
      <w:r w:rsidR="00CF4F58">
        <w:fldChar w:fldCharType="begin"/>
      </w:r>
      <w:r w:rsidR="009F6315">
        <w:instrText>HYPERLINK "https://dojwa.sharepoint.com/sites/intranet/prison-operations/Pages/bhdc-copps.aspx"</w:instrText>
      </w:r>
      <w:r w:rsidR="00CF4F58">
        <w:fldChar w:fldCharType="separate"/>
      </w:r>
      <w:r w:rsidR="00CF4F58" w:rsidRPr="00CF4F58">
        <w:rPr>
          <w:rStyle w:val="Hyperlink"/>
        </w:rPr>
        <w:t xml:space="preserve">BHYDC </w:t>
      </w:r>
      <w:r w:rsidR="00915511" w:rsidRPr="00CF4F58">
        <w:rPr>
          <w:rStyle w:val="Hyperlink"/>
        </w:rPr>
        <w:t>COPP 2.1 – Admission</w:t>
      </w:r>
      <w:r w:rsidR="00CF4F58">
        <w:fldChar w:fldCharType="end"/>
      </w:r>
      <w:r w:rsidR="00C4154E">
        <w:t>.</w:t>
      </w:r>
    </w:p>
    <w:p w14:paraId="3251D621" w14:textId="35D1D653" w:rsidR="0005058B" w:rsidRDefault="0074271C" w:rsidP="003D2FBD">
      <w:pPr>
        <w:pStyle w:val="Heading2"/>
      </w:pPr>
      <w:bookmarkStart w:id="9" w:name="_Toc199427683"/>
      <w:r>
        <w:t>Identity</w:t>
      </w:r>
      <w:bookmarkEnd w:id="9"/>
      <w:r w:rsidR="00107FC6">
        <w:t xml:space="preserve"> </w:t>
      </w:r>
    </w:p>
    <w:p w14:paraId="56A09AC9" w14:textId="3B4AADC4" w:rsidR="00717443" w:rsidRDefault="00717443" w:rsidP="00CB12BE">
      <w:pPr>
        <w:pStyle w:val="Heading3"/>
      </w:pPr>
      <w:bookmarkStart w:id="10" w:name="_Toc2939525"/>
      <w:r w:rsidRPr="00717443">
        <w:t xml:space="preserve">The </w:t>
      </w:r>
      <w:r w:rsidR="00F41057">
        <w:t xml:space="preserve">Custodial Officer </w:t>
      </w:r>
      <w:r w:rsidRPr="00717443">
        <w:t>admitting the detainee shall inform the Superintendent and Senior Man</w:t>
      </w:r>
      <w:r w:rsidR="00214A3A">
        <w:t>a</w:t>
      </w:r>
      <w:r w:rsidRPr="00717443">
        <w:t>gers by email if a detainee self identifies as trans</w:t>
      </w:r>
      <w:r w:rsidR="00465772">
        <w:t xml:space="preserve">, </w:t>
      </w:r>
      <w:r w:rsidR="00107FC6">
        <w:t>non-binary</w:t>
      </w:r>
      <w:r w:rsidR="006B0AC8">
        <w:t>,</w:t>
      </w:r>
      <w:r w:rsidR="00107FC6">
        <w:t xml:space="preserve"> </w:t>
      </w:r>
      <w:r w:rsidRPr="00717443">
        <w:t xml:space="preserve">or intersex. </w:t>
      </w:r>
    </w:p>
    <w:p w14:paraId="58AA74C3" w14:textId="16EAE354" w:rsidR="00756285" w:rsidRDefault="00756285" w:rsidP="00756285">
      <w:pPr>
        <w:pStyle w:val="Heading3"/>
      </w:pPr>
      <w:r>
        <w:t>The dignity, sensitivity</w:t>
      </w:r>
      <w:r w:rsidR="006B0AC8">
        <w:t>,</w:t>
      </w:r>
      <w:r>
        <w:t xml:space="preserve"> and privacy of any detainee who </w:t>
      </w:r>
      <w:r w:rsidR="00867F49">
        <w:t xml:space="preserve">self </w:t>
      </w:r>
      <w:r>
        <w:t>identifies as trans, gender diverse</w:t>
      </w:r>
      <w:r w:rsidR="006B0AC8">
        <w:t>,</w:t>
      </w:r>
      <w:r>
        <w:t xml:space="preserve"> or intersex shall be respected.</w:t>
      </w:r>
    </w:p>
    <w:p w14:paraId="0E26E76D" w14:textId="74673EC6" w:rsidR="00F623EE" w:rsidRDefault="00DC5D87" w:rsidP="00214A3A">
      <w:pPr>
        <w:pStyle w:val="Heading3"/>
      </w:pPr>
      <w:r>
        <w:t>Where a</w:t>
      </w:r>
      <w:r w:rsidR="00266670">
        <w:t xml:space="preserve"> detainee self </w:t>
      </w:r>
      <w:r w:rsidR="00F623EE">
        <w:t xml:space="preserve">identifies as </w:t>
      </w:r>
      <w:r w:rsidR="00515DAD">
        <w:t>trans</w:t>
      </w:r>
      <w:r w:rsidR="006B0AC8">
        <w:t xml:space="preserve"> </w:t>
      </w:r>
      <w:r w:rsidR="00515DAD">
        <w:t>or</w:t>
      </w:r>
      <w:r w:rsidR="00F623EE">
        <w:t xml:space="preserve"> intersex</w:t>
      </w:r>
      <w:r w:rsidR="00702EF8">
        <w:t>,</w:t>
      </w:r>
      <w:r w:rsidR="00F623EE">
        <w:t xml:space="preserve"> the </w:t>
      </w:r>
      <w:r w:rsidR="00F41057">
        <w:t xml:space="preserve">Custodial Officer </w:t>
      </w:r>
      <w:r w:rsidR="00F623EE">
        <w:t xml:space="preserve">shall </w:t>
      </w:r>
      <w:r w:rsidR="006F1793">
        <w:t xml:space="preserve">ask the detainee what their preferred name </w:t>
      </w:r>
      <w:r w:rsidR="00BF38E8">
        <w:t xml:space="preserve">and </w:t>
      </w:r>
      <w:r w:rsidR="00674A06">
        <w:t xml:space="preserve">self-identified </w:t>
      </w:r>
      <w:r w:rsidR="00BF38E8">
        <w:t xml:space="preserve">gender </w:t>
      </w:r>
      <w:r w:rsidR="006F1793">
        <w:t>is</w:t>
      </w:r>
      <w:bookmarkEnd w:id="10"/>
      <w:r w:rsidR="00BA1A31">
        <w:t>.</w:t>
      </w:r>
    </w:p>
    <w:p w14:paraId="0D65B0CB" w14:textId="6639D9F5" w:rsidR="00674A06" w:rsidRDefault="00674A06" w:rsidP="00F11705">
      <w:pPr>
        <w:pStyle w:val="Heading3"/>
      </w:pPr>
      <w:bookmarkStart w:id="11" w:name="_Toc2939526"/>
      <w:r>
        <w:t>Where a detainee self identifies as non-binary</w:t>
      </w:r>
      <w:r w:rsidR="00702EF8">
        <w:t>,</w:t>
      </w:r>
      <w:r>
        <w:t xml:space="preserve"> the Custodial Officer shall ask the detainee what their preferred name is.</w:t>
      </w:r>
    </w:p>
    <w:p w14:paraId="4484BD36" w14:textId="677B6BE4" w:rsidR="00F11705" w:rsidRDefault="007753C9" w:rsidP="00F11705">
      <w:pPr>
        <w:pStyle w:val="Heading3"/>
      </w:pPr>
      <w:r>
        <w:t xml:space="preserve">The </w:t>
      </w:r>
      <w:r w:rsidR="00F41057">
        <w:t xml:space="preserve">Custodial Officer </w:t>
      </w:r>
      <w:r>
        <w:t>shall</w:t>
      </w:r>
      <w:r w:rsidR="00F623EE">
        <w:t xml:space="preserve"> </w:t>
      </w:r>
      <w:r w:rsidR="006F1793">
        <w:t xml:space="preserve">note </w:t>
      </w:r>
      <w:r w:rsidR="00F623EE">
        <w:t xml:space="preserve">the </w:t>
      </w:r>
      <w:r w:rsidR="00A62A2B">
        <w:t>detainee</w:t>
      </w:r>
      <w:r w:rsidR="006B0AC8">
        <w:t>’</w:t>
      </w:r>
      <w:r w:rsidR="00A62A2B">
        <w:t xml:space="preserve">s </w:t>
      </w:r>
      <w:r w:rsidR="00F623EE">
        <w:t xml:space="preserve">preferred name </w:t>
      </w:r>
      <w:r w:rsidR="006D0AB4">
        <w:t>and self-identified gender</w:t>
      </w:r>
      <w:r w:rsidR="006B0AC8">
        <w:t xml:space="preserve"> on </w:t>
      </w:r>
      <w:r w:rsidR="00702EF8">
        <w:t xml:space="preserve">the </w:t>
      </w:r>
      <w:r w:rsidR="006F1793">
        <w:t>Total Offender Management Solution (TOMS).</w:t>
      </w:r>
      <w:bookmarkStart w:id="12" w:name="_Toc2939528"/>
      <w:bookmarkEnd w:id="11"/>
    </w:p>
    <w:p w14:paraId="066AF1A3" w14:textId="76996411" w:rsidR="00F3037A" w:rsidRDefault="003D2FBD" w:rsidP="00F11705">
      <w:pPr>
        <w:pStyle w:val="Heading3"/>
      </w:pPr>
      <w:r w:rsidRPr="003D2FBD">
        <w:t>Particular care shall be taken with usage of gender s</w:t>
      </w:r>
      <w:r w:rsidR="00E407D6">
        <w:t>pecific terms</w:t>
      </w:r>
      <w:r w:rsidR="006B0AC8">
        <w:t>.</w:t>
      </w:r>
      <w:r w:rsidR="00F41057">
        <w:t xml:space="preserve"> Custodial Officers</w:t>
      </w:r>
      <w:r w:rsidR="00E407D6">
        <w:t xml:space="preserve"> shall ask the detainee what their preferred pronouns are</w:t>
      </w:r>
      <w:r w:rsidR="00196077">
        <w:t xml:space="preserve"> </w:t>
      </w:r>
      <w:r w:rsidR="0069373F">
        <w:t>(</w:t>
      </w:r>
      <w:r w:rsidR="00787C7F">
        <w:t>eg</w:t>
      </w:r>
      <w:bookmarkEnd w:id="12"/>
      <w:r w:rsidR="006B0AC8">
        <w:t>,</w:t>
      </w:r>
      <w:r w:rsidR="00196077">
        <w:t xml:space="preserve"> s</w:t>
      </w:r>
      <w:r w:rsidR="00E407D6">
        <w:t>he</w:t>
      </w:r>
      <w:r w:rsidR="00465772">
        <w:t>,</w:t>
      </w:r>
      <w:r w:rsidR="00196077">
        <w:t xml:space="preserve"> </w:t>
      </w:r>
      <w:r w:rsidR="008952FA">
        <w:t>h</w:t>
      </w:r>
      <w:r w:rsidR="00214A3A">
        <w:t>e</w:t>
      </w:r>
      <w:r w:rsidR="006B0AC8">
        <w:t>,</w:t>
      </w:r>
      <w:r w:rsidR="00465772">
        <w:t xml:space="preserve"> or they</w:t>
      </w:r>
      <w:r w:rsidR="0069373F">
        <w:t>)</w:t>
      </w:r>
      <w:r w:rsidR="008952FA">
        <w:t>.</w:t>
      </w:r>
    </w:p>
    <w:p w14:paraId="178ACAED" w14:textId="24244A85" w:rsidR="00717443" w:rsidRDefault="00943D5D" w:rsidP="00F11705">
      <w:pPr>
        <w:pStyle w:val="Heading3"/>
      </w:pPr>
      <w:r>
        <w:t>The Custodial Officer shall record the detainee</w:t>
      </w:r>
      <w:r w:rsidR="006B0AC8">
        <w:t>’</w:t>
      </w:r>
      <w:r>
        <w:t>s preferred p</w:t>
      </w:r>
      <w:r w:rsidR="00F3037A">
        <w:t xml:space="preserve">ronouns </w:t>
      </w:r>
      <w:r w:rsidR="006B0AC8">
        <w:t>on TOMS</w:t>
      </w:r>
      <w:r w:rsidR="00BA1A31">
        <w:t>.</w:t>
      </w:r>
    </w:p>
    <w:p w14:paraId="0608B17B" w14:textId="0BF2381A" w:rsidR="00DA1D20" w:rsidRPr="00C95797" w:rsidRDefault="00DA1D20" w:rsidP="00DA1D20">
      <w:pPr>
        <w:pStyle w:val="Heading3"/>
      </w:pPr>
      <w:r>
        <w:t>The Custodial Officer shall as</w:t>
      </w:r>
      <w:r w:rsidR="00646333">
        <w:t>k</w:t>
      </w:r>
      <w:r>
        <w:t xml:space="preserve"> the detainee their preferred gender of the </w:t>
      </w:r>
      <w:r w:rsidR="00CB4E28">
        <w:t xml:space="preserve">Custodial </w:t>
      </w:r>
      <w:r>
        <w:t xml:space="preserve">Officers conducting their search and document their preference </w:t>
      </w:r>
      <w:r w:rsidR="006B0AC8">
        <w:t>on</w:t>
      </w:r>
      <w:r>
        <w:t xml:space="preserve"> TOMS.</w:t>
      </w:r>
    </w:p>
    <w:p w14:paraId="76B8C8CC" w14:textId="0579F7FE" w:rsidR="00943D5D" w:rsidRDefault="00DA1D20" w:rsidP="00943D5D">
      <w:pPr>
        <w:pStyle w:val="Heading3"/>
      </w:pPr>
      <w:r>
        <w:t xml:space="preserve">Custodial Officers shall address the detainee </w:t>
      </w:r>
      <w:r w:rsidR="006B0AC8">
        <w:t>using</w:t>
      </w:r>
      <w:r>
        <w:t xml:space="preserve"> the detainee</w:t>
      </w:r>
      <w:r w:rsidR="006B0AC8">
        <w:t>’</w:t>
      </w:r>
      <w:r>
        <w:t>s preferred name, gender</w:t>
      </w:r>
      <w:r w:rsidR="006B0AC8">
        <w:t>,</w:t>
      </w:r>
      <w:r>
        <w:t xml:space="preserve"> and pronoun.</w:t>
      </w:r>
    </w:p>
    <w:p w14:paraId="14D60583" w14:textId="70A586C1" w:rsidR="009D6302" w:rsidRDefault="009D6302" w:rsidP="009D6302">
      <w:pPr>
        <w:pStyle w:val="Heading2"/>
      </w:pPr>
      <w:bookmarkStart w:id="13" w:name="_Toc49431653"/>
      <w:bookmarkStart w:id="14" w:name="_Toc199427684"/>
      <w:r>
        <w:t xml:space="preserve">Preferred </w:t>
      </w:r>
      <w:r w:rsidR="006B0AC8">
        <w:t>p</w:t>
      </w:r>
      <w:r>
        <w:t>lacement</w:t>
      </w:r>
      <w:bookmarkEnd w:id="13"/>
      <w:bookmarkEnd w:id="14"/>
    </w:p>
    <w:p w14:paraId="719E2BFB" w14:textId="3A4CC613" w:rsidR="009D6302" w:rsidRDefault="009D6302" w:rsidP="009D6302">
      <w:pPr>
        <w:pStyle w:val="Heading3"/>
      </w:pPr>
      <w:r>
        <w:t xml:space="preserve">Where a detainee </w:t>
      </w:r>
      <w:r w:rsidRPr="00E54779">
        <w:t xml:space="preserve">self identifies as trans, </w:t>
      </w:r>
      <w:r>
        <w:t>non-binary</w:t>
      </w:r>
      <w:r w:rsidR="006B0AC8">
        <w:t>,</w:t>
      </w:r>
      <w:r>
        <w:t xml:space="preserve"> </w:t>
      </w:r>
      <w:r w:rsidRPr="00E54779">
        <w:t xml:space="preserve">or intersex, the </w:t>
      </w:r>
      <w:r>
        <w:t xml:space="preserve">Custodial </w:t>
      </w:r>
      <w:r w:rsidRPr="00E54779">
        <w:t>Officer shall</w:t>
      </w:r>
      <w:r>
        <w:t xml:space="preserve"> ask the detainee </w:t>
      </w:r>
      <w:r w:rsidRPr="00E54779">
        <w:t>their preferred</w:t>
      </w:r>
      <w:r>
        <w:t xml:space="preserve"> placement and document the</w:t>
      </w:r>
      <w:r w:rsidR="00634AA6">
        <w:t>ir</w:t>
      </w:r>
      <w:r>
        <w:t xml:space="preserve"> response </w:t>
      </w:r>
      <w:r w:rsidR="00634AA6">
        <w:t>on</w:t>
      </w:r>
      <w:r>
        <w:t xml:space="preserve"> TOMS. </w:t>
      </w:r>
    </w:p>
    <w:p w14:paraId="28140750" w14:textId="77777777" w:rsidR="00C625A2" w:rsidRDefault="00C625A2" w:rsidP="009D408C">
      <w:pPr>
        <w:pStyle w:val="Heading1"/>
        <w:spacing w:before="360"/>
        <w:ind w:left="431" w:hanging="431"/>
      </w:pPr>
      <w:bookmarkStart w:id="15" w:name="_Toc199427685"/>
      <w:r>
        <w:t>Searches</w:t>
      </w:r>
      <w:bookmarkEnd w:id="15"/>
    </w:p>
    <w:p w14:paraId="3DE5C210" w14:textId="68A95505" w:rsidR="00A66CE4" w:rsidRPr="00A66CE4" w:rsidRDefault="00A66CE4" w:rsidP="0003553E">
      <w:pPr>
        <w:pStyle w:val="Heading3"/>
      </w:pPr>
      <w:r w:rsidRPr="008E5DF6">
        <w:t>Custodial</w:t>
      </w:r>
      <w:r>
        <w:t xml:space="preserve"> Officers </w:t>
      </w:r>
      <w:r w:rsidR="00634AA6">
        <w:t>preparing to</w:t>
      </w:r>
      <w:r>
        <w:t xml:space="preserve"> search a detainee who has self-identified as </w:t>
      </w:r>
      <w:r w:rsidRPr="00E54779">
        <w:t xml:space="preserve">trans, </w:t>
      </w:r>
      <w:r>
        <w:t>non-binary</w:t>
      </w:r>
      <w:r w:rsidR="00634AA6">
        <w:t>,</w:t>
      </w:r>
      <w:r>
        <w:t xml:space="preserve"> </w:t>
      </w:r>
      <w:r w:rsidRPr="00E54779">
        <w:t>or intersex</w:t>
      </w:r>
      <w:r>
        <w:t xml:space="preserve"> shall check TOMS for the</w:t>
      </w:r>
      <w:r w:rsidR="00634AA6">
        <w:t xml:space="preserve"> detainee’s</w:t>
      </w:r>
      <w:r>
        <w:t xml:space="preserve"> preferred gender of the Custodial </w:t>
      </w:r>
      <w:r w:rsidRPr="002C10E1">
        <w:t xml:space="preserve">Officer </w:t>
      </w:r>
      <w:r w:rsidR="00634AA6">
        <w:t xml:space="preserve">prior </w:t>
      </w:r>
      <w:r w:rsidRPr="002C10E1">
        <w:t>to conduct</w:t>
      </w:r>
      <w:r w:rsidR="00634AA6">
        <w:t>ing</w:t>
      </w:r>
      <w:r w:rsidRPr="002C10E1">
        <w:t xml:space="preserve"> the search.</w:t>
      </w:r>
    </w:p>
    <w:p w14:paraId="1B8A7BDA" w14:textId="73850A52" w:rsidR="00C625A2" w:rsidRDefault="0081229E" w:rsidP="00C625A2">
      <w:pPr>
        <w:pStyle w:val="Heading3"/>
      </w:pPr>
      <w:r>
        <w:t xml:space="preserve">Custodial Officers </w:t>
      </w:r>
      <w:r w:rsidR="00C625A2">
        <w:t>shall confirm which gender the detainee self identifies as prior to searching the detainee.</w:t>
      </w:r>
    </w:p>
    <w:p w14:paraId="3C76271B" w14:textId="793E5603" w:rsidR="0003553E" w:rsidRPr="00B01A24" w:rsidRDefault="0003553E" w:rsidP="00867F49">
      <w:pPr>
        <w:pStyle w:val="Heading3"/>
      </w:pPr>
      <w:r>
        <w:lastRenderedPageBreak/>
        <w:t>Where a detainee</w:t>
      </w:r>
      <w:r w:rsidRPr="002C10E1">
        <w:t xml:space="preserve"> identifies as trans,</w:t>
      </w:r>
      <w:r>
        <w:t xml:space="preserve"> </w:t>
      </w:r>
      <w:r w:rsidR="004838D0">
        <w:t>n</w:t>
      </w:r>
      <w:r>
        <w:t>on-binary</w:t>
      </w:r>
      <w:r w:rsidR="00634AA6">
        <w:t>,</w:t>
      </w:r>
      <w:r>
        <w:t xml:space="preserve"> or intersex</w:t>
      </w:r>
      <w:r w:rsidR="00702EF8">
        <w:t>,</w:t>
      </w:r>
      <w:r>
        <w:t xml:space="preserve"> the detainee shall be searched by a Custodial</w:t>
      </w:r>
      <w:r w:rsidRPr="002C10E1">
        <w:t xml:space="preserve"> Officer </w:t>
      </w:r>
      <w:r>
        <w:t xml:space="preserve">in accordance with </w:t>
      </w:r>
      <w:r w:rsidR="00867F49">
        <w:t xml:space="preserve">the search </w:t>
      </w:r>
      <w:r>
        <w:t xml:space="preserve">preference documented </w:t>
      </w:r>
      <w:r w:rsidR="00702EF8">
        <w:t xml:space="preserve">on </w:t>
      </w:r>
      <w:r>
        <w:t xml:space="preserve">TOMS.  </w:t>
      </w:r>
      <w:r w:rsidR="00867F49" w:rsidRPr="00BB4040">
        <w:t xml:space="preserve">A </w:t>
      </w:r>
      <w:r w:rsidR="00867F49">
        <w:t>detainee may also request Custodial O</w:t>
      </w:r>
      <w:r w:rsidR="00867F49" w:rsidRPr="00BB4040">
        <w:t>fficers of differing genders</w:t>
      </w:r>
      <w:r w:rsidR="00867F49">
        <w:t xml:space="preserve"> to</w:t>
      </w:r>
      <w:r w:rsidR="00867F49" w:rsidRPr="00BB4040">
        <w:t xml:space="preserve"> complete top/bottom searches</w:t>
      </w:r>
      <w:r w:rsidR="00867F49">
        <w:t xml:space="preserve"> (dual search).</w:t>
      </w:r>
    </w:p>
    <w:p w14:paraId="39D383E8" w14:textId="677697D1" w:rsidR="0003553E" w:rsidRPr="0003553E" w:rsidRDefault="0003553E" w:rsidP="0003553E">
      <w:pPr>
        <w:pStyle w:val="Heading3"/>
      </w:pPr>
      <w:r>
        <w:t xml:space="preserve">Where a Custodial Officer declines to search the detainee they shall request via the Senior Officer, </w:t>
      </w:r>
      <w:r w:rsidR="00635F60">
        <w:t xml:space="preserve">that </w:t>
      </w:r>
      <w:r>
        <w:t>another Custodial Officer, of the detainee</w:t>
      </w:r>
      <w:r w:rsidR="00702EF8">
        <w:t>’</w:t>
      </w:r>
      <w:r>
        <w:t xml:space="preserve">s preferred gender conduct the search.  </w:t>
      </w:r>
    </w:p>
    <w:p w14:paraId="2ABE2726" w14:textId="455E2148" w:rsidR="00C625A2" w:rsidRPr="008E5DF6" w:rsidRDefault="00C625A2" w:rsidP="00C625A2">
      <w:pPr>
        <w:pStyle w:val="Heading3"/>
      </w:pPr>
      <w:r w:rsidRPr="008E5DF6">
        <w:t xml:space="preserve">In circumstances where the gender of a </w:t>
      </w:r>
      <w:r w:rsidR="0081229E" w:rsidRPr="008E5DF6">
        <w:t xml:space="preserve">detainee </w:t>
      </w:r>
      <w:r w:rsidRPr="008E5DF6">
        <w:t xml:space="preserve">is not readily identifiable, the </w:t>
      </w:r>
      <w:r w:rsidR="007972FE" w:rsidRPr="008E5DF6">
        <w:t xml:space="preserve">Senior </w:t>
      </w:r>
      <w:r w:rsidR="00D87D05" w:rsidRPr="008E5DF6">
        <w:t xml:space="preserve">Officer </w:t>
      </w:r>
      <w:r w:rsidRPr="008E5DF6">
        <w:t xml:space="preserve">is to ask what gender the </w:t>
      </w:r>
      <w:r w:rsidR="0083371E" w:rsidRPr="008E5DF6">
        <w:t xml:space="preserve">detainee </w:t>
      </w:r>
      <w:r w:rsidRPr="008E5DF6">
        <w:t xml:space="preserve">identifies as. The search must </w:t>
      </w:r>
      <w:r w:rsidR="004838D0" w:rsidRPr="008E5DF6">
        <w:t xml:space="preserve">be </w:t>
      </w:r>
      <w:r w:rsidRPr="008E5DF6">
        <w:t>conducted in accordance with the answer</w:t>
      </w:r>
      <w:r w:rsidRPr="00462D6E">
        <w:rPr>
          <w:rStyle w:val="FootnoteReference"/>
          <w:b/>
          <w:color w:val="auto"/>
        </w:rPr>
        <w:footnoteReference w:id="3"/>
      </w:r>
      <w:r w:rsidRPr="008E5DF6">
        <w:t>.</w:t>
      </w:r>
    </w:p>
    <w:p w14:paraId="0EB26B52" w14:textId="75408D77" w:rsidR="0081229E" w:rsidRDefault="00C625A2" w:rsidP="0081229E">
      <w:pPr>
        <w:pStyle w:val="Heading3"/>
      </w:pPr>
      <w:r>
        <w:t xml:space="preserve">Where no answer is given as to the </w:t>
      </w:r>
      <w:r w:rsidR="0083371E">
        <w:t xml:space="preserve">detainee’s </w:t>
      </w:r>
      <w:r>
        <w:t>gender, the person shall be treated as the gender that they appear to be to the</w:t>
      </w:r>
      <w:r w:rsidR="007972FE">
        <w:t xml:space="preserve"> Senior</w:t>
      </w:r>
      <w:r w:rsidR="00D87D05">
        <w:t xml:space="preserve"> Officer</w:t>
      </w:r>
      <w:r>
        <w:rPr>
          <w:rStyle w:val="FootnoteReference"/>
        </w:rPr>
        <w:footnoteReference w:id="4"/>
      </w:r>
      <w:r>
        <w:t>.</w:t>
      </w:r>
    </w:p>
    <w:p w14:paraId="014D02A9" w14:textId="5591F545" w:rsidR="00C4154E" w:rsidRDefault="0081229E" w:rsidP="0081229E">
      <w:pPr>
        <w:pStyle w:val="Heading3"/>
      </w:pPr>
      <w:r>
        <w:t xml:space="preserve">Custodial Officers shall conduct searches in accordance with </w:t>
      </w:r>
      <w:r w:rsidR="00CF4F58">
        <w:t xml:space="preserve">the relevant YDC </w:t>
      </w:r>
      <w:hyperlink r:id="rId19" w:history="1">
        <w:r w:rsidR="00CF4F58" w:rsidRPr="00CF4F58">
          <w:rPr>
            <w:rStyle w:val="Hyperlink"/>
          </w:rPr>
          <w:t>Searches COPP</w:t>
        </w:r>
      </w:hyperlink>
      <w:r w:rsidR="00CF4F58">
        <w:t>.</w:t>
      </w:r>
    </w:p>
    <w:p w14:paraId="2F75C589" w14:textId="3AD04290" w:rsidR="004A38CB" w:rsidRDefault="00971D4D" w:rsidP="009D408C">
      <w:pPr>
        <w:pStyle w:val="Heading1"/>
        <w:spacing w:before="360"/>
        <w:ind w:left="431" w:hanging="431"/>
      </w:pPr>
      <w:bookmarkStart w:id="16" w:name="_Toc199427686"/>
      <w:r>
        <w:t xml:space="preserve">Initial </w:t>
      </w:r>
      <w:r w:rsidR="009A78A5">
        <w:t>P</w:t>
      </w:r>
      <w:r w:rsidR="004A38CB">
        <w:t>lacement</w:t>
      </w:r>
      <w:bookmarkEnd w:id="16"/>
      <w:r w:rsidR="004A38CB">
        <w:t xml:space="preserve"> </w:t>
      </w:r>
    </w:p>
    <w:p w14:paraId="4E21C458" w14:textId="26C327AF" w:rsidR="00971D4D" w:rsidRDefault="004A38CB" w:rsidP="00971D4D">
      <w:pPr>
        <w:pStyle w:val="Heading3"/>
      </w:pPr>
      <w:r>
        <w:t xml:space="preserve">Placement of </w:t>
      </w:r>
      <w:r w:rsidRPr="00515DAD">
        <w:t>trans, gender diverse</w:t>
      </w:r>
      <w:r w:rsidR="00634AA6">
        <w:t>,</w:t>
      </w:r>
      <w:r w:rsidRPr="00515DAD">
        <w:t xml:space="preserve"> or intersex </w:t>
      </w:r>
      <w:r>
        <w:t>detainees must include consideration for their safety and welfare. Risks may include increased vulnerability through experiencing sexual coercion and psychological distress from other detainees. As such</w:t>
      </w:r>
      <w:r w:rsidR="00634AA6">
        <w:t>,</w:t>
      </w:r>
      <w:r>
        <w:t xml:space="preserve"> the detainee must be managed in a manner that responds to their particular risk.</w:t>
      </w:r>
    </w:p>
    <w:p w14:paraId="2DCCCF9F" w14:textId="0C6A1EC8" w:rsidR="008D113E" w:rsidRDefault="008D113E" w:rsidP="000D4A45">
      <w:pPr>
        <w:pStyle w:val="Heading3"/>
      </w:pPr>
      <w:r>
        <w:t>The detainee</w:t>
      </w:r>
      <w:r w:rsidR="00702EF8">
        <w:t>’</w:t>
      </w:r>
      <w:r>
        <w:t xml:space="preserve">s preferred placement documented </w:t>
      </w:r>
      <w:r w:rsidR="00634AA6">
        <w:t>on</w:t>
      </w:r>
      <w:r>
        <w:t xml:space="preserve"> TOMS shall be considered.</w:t>
      </w:r>
      <w:r w:rsidR="00EB2769">
        <w:t xml:space="preserve"> </w:t>
      </w:r>
    </w:p>
    <w:p w14:paraId="6B6D88EB" w14:textId="6AD57339" w:rsidR="009F3BB2" w:rsidRDefault="000D4A45" w:rsidP="009F3BB2">
      <w:pPr>
        <w:pStyle w:val="Heading3"/>
      </w:pPr>
      <w:r>
        <w:t xml:space="preserve">Initial placement of the detainee shall be made in conjunction with the </w:t>
      </w:r>
      <w:r w:rsidR="00DF3357">
        <w:t xml:space="preserve">Unit Manager, </w:t>
      </w:r>
      <w:r>
        <w:t>Senior Officer</w:t>
      </w:r>
      <w:r w:rsidR="00833B30">
        <w:t xml:space="preserve"> </w:t>
      </w:r>
      <w:r>
        <w:t>and Superintendent.</w:t>
      </w:r>
    </w:p>
    <w:p w14:paraId="50C02F01" w14:textId="6EBD87A3" w:rsidR="009F3BB2" w:rsidRPr="009F3BB2" w:rsidRDefault="00E632C8" w:rsidP="009F3BB2">
      <w:pPr>
        <w:pStyle w:val="Heading3"/>
      </w:pPr>
      <w:r>
        <w:t xml:space="preserve">Placement shall be </w:t>
      </w:r>
      <w:r w:rsidR="000645BE">
        <w:t xml:space="preserve">also </w:t>
      </w:r>
      <w:r>
        <w:t>managed in accordance with</w:t>
      </w:r>
      <w:r w:rsidR="000645BE">
        <w:t xml:space="preserve"> </w:t>
      </w:r>
      <w:hyperlink r:id="rId20" w:history="1">
        <w:r w:rsidR="00BB346B" w:rsidRPr="00CF4F58">
          <w:rPr>
            <w:rStyle w:val="Hyperlink"/>
          </w:rPr>
          <w:t>COPP 2.3 – Placement</w:t>
        </w:r>
      </w:hyperlink>
      <w:r w:rsidR="00634AA6" w:rsidRPr="00FF3CE6">
        <w:rPr>
          <w:rStyle w:val="Hyperlink"/>
          <w:color w:val="auto"/>
          <w:u w:val="none"/>
        </w:rPr>
        <w:t>.</w:t>
      </w:r>
    </w:p>
    <w:p w14:paraId="525FBB9C" w14:textId="52B16032" w:rsidR="00E632C8" w:rsidRDefault="008C057F" w:rsidP="00E632C8">
      <w:pPr>
        <w:pStyle w:val="Heading3"/>
      </w:pPr>
      <w:r w:rsidRPr="009A2894">
        <w:t>Where possible, contact with additional support services</w:t>
      </w:r>
      <w:r>
        <w:t xml:space="preserve"> and/or advocacy agencies, </w:t>
      </w:r>
      <w:r w:rsidRPr="009A2894">
        <w:t>shall be made prior to placement of the</w:t>
      </w:r>
      <w:r>
        <w:t xml:space="preserve"> detainee.</w:t>
      </w:r>
    </w:p>
    <w:p w14:paraId="4768D503" w14:textId="29A4CEE4" w:rsidR="00E4184B" w:rsidRPr="00A06023" w:rsidRDefault="00E4184B" w:rsidP="009D408C">
      <w:pPr>
        <w:pStyle w:val="Heading1"/>
        <w:spacing w:before="360"/>
        <w:ind w:left="431" w:hanging="431"/>
      </w:pPr>
      <w:bookmarkStart w:id="17" w:name="_Toc199427687"/>
      <w:r>
        <w:t>Property</w:t>
      </w:r>
      <w:r w:rsidR="002F365C">
        <w:t xml:space="preserve"> and Clothing</w:t>
      </w:r>
      <w:bookmarkEnd w:id="17"/>
    </w:p>
    <w:p w14:paraId="4B3085DF" w14:textId="03612C09" w:rsidR="00E4184B" w:rsidRDefault="00E4184B" w:rsidP="00E4184B">
      <w:pPr>
        <w:pStyle w:val="Heading3"/>
      </w:pPr>
      <w:r>
        <w:t>The Custodial Officer sh</w:t>
      </w:r>
      <w:r w:rsidR="00634AA6">
        <w:t>all</w:t>
      </w:r>
      <w:r>
        <w:t xml:space="preserve"> ask the detainee which BH</w:t>
      </w:r>
      <w:r w:rsidR="0030439C">
        <w:t>Y</w:t>
      </w:r>
      <w:r>
        <w:t xml:space="preserve">DC clothing they would prefer to wear </w:t>
      </w:r>
      <w:r w:rsidR="00634AA6">
        <w:t>(</w:t>
      </w:r>
      <w:r w:rsidR="00787C7F">
        <w:t>eg</w:t>
      </w:r>
      <w:r w:rsidR="00634AA6">
        <w:t xml:space="preserve">, </w:t>
      </w:r>
      <w:r>
        <w:t>male</w:t>
      </w:r>
      <w:r w:rsidR="00634AA6">
        <w:t>,</w:t>
      </w:r>
      <w:r>
        <w:t xml:space="preserve"> female</w:t>
      </w:r>
      <w:r w:rsidR="00634AA6">
        <w:t>,</w:t>
      </w:r>
      <w:r>
        <w:t xml:space="preserve"> or a mix of both</w:t>
      </w:r>
      <w:r w:rsidR="00634AA6">
        <w:t>)</w:t>
      </w:r>
      <w:r>
        <w:t>.</w:t>
      </w:r>
    </w:p>
    <w:p w14:paraId="1F8CA1D7" w14:textId="5F724654" w:rsidR="00E4184B" w:rsidRDefault="00E4184B" w:rsidP="00815F5D">
      <w:pPr>
        <w:pStyle w:val="Heading3"/>
      </w:pPr>
      <w:r>
        <w:t>The Superintendent shall consider providing the detainee with clothing and personal effects (</w:t>
      </w:r>
      <w:r w:rsidR="00787C7F">
        <w:t>eg</w:t>
      </w:r>
      <w:r w:rsidR="00634AA6">
        <w:t>,</w:t>
      </w:r>
      <w:r w:rsidR="006619BA">
        <w:t xml:space="preserve"> toiletries</w:t>
      </w:r>
      <w:r>
        <w:t xml:space="preserve">) appropriate for their gender identity and individual requirements in accordance with </w:t>
      </w:r>
      <w:hyperlink r:id="rId21" w:history="1">
        <w:r w:rsidR="00BB346B" w:rsidRPr="00CF4F58">
          <w:rPr>
            <w:rStyle w:val="Hyperlink"/>
          </w:rPr>
          <w:t>COPP – 4.1 Property</w:t>
        </w:r>
      </w:hyperlink>
      <w:r>
        <w:t>.</w:t>
      </w:r>
    </w:p>
    <w:p w14:paraId="7129892C" w14:textId="4BCBD407" w:rsidR="00E4184B" w:rsidRDefault="00E4184B" w:rsidP="00E4184B">
      <w:pPr>
        <w:pStyle w:val="Heading3"/>
      </w:pPr>
      <w:r>
        <w:t>Additional clothing and personal effects shall be assessed based on individual requirements, risks</w:t>
      </w:r>
      <w:r w:rsidR="00634AA6">
        <w:t>,</w:t>
      </w:r>
      <w:r>
        <w:t xml:space="preserve"> and safety.</w:t>
      </w:r>
    </w:p>
    <w:p w14:paraId="72D190D6" w14:textId="46CC1C43" w:rsidR="00E4184B" w:rsidRDefault="00E4184B" w:rsidP="00815F5D">
      <w:pPr>
        <w:pStyle w:val="Heading3"/>
      </w:pPr>
      <w:r>
        <w:t xml:space="preserve">Haircuts shall be managed in accordance with </w:t>
      </w:r>
      <w:r w:rsidR="0061031F">
        <w:t xml:space="preserve">the relevant </w:t>
      </w:r>
      <w:hyperlink r:id="rId22" w:history="1">
        <w:r w:rsidR="0061031F" w:rsidRPr="0061031F">
          <w:rPr>
            <w:rStyle w:val="Hyperlink"/>
          </w:rPr>
          <w:t xml:space="preserve">YDC </w:t>
        </w:r>
        <w:r w:rsidR="00BB346B" w:rsidRPr="0061031F">
          <w:rPr>
            <w:rStyle w:val="Hyperlink"/>
          </w:rPr>
          <w:t>Unit Management</w:t>
        </w:r>
        <w:r w:rsidR="0061031F" w:rsidRPr="0061031F">
          <w:rPr>
            <w:rStyle w:val="Hyperlink"/>
          </w:rPr>
          <w:t xml:space="preserve"> COPP</w:t>
        </w:r>
      </w:hyperlink>
      <w:r>
        <w:t xml:space="preserve">. </w:t>
      </w:r>
    </w:p>
    <w:p w14:paraId="1BF12029" w14:textId="7C23CFBB" w:rsidR="00FF3CE6" w:rsidRPr="00FF3CE6" w:rsidRDefault="002763CA" w:rsidP="00FF3CE6">
      <w:pPr>
        <w:pStyle w:val="Heading3"/>
      </w:pPr>
      <w:r w:rsidRPr="002763CA">
        <w:lastRenderedPageBreak/>
        <w:t xml:space="preserve">The Superintendent must always consider any risks and safety issues when issuing property.  </w:t>
      </w:r>
    </w:p>
    <w:p w14:paraId="4F3DC318" w14:textId="44B2FF0A" w:rsidR="00E4184B" w:rsidRPr="00E632C8" w:rsidRDefault="008D2E9B" w:rsidP="009D408C">
      <w:pPr>
        <w:pStyle w:val="Heading1"/>
        <w:spacing w:before="360"/>
        <w:ind w:left="431" w:hanging="431"/>
      </w:pPr>
      <w:bookmarkStart w:id="18" w:name="_Toc199427688"/>
      <w:r>
        <w:t>Placement</w:t>
      </w:r>
      <w:bookmarkEnd w:id="18"/>
    </w:p>
    <w:p w14:paraId="1BA17BB3" w14:textId="354A7AD2" w:rsidR="004A38CB" w:rsidRDefault="004A38CB" w:rsidP="004A38CB">
      <w:pPr>
        <w:pStyle w:val="Heading3"/>
      </w:pPr>
      <w:r>
        <w:t xml:space="preserve">The Superintendent or Deputy Superintendent shall convene a meeting as soon as possible to discuss the </w:t>
      </w:r>
      <w:r w:rsidR="00BC3A30">
        <w:t xml:space="preserve">long term </w:t>
      </w:r>
      <w:r>
        <w:t>placement of the detainee.</w:t>
      </w:r>
    </w:p>
    <w:p w14:paraId="4A7FD909" w14:textId="3BA79A4C" w:rsidR="003D3F0F" w:rsidRDefault="00762C8A" w:rsidP="003D3F0F">
      <w:pPr>
        <w:pStyle w:val="Heading3"/>
      </w:pPr>
      <w:r>
        <w:t>C</w:t>
      </w:r>
      <w:r w:rsidR="003D3F0F" w:rsidRPr="009A2894">
        <w:t>ontact with additional support services</w:t>
      </w:r>
      <w:r w:rsidR="003D3F0F">
        <w:t xml:space="preserve"> and/or advocacy agencies </w:t>
      </w:r>
      <w:r w:rsidR="003D3F0F" w:rsidRPr="009A2894">
        <w:t>shall be made</w:t>
      </w:r>
      <w:r>
        <w:t>, where possible,</w:t>
      </w:r>
      <w:r w:rsidR="003D3F0F" w:rsidRPr="009A2894">
        <w:t xml:space="preserve"> prior to </w:t>
      </w:r>
      <w:r w:rsidR="003D3F0F">
        <w:t xml:space="preserve">long term </w:t>
      </w:r>
      <w:r w:rsidR="003D3F0F" w:rsidRPr="009A2894">
        <w:t>placement of the</w:t>
      </w:r>
      <w:r w:rsidR="003D3F0F">
        <w:t xml:space="preserve"> detainee.</w:t>
      </w:r>
    </w:p>
    <w:p w14:paraId="73304CB3" w14:textId="35D5DEEF" w:rsidR="00BC3A30" w:rsidRPr="00BC3A30" w:rsidRDefault="00BC3A30" w:rsidP="00BC3A30">
      <w:pPr>
        <w:pStyle w:val="Heading3"/>
      </w:pPr>
      <w:r>
        <w:t xml:space="preserve">Where </w:t>
      </w:r>
      <w:r w:rsidR="00762C8A">
        <w:t>possible</w:t>
      </w:r>
      <w:r>
        <w:t xml:space="preserve">, the detainee </w:t>
      </w:r>
      <w:r w:rsidRPr="002F52F1">
        <w:t xml:space="preserve">shall be given the opportunity to provide input into the </w:t>
      </w:r>
      <w:r w:rsidR="00634AA6">
        <w:t>U</w:t>
      </w:r>
      <w:r>
        <w:t xml:space="preserve">nit </w:t>
      </w:r>
      <w:r w:rsidRPr="002F52F1">
        <w:t>to which they will be placed</w:t>
      </w:r>
      <w:r>
        <w:t>.</w:t>
      </w:r>
    </w:p>
    <w:p w14:paraId="1D1346D0" w14:textId="769F3061" w:rsidR="004A38CB" w:rsidRDefault="004A38CB" w:rsidP="004A38CB">
      <w:pPr>
        <w:pStyle w:val="Heading3"/>
      </w:pPr>
      <w:r>
        <w:t>The Superintendent</w:t>
      </w:r>
      <w:r w:rsidR="00634AA6">
        <w:t>’</w:t>
      </w:r>
      <w:r>
        <w:t>s Multi-</w:t>
      </w:r>
      <w:r w:rsidR="00634AA6">
        <w:t>D</w:t>
      </w:r>
      <w:r>
        <w:t xml:space="preserve">isciplinary Team (MDT) meeting shall include, </w:t>
      </w:r>
      <w:r w:rsidRPr="009F55F9">
        <w:t>but is not limited to</w:t>
      </w:r>
      <w:r>
        <w:t>:</w:t>
      </w:r>
    </w:p>
    <w:p w14:paraId="079069AA" w14:textId="77777777" w:rsidR="004A38CB" w:rsidRDefault="004A38CB" w:rsidP="002F68EE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</w:pPr>
      <w:r>
        <w:t>Senior Managers</w:t>
      </w:r>
    </w:p>
    <w:p w14:paraId="4A3258E7" w14:textId="0674A3BD" w:rsidR="004A38CB" w:rsidRDefault="004A38CB" w:rsidP="002F68EE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</w:pPr>
      <w:r>
        <w:t xml:space="preserve">Operational </w:t>
      </w:r>
      <w:r w:rsidR="00634AA6">
        <w:t>s</w:t>
      </w:r>
      <w:r>
        <w:t>taff</w:t>
      </w:r>
    </w:p>
    <w:p w14:paraId="08896DF6" w14:textId="77777777" w:rsidR="004A38CB" w:rsidRDefault="004A38CB" w:rsidP="002F68EE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</w:pPr>
      <w:r w:rsidRPr="00167C98">
        <w:t>Director Health Services</w:t>
      </w:r>
      <w:r>
        <w:t xml:space="preserve"> (or delegate)</w:t>
      </w:r>
    </w:p>
    <w:p w14:paraId="1B4C3A41" w14:textId="77777777" w:rsidR="004A38CB" w:rsidRDefault="004A38CB" w:rsidP="002F68EE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</w:pPr>
      <w:r w:rsidRPr="00167C98">
        <w:t>Psychologist</w:t>
      </w:r>
    </w:p>
    <w:p w14:paraId="566398D1" w14:textId="34108F48" w:rsidR="004A38CB" w:rsidRDefault="004A38CB" w:rsidP="002F68EE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</w:pPr>
      <w:r>
        <w:t>Mental Health Nurse or Psychiatrist</w:t>
      </w:r>
      <w:r w:rsidR="00702EF8">
        <w:t>.</w:t>
      </w:r>
    </w:p>
    <w:p w14:paraId="45EA7586" w14:textId="2EE2D21B" w:rsidR="004A38CB" w:rsidRDefault="004838D0" w:rsidP="004A38CB">
      <w:pPr>
        <w:pStyle w:val="Heading3"/>
      </w:pPr>
      <w:r>
        <w:t>The MDT shall assess</w:t>
      </w:r>
      <w:r w:rsidR="004A38CB">
        <w:t xml:space="preserve"> each detainee individually </w:t>
      </w:r>
      <w:r w:rsidR="00634AA6">
        <w:t>regarding</w:t>
      </w:r>
      <w:r w:rsidR="004A38CB">
        <w:t xml:space="preserve"> </w:t>
      </w:r>
      <w:r w:rsidR="00A83CD3">
        <w:t xml:space="preserve">needs, </w:t>
      </w:r>
      <w:r w:rsidR="004A38CB">
        <w:t>placement</w:t>
      </w:r>
      <w:r w:rsidR="00634AA6">
        <w:t>,</w:t>
      </w:r>
      <w:r w:rsidR="004A38CB">
        <w:t xml:space="preserve"> and risk. </w:t>
      </w:r>
    </w:p>
    <w:p w14:paraId="4EAB6939" w14:textId="77777777" w:rsidR="004A38CB" w:rsidRDefault="004A38CB" w:rsidP="004A38CB">
      <w:pPr>
        <w:pStyle w:val="Heading3"/>
      </w:pPr>
      <w:r>
        <w:t>Consideration in terms of placement shall also include (</w:t>
      </w:r>
      <w:r w:rsidRPr="00C210FB">
        <w:t>but is not limited to)</w:t>
      </w:r>
      <w:r>
        <w:t>:</w:t>
      </w:r>
    </w:p>
    <w:p w14:paraId="20F09DDB" w14:textId="756686AE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any risks to the detainee and/or others</w:t>
      </w:r>
    </w:p>
    <w:p w14:paraId="49E48E7C" w14:textId="372BB949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the detainee</w:t>
      </w:r>
      <w:r w:rsidR="00634AA6">
        <w:t>’</w:t>
      </w:r>
      <w:r w:rsidRPr="00ED25E4">
        <w:t>s preference for accommodation</w:t>
      </w:r>
    </w:p>
    <w:p w14:paraId="603B002A" w14:textId="62E95AD4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risks to safety, security</w:t>
      </w:r>
      <w:r w:rsidR="00634AA6">
        <w:t>,</w:t>
      </w:r>
      <w:r w:rsidRPr="00ED25E4">
        <w:t xml:space="preserve"> and the good order of </w:t>
      </w:r>
      <w:r w:rsidR="00BB346B">
        <w:t>the Detention Centre</w:t>
      </w:r>
    </w:p>
    <w:p w14:paraId="52823249" w14:textId="77777777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the nature of the offending</w:t>
      </w:r>
    </w:p>
    <w:p w14:paraId="67CFEAFE" w14:textId="77777777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personal circumstances</w:t>
      </w:r>
    </w:p>
    <w:p w14:paraId="2E76EF43" w14:textId="77777777" w:rsidR="004A38CB" w:rsidRPr="00ED25E4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medical requirements</w:t>
      </w:r>
    </w:p>
    <w:p w14:paraId="23C5A0C7" w14:textId="30C0404D" w:rsidR="004A38CB" w:rsidRPr="008E5DF6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 xml:space="preserve">at risk assessment in accordance with </w:t>
      </w:r>
      <w:hyperlink r:id="rId23" w:history="1">
        <w:r w:rsidR="00BB346B" w:rsidRPr="0061031F">
          <w:rPr>
            <w:rStyle w:val="Hyperlink"/>
          </w:rPr>
          <w:t>COPP 7.</w:t>
        </w:r>
        <w:r w:rsidR="0061031F" w:rsidRPr="0061031F">
          <w:rPr>
            <w:rStyle w:val="Hyperlink"/>
          </w:rPr>
          <w:t>4 – Detainees at Risk of Self-Harm or Requiring Additional Support and Monitoring</w:t>
        </w:r>
      </w:hyperlink>
      <w:r w:rsidR="0061031F">
        <w:t>.</w:t>
      </w:r>
    </w:p>
    <w:p w14:paraId="6FB5B80C" w14:textId="77777777" w:rsidR="004A38CB" w:rsidRPr="00627BA5" w:rsidRDefault="004A38CB" w:rsidP="002F68EE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hanging="11"/>
        <w:contextualSpacing w:val="0"/>
      </w:pPr>
      <w:r w:rsidRPr="00ED25E4">
        <w:t>any other relevant factors</w:t>
      </w:r>
      <w:r>
        <w:t>.</w:t>
      </w:r>
    </w:p>
    <w:p w14:paraId="49F8C92B" w14:textId="45A7ADEB" w:rsidR="00FB6A6F" w:rsidRDefault="004A38CB" w:rsidP="00FB6A6F">
      <w:pPr>
        <w:pStyle w:val="Heading3"/>
      </w:pPr>
      <w:r>
        <w:t>T</w:t>
      </w:r>
      <w:r w:rsidRPr="00515DAD">
        <w:t>rans, gender diverse</w:t>
      </w:r>
      <w:r w:rsidR="00634AA6">
        <w:t>,</w:t>
      </w:r>
      <w:r w:rsidRPr="00515DAD">
        <w:t xml:space="preserve"> </w:t>
      </w:r>
      <w:r w:rsidR="00634AA6">
        <w:t>and</w:t>
      </w:r>
      <w:r w:rsidRPr="00515DAD">
        <w:t xml:space="preserve"> intersex </w:t>
      </w:r>
      <w:r w:rsidRPr="00627BA5">
        <w:t xml:space="preserve">detainees shall be placed into an area of </w:t>
      </w:r>
      <w:r w:rsidR="00BB346B">
        <w:t xml:space="preserve">the Detention Centre </w:t>
      </w:r>
      <w:r w:rsidRPr="00627BA5">
        <w:t xml:space="preserve">with due regard to their safety and at-risk status and managed in accordance with </w:t>
      </w:r>
      <w:hyperlink r:id="rId24" w:history="1">
        <w:r w:rsidR="0061031F" w:rsidRPr="0061031F">
          <w:rPr>
            <w:rStyle w:val="Hyperlink"/>
          </w:rPr>
          <w:t>COPP 7.4 – Detainees at Risk of Self-Harm or Requiring Additional Support and Monitoring</w:t>
        </w:r>
      </w:hyperlink>
      <w:r w:rsidR="0061031F">
        <w:t>.</w:t>
      </w:r>
    </w:p>
    <w:p w14:paraId="002DB670" w14:textId="77777777" w:rsidR="00A54B58" w:rsidRPr="00FB6A6F" w:rsidRDefault="00A54B58" w:rsidP="00A54B58">
      <w:pPr>
        <w:pStyle w:val="Heading3"/>
      </w:pPr>
      <w:r>
        <w:t xml:space="preserve">The MDT shall consider a </w:t>
      </w:r>
      <w:r w:rsidRPr="00627BA5">
        <w:t>referral to Perth Children’s Hospital Gender Diversity Service or other appropriate medical services determined by Psychol</w:t>
      </w:r>
      <w:r>
        <w:t>ogical or Health Services staff.</w:t>
      </w:r>
    </w:p>
    <w:p w14:paraId="6EAFA8BA" w14:textId="77777777" w:rsidR="00A54B58" w:rsidRPr="00A54B58" w:rsidRDefault="00A54B58" w:rsidP="00A54B58"/>
    <w:p w14:paraId="26868264" w14:textId="05DBE46A" w:rsidR="00762C8A" w:rsidRPr="00762C8A" w:rsidRDefault="00FB6A6F" w:rsidP="00FB6A6F">
      <w:pPr>
        <w:pStyle w:val="Heading3"/>
      </w:pPr>
      <w:r>
        <w:lastRenderedPageBreak/>
        <w:t xml:space="preserve">The </w:t>
      </w:r>
      <w:r w:rsidR="00D151D9">
        <w:t xml:space="preserve">placement decision shall be communicated to the </w:t>
      </w:r>
      <w:r>
        <w:t xml:space="preserve">detainee. </w:t>
      </w:r>
    </w:p>
    <w:p w14:paraId="1CFAF7E2" w14:textId="78634317" w:rsidR="00FF3CE6" w:rsidRPr="00FF3CE6" w:rsidRDefault="00762C8A" w:rsidP="00FF3CE6">
      <w:pPr>
        <w:pStyle w:val="Heading3"/>
      </w:pPr>
      <w:r>
        <w:t>The Superintendent or Deputy Superintendent shall inform the Assistant Commissioner Women and Young People of the placement decision and management of the detainee.</w:t>
      </w:r>
    </w:p>
    <w:p w14:paraId="05512091" w14:textId="214D4FDD" w:rsidR="000160D8" w:rsidRDefault="008F6D3E" w:rsidP="009D408C">
      <w:pPr>
        <w:pStyle w:val="Heading1"/>
        <w:spacing w:before="360"/>
        <w:ind w:left="431" w:hanging="431"/>
      </w:pPr>
      <w:bookmarkStart w:id="19" w:name="_Toc199427689"/>
      <w:r>
        <w:t>Management Plan</w:t>
      </w:r>
      <w:bookmarkEnd w:id="19"/>
    </w:p>
    <w:p w14:paraId="15B5B644" w14:textId="0147F1BF" w:rsidR="008F6D3E" w:rsidRDefault="00B174FF" w:rsidP="00140346">
      <w:pPr>
        <w:pStyle w:val="Heading3"/>
      </w:pPr>
      <w:r>
        <w:t xml:space="preserve">The Superintendent or Deputy Superintendent shall convene a meeting with the MDT as soon as possible to discuss the </w:t>
      </w:r>
      <w:r w:rsidR="00ED500C">
        <w:t xml:space="preserve">ongoing </w:t>
      </w:r>
      <w:r>
        <w:t>management</w:t>
      </w:r>
      <w:r w:rsidR="00ED500C">
        <w:t xml:space="preserve"> of the detainee.</w:t>
      </w:r>
    </w:p>
    <w:p w14:paraId="7D571E9D" w14:textId="77777777" w:rsidR="006B3606" w:rsidRDefault="006B3606" w:rsidP="006B3606">
      <w:pPr>
        <w:pStyle w:val="Heading3"/>
      </w:pPr>
      <w:r>
        <w:t>Management considerations shall be given to (</w:t>
      </w:r>
      <w:r w:rsidRPr="00C210FB">
        <w:t>but not limited to)</w:t>
      </w:r>
      <w:r>
        <w:t>:</w:t>
      </w:r>
    </w:p>
    <w:p w14:paraId="123E5770" w14:textId="1ED95FCB" w:rsidR="006B3606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 xml:space="preserve">any risks to the </w:t>
      </w:r>
      <w:r>
        <w:t>detainee and/</w:t>
      </w:r>
      <w:r w:rsidRPr="00ED25E4">
        <w:t>or other</w:t>
      </w:r>
      <w:r>
        <w:t xml:space="preserve"> detainees</w:t>
      </w:r>
    </w:p>
    <w:p w14:paraId="7CAD1476" w14:textId="77777777" w:rsidR="006B3606" w:rsidRPr="00ED25E4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>
        <w:t>risks to staff</w:t>
      </w:r>
    </w:p>
    <w:p w14:paraId="1C44DAF0" w14:textId="485C9EFE" w:rsidR="006B3606" w:rsidRPr="00ED25E4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>
        <w:t xml:space="preserve">risks to </w:t>
      </w:r>
      <w:r w:rsidR="00810D6B">
        <w:t xml:space="preserve">the </w:t>
      </w:r>
      <w:r>
        <w:t>safety, security</w:t>
      </w:r>
      <w:r w:rsidR="00810D6B">
        <w:t>,</w:t>
      </w:r>
      <w:r>
        <w:t xml:space="preserve"> and</w:t>
      </w:r>
      <w:r w:rsidRPr="00ED25E4">
        <w:t xml:space="preserve"> good order of </w:t>
      </w:r>
      <w:r w:rsidR="00BB346B">
        <w:t>the Detention Centre</w:t>
      </w:r>
    </w:p>
    <w:p w14:paraId="188FF7DD" w14:textId="066D3E20" w:rsidR="006B3606" w:rsidRPr="00ED25E4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>the nature of offending</w:t>
      </w:r>
      <w:r>
        <w:t xml:space="preserve"> and historical offences</w:t>
      </w:r>
    </w:p>
    <w:p w14:paraId="6624A87B" w14:textId="77777777" w:rsidR="006B3606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>personal circumstances</w:t>
      </w:r>
    </w:p>
    <w:p w14:paraId="27F4FF68" w14:textId="7CF711F1" w:rsidR="00D62CF0" w:rsidRDefault="00D62CF0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>
        <w:t>ongoing support</w:t>
      </w:r>
    </w:p>
    <w:p w14:paraId="276076AA" w14:textId="77777777" w:rsidR="006B3606" w:rsidRPr="00ED25E4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>
        <w:t>disability</w:t>
      </w:r>
    </w:p>
    <w:p w14:paraId="3AB51486" w14:textId="77777777" w:rsidR="006B3606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>medical requirements</w:t>
      </w:r>
    </w:p>
    <w:p w14:paraId="0F24F56E" w14:textId="20D0C61E" w:rsidR="006B3606" w:rsidRPr="008E5DF6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 xml:space="preserve">at risk assessment in accordance with </w:t>
      </w:r>
      <w:hyperlink r:id="rId25" w:history="1">
        <w:r w:rsidR="00355FC6" w:rsidRPr="0061031F">
          <w:rPr>
            <w:rStyle w:val="Hyperlink"/>
          </w:rPr>
          <w:t>COPP 7.4 – Detainees at Risk of Self-Harm or Requiring Additional Support and Monitoring</w:t>
        </w:r>
      </w:hyperlink>
      <w:r w:rsidR="00355FC6">
        <w:t>.</w:t>
      </w:r>
    </w:p>
    <w:p w14:paraId="2C277889" w14:textId="25CB373A" w:rsidR="00ED500C" w:rsidRDefault="006B3606" w:rsidP="002F68EE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firstLine="130"/>
        <w:contextualSpacing w:val="0"/>
      </w:pPr>
      <w:r w:rsidRPr="00ED25E4">
        <w:t>other relev</w:t>
      </w:r>
      <w:r>
        <w:t>ant issues.</w:t>
      </w:r>
    </w:p>
    <w:p w14:paraId="2755A337" w14:textId="3D760D45" w:rsidR="00B67DBD" w:rsidRDefault="00B67DBD" w:rsidP="00140346">
      <w:pPr>
        <w:pStyle w:val="Heading3"/>
      </w:pPr>
      <w:r w:rsidRPr="00CE5CB3">
        <w:t>Trans</w:t>
      </w:r>
      <w:r>
        <w:t>, g</w:t>
      </w:r>
      <w:r w:rsidRPr="00CE5CB3">
        <w:t xml:space="preserve">ender </w:t>
      </w:r>
      <w:r>
        <w:t>diverse</w:t>
      </w:r>
      <w:r w:rsidR="00810D6B">
        <w:t>,</w:t>
      </w:r>
      <w:r>
        <w:t xml:space="preserve"> </w:t>
      </w:r>
      <w:r w:rsidRPr="00CE5CB3">
        <w:t xml:space="preserve">and intersex </w:t>
      </w:r>
      <w:r>
        <w:t xml:space="preserve">detainees </w:t>
      </w:r>
      <w:r w:rsidR="00810D6B">
        <w:t>shall</w:t>
      </w:r>
      <w:r w:rsidRPr="00CE5CB3">
        <w:t xml:space="preserve"> be provided with the same access to services and programs as other </w:t>
      </w:r>
      <w:r>
        <w:t>detainees.</w:t>
      </w:r>
    </w:p>
    <w:p w14:paraId="3B16920F" w14:textId="04E503D4" w:rsidR="00810D6B" w:rsidRDefault="008E46BF" w:rsidP="00810D6B">
      <w:pPr>
        <w:pStyle w:val="Heading3"/>
      </w:pPr>
      <w:r>
        <w:t xml:space="preserve">The management plan shall be explained to the detainee. </w:t>
      </w:r>
    </w:p>
    <w:p w14:paraId="60D096FC" w14:textId="77777777" w:rsidR="00355FC6" w:rsidRPr="00355FC6" w:rsidRDefault="00355FC6" w:rsidP="00355FC6"/>
    <w:p w14:paraId="2981B6BC" w14:textId="00AA92D7" w:rsidR="009B295E" w:rsidRDefault="009B295E" w:rsidP="009D408C">
      <w:pPr>
        <w:pStyle w:val="Heading1"/>
        <w:spacing w:before="360"/>
        <w:ind w:left="431" w:hanging="431"/>
      </w:pPr>
      <w:bookmarkStart w:id="20" w:name="_Toc199427690"/>
      <w:r>
        <w:t xml:space="preserve">Access to </w:t>
      </w:r>
      <w:r w:rsidR="0065278C">
        <w:t>Support</w:t>
      </w:r>
      <w:bookmarkEnd w:id="20"/>
      <w:r w:rsidR="0065278C">
        <w:t xml:space="preserve"> </w:t>
      </w:r>
    </w:p>
    <w:p w14:paraId="55D72AAE" w14:textId="10F16CCB" w:rsidR="009A78A5" w:rsidRDefault="00D16AC4" w:rsidP="009A78A5">
      <w:pPr>
        <w:pStyle w:val="Heading3"/>
      </w:pPr>
      <w:r>
        <w:t xml:space="preserve">Where possible, </w:t>
      </w:r>
      <w:r w:rsidRPr="009A2894">
        <w:t>contact with additional support services</w:t>
      </w:r>
      <w:r>
        <w:t xml:space="preserve"> and/or advocacy agencies shall be considered.</w:t>
      </w:r>
    </w:p>
    <w:p w14:paraId="10D315A1" w14:textId="6BBC4305" w:rsidR="00464750" w:rsidRDefault="00464750" w:rsidP="00464750">
      <w:pPr>
        <w:pStyle w:val="Heading3"/>
      </w:pPr>
      <w:r w:rsidRPr="006B6EEE">
        <w:t xml:space="preserve">Accommodating the needs of </w:t>
      </w:r>
      <w:r>
        <w:t>a detainee</w:t>
      </w:r>
      <w:r w:rsidRPr="006B6EEE">
        <w:t xml:space="preserve"> who </w:t>
      </w:r>
      <w:r w:rsidR="00FF3CE6" w:rsidRPr="006B6EEE">
        <w:t>identif</w:t>
      </w:r>
      <w:r w:rsidR="00FF3CE6">
        <w:t>ies</w:t>
      </w:r>
      <w:r w:rsidR="00FF3CE6" w:rsidRPr="006B6EEE">
        <w:t xml:space="preserve"> </w:t>
      </w:r>
      <w:r w:rsidRPr="006B6EEE">
        <w:t>as trans, gender diverse</w:t>
      </w:r>
      <w:r w:rsidR="00810D6B">
        <w:t>,</w:t>
      </w:r>
      <w:r w:rsidRPr="006B6EEE">
        <w:t xml:space="preserve"> or intersex </w:t>
      </w:r>
      <w:r w:rsidR="00810D6B">
        <w:t>shall</w:t>
      </w:r>
      <w:r w:rsidRPr="006B6EEE">
        <w:t xml:space="preserve"> be met through</w:t>
      </w:r>
      <w:r>
        <w:t xml:space="preserve"> an</w:t>
      </w:r>
      <w:r w:rsidRPr="006B6EEE">
        <w:t xml:space="preserve"> individualised </w:t>
      </w:r>
      <w:r>
        <w:t>PSP</w:t>
      </w:r>
      <w:r w:rsidRPr="006B6EEE">
        <w:t xml:space="preserve">, access to programs, medical and psychological services and appropriate care from staff, balanced against risks to </w:t>
      </w:r>
      <w:r w:rsidR="00810D6B">
        <w:t xml:space="preserve">the </w:t>
      </w:r>
      <w:r w:rsidRPr="006B6EEE">
        <w:t>security and good order of</w:t>
      </w:r>
      <w:r w:rsidR="00BB346B">
        <w:t xml:space="preserve"> the Detention Centre</w:t>
      </w:r>
      <w:r w:rsidRPr="006B6EEE">
        <w:t>.</w:t>
      </w:r>
    </w:p>
    <w:p w14:paraId="07C0F712" w14:textId="11208FFB" w:rsidR="00464750" w:rsidRDefault="00464750" w:rsidP="00464750">
      <w:pPr>
        <w:pStyle w:val="Heading3"/>
      </w:pPr>
      <w:r>
        <w:t>The MDT shall ensure a</w:t>
      </w:r>
      <w:r w:rsidRPr="008A719B">
        <w:t xml:space="preserve"> </w:t>
      </w:r>
      <w:r>
        <w:t>PSP is prepared following the Superintendent</w:t>
      </w:r>
      <w:r w:rsidR="00810D6B">
        <w:t>’</w:t>
      </w:r>
      <w:r>
        <w:t xml:space="preserve">s meeting in accordance with </w:t>
      </w:r>
      <w:hyperlink r:id="rId26" w:history="1">
        <w:r w:rsidR="008C3B0E" w:rsidRPr="008C3B0E">
          <w:rPr>
            <w:rStyle w:val="Hyperlink"/>
          </w:rPr>
          <w:t xml:space="preserve">BHYDC </w:t>
        </w:r>
        <w:r w:rsidR="00BB346B" w:rsidRPr="008C3B0E">
          <w:rPr>
            <w:rStyle w:val="Hyperlink"/>
          </w:rPr>
          <w:t>COPP 7.</w:t>
        </w:r>
        <w:r w:rsidR="008C3B0E" w:rsidRPr="008C3B0E">
          <w:rPr>
            <w:rStyle w:val="Hyperlink"/>
          </w:rPr>
          <w:t>6</w:t>
        </w:r>
        <w:r w:rsidR="00BB346B" w:rsidRPr="008C3B0E">
          <w:rPr>
            <w:rStyle w:val="Hyperlink"/>
          </w:rPr>
          <w:t xml:space="preserve"> – Personal Support Plans</w:t>
        </w:r>
      </w:hyperlink>
      <w:r>
        <w:t>.</w:t>
      </w:r>
    </w:p>
    <w:p w14:paraId="2090B7FA" w14:textId="77777777" w:rsidR="00A54B58" w:rsidRDefault="00A54B58" w:rsidP="00A54B58"/>
    <w:p w14:paraId="7F5B493D" w14:textId="77777777" w:rsidR="00A54B58" w:rsidRPr="00A54B58" w:rsidRDefault="00A54B58" w:rsidP="00A54B58"/>
    <w:p w14:paraId="6E39EBBC" w14:textId="77777777" w:rsidR="000E6CF2" w:rsidRDefault="000E6CF2" w:rsidP="00F47C03">
      <w:pPr>
        <w:pStyle w:val="Heading2"/>
        <w:numPr>
          <w:ilvl w:val="1"/>
          <w:numId w:val="26"/>
        </w:numPr>
      </w:pPr>
      <w:bookmarkStart w:id="21" w:name="_Toc49431664"/>
      <w:bookmarkStart w:id="22" w:name="_Toc199427691"/>
      <w:r>
        <w:lastRenderedPageBreak/>
        <w:t>Visits from friends and family</w:t>
      </w:r>
      <w:bookmarkEnd w:id="21"/>
      <w:bookmarkEnd w:id="22"/>
    </w:p>
    <w:p w14:paraId="2D8837F7" w14:textId="34BFB072" w:rsidR="002F68EE" w:rsidRPr="002F68EE" w:rsidRDefault="000E6CF2" w:rsidP="002F68EE">
      <w:pPr>
        <w:pStyle w:val="Heading3"/>
      </w:pPr>
      <w:bookmarkStart w:id="23" w:name="_Hlk199508920"/>
      <w:r>
        <w:t xml:space="preserve">Social visits shall be managed in accordance with </w:t>
      </w:r>
      <w:r w:rsidR="008C3B0E">
        <w:t xml:space="preserve">the relevant </w:t>
      </w:r>
      <w:hyperlink r:id="rId27" w:history="1">
        <w:r w:rsidR="008C3B0E" w:rsidRPr="008C3B0E">
          <w:rPr>
            <w:rStyle w:val="Hyperlink"/>
          </w:rPr>
          <w:t xml:space="preserve">YDC </w:t>
        </w:r>
        <w:r w:rsidR="00BB346B" w:rsidRPr="008C3B0E">
          <w:rPr>
            <w:rStyle w:val="Hyperlink"/>
          </w:rPr>
          <w:t>Social Visits</w:t>
        </w:r>
        <w:r w:rsidR="008C3B0E" w:rsidRPr="008C3B0E">
          <w:rPr>
            <w:rStyle w:val="Hyperlink"/>
          </w:rPr>
          <w:t xml:space="preserve"> COPP</w:t>
        </w:r>
      </w:hyperlink>
      <w:r>
        <w:t>.</w:t>
      </w:r>
    </w:p>
    <w:p w14:paraId="2ACFE82C" w14:textId="3D45975D" w:rsidR="002920C3" w:rsidRDefault="002920C3" w:rsidP="009D408C">
      <w:pPr>
        <w:pStyle w:val="Heading1"/>
        <w:spacing w:before="360"/>
        <w:ind w:left="431" w:hanging="431"/>
      </w:pPr>
      <w:bookmarkStart w:id="24" w:name="_Toc199427692"/>
      <w:bookmarkEnd w:id="23"/>
      <w:r>
        <w:t>Access to Health Services</w:t>
      </w:r>
      <w:bookmarkEnd w:id="24"/>
    </w:p>
    <w:p w14:paraId="06F3EE0D" w14:textId="61867510" w:rsidR="002F68EE" w:rsidRPr="002F68EE" w:rsidRDefault="002920C3" w:rsidP="002F68EE">
      <w:pPr>
        <w:pStyle w:val="Heading3"/>
      </w:pPr>
      <w:r>
        <w:t>T</w:t>
      </w:r>
      <w:r w:rsidRPr="00363CEA">
        <w:t>rans, gender diverse</w:t>
      </w:r>
      <w:r w:rsidR="00810D6B">
        <w:t>,</w:t>
      </w:r>
      <w:r w:rsidRPr="00363CEA">
        <w:t xml:space="preserve"> and intersex</w:t>
      </w:r>
      <w:r>
        <w:t xml:space="preserve"> detainees shall be assessed and clinically managed in accordance with their clinical needs an</w:t>
      </w:r>
      <w:r w:rsidRPr="009C0F7D">
        <w:t xml:space="preserve">d </w:t>
      </w:r>
      <w:hyperlink r:id="rId28" w:history="1">
        <w:r w:rsidRPr="009C0F7D">
          <w:rPr>
            <w:rStyle w:val="Hyperlink"/>
          </w:rPr>
          <w:t>Health Services (HS) policies</w:t>
        </w:r>
      </w:hyperlink>
      <w:r>
        <w:t>.</w:t>
      </w:r>
    </w:p>
    <w:p w14:paraId="50372B1B" w14:textId="69228A4C" w:rsidR="00B22B0B" w:rsidRDefault="00B22B0B" w:rsidP="009D408C">
      <w:pPr>
        <w:pStyle w:val="Heading1"/>
        <w:spacing w:before="360"/>
        <w:ind w:left="431" w:hanging="431"/>
      </w:pPr>
      <w:bookmarkStart w:id="25" w:name="_Toc199427693"/>
      <w:r>
        <w:t>Escorts</w:t>
      </w:r>
      <w:bookmarkEnd w:id="25"/>
    </w:p>
    <w:p w14:paraId="011AEC2D" w14:textId="1DDE493E" w:rsidR="00215803" w:rsidRDefault="008C3D8E" w:rsidP="00815F5D">
      <w:pPr>
        <w:pStyle w:val="Heading3"/>
      </w:pPr>
      <w:bookmarkStart w:id="26" w:name="_Hlk198288079"/>
      <w:r>
        <w:t>The Se</w:t>
      </w:r>
      <w:r w:rsidRPr="008C3D8E">
        <w:t xml:space="preserve">nior </w:t>
      </w:r>
      <w:r>
        <w:t>O</w:t>
      </w:r>
      <w:r w:rsidRPr="008C3D8E">
        <w:t xml:space="preserve">fficer </w:t>
      </w:r>
      <w:r w:rsidR="001B012E">
        <w:t xml:space="preserve">Admissions </w:t>
      </w:r>
      <w:r>
        <w:t xml:space="preserve">shall ensure </w:t>
      </w:r>
      <w:r w:rsidR="00515DAD" w:rsidRPr="00515DAD">
        <w:t>trans, gender diverse</w:t>
      </w:r>
      <w:r w:rsidR="00810D6B">
        <w:t>,</w:t>
      </w:r>
      <w:r w:rsidR="00515DAD" w:rsidRPr="00515DAD">
        <w:t xml:space="preserve"> or intersex </w:t>
      </w:r>
      <w:r w:rsidR="00B22B0B">
        <w:t xml:space="preserve">detainees </w:t>
      </w:r>
      <w:r>
        <w:t xml:space="preserve">are placed </w:t>
      </w:r>
      <w:r w:rsidR="00B22B0B">
        <w:t xml:space="preserve">on the special needs escort list </w:t>
      </w:r>
      <w:r>
        <w:t xml:space="preserve">for all external escorts </w:t>
      </w:r>
      <w:r w:rsidR="00B22B0B">
        <w:t>in accordance</w:t>
      </w:r>
      <w:r w:rsidR="001D46F5">
        <w:t xml:space="preserve"> with</w:t>
      </w:r>
      <w:r w:rsidR="00B22B0B">
        <w:t xml:space="preserve"> </w:t>
      </w:r>
      <w:hyperlink r:id="rId29" w:history="1">
        <w:r w:rsidR="00BB346B" w:rsidRPr="0024670F">
          <w:rPr>
            <w:rStyle w:val="Hyperlink"/>
          </w:rPr>
          <w:t>COPP 10.2 – Scheduling Escorts</w:t>
        </w:r>
      </w:hyperlink>
      <w:r>
        <w:t xml:space="preserve">. </w:t>
      </w:r>
    </w:p>
    <w:bookmarkEnd w:id="26"/>
    <w:p w14:paraId="7CC77CE8" w14:textId="20CC7F7C" w:rsidR="002F68EE" w:rsidRPr="002F68EE" w:rsidRDefault="008C3D8E" w:rsidP="002F68EE">
      <w:pPr>
        <w:pStyle w:val="Heading3"/>
      </w:pPr>
      <w:r>
        <w:t>E</w:t>
      </w:r>
      <w:r w:rsidR="007742BD" w:rsidRPr="007742BD">
        <w:t xml:space="preserve">scorting </w:t>
      </w:r>
      <w:r w:rsidR="00215803">
        <w:t xml:space="preserve">Custodial Officers </w:t>
      </w:r>
      <w:r w:rsidR="00B22B0B">
        <w:t xml:space="preserve">shall </w:t>
      </w:r>
      <w:r w:rsidR="007742BD">
        <w:t xml:space="preserve">ensure the detainee </w:t>
      </w:r>
      <w:r>
        <w:t xml:space="preserve">is </w:t>
      </w:r>
      <w:r w:rsidR="00B22B0B">
        <w:t>not transported with other detainees</w:t>
      </w:r>
      <w:r w:rsidR="00DF58BD">
        <w:t xml:space="preserve"> in the same pod</w:t>
      </w:r>
      <w:r w:rsidR="00810D6B">
        <w:t xml:space="preserve"> and shall be provided </w:t>
      </w:r>
      <w:r w:rsidR="00EE3FF1">
        <w:t>the opportunity to use toilet facilities separately from other detainees</w:t>
      </w:r>
      <w:r w:rsidR="00B22B0B">
        <w:t>.</w:t>
      </w:r>
    </w:p>
    <w:p w14:paraId="736C43A2" w14:textId="516B7145" w:rsidR="002E738F" w:rsidRDefault="002E738F" w:rsidP="009D408C">
      <w:pPr>
        <w:pStyle w:val="Heading1"/>
        <w:spacing w:before="360"/>
        <w:ind w:left="431" w:hanging="431"/>
      </w:pPr>
      <w:bookmarkStart w:id="27" w:name="_Toc199427694"/>
      <w:r>
        <w:t xml:space="preserve">Detainees </w:t>
      </w:r>
      <w:r w:rsidR="00A631F7">
        <w:t>I</w:t>
      </w:r>
      <w:r>
        <w:t xml:space="preserve">dentifying as </w:t>
      </w:r>
      <w:r w:rsidR="00A631F7">
        <w:t>T</w:t>
      </w:r>
      <w:r>
        <w:t>rans</w:t>
      </w:r>
      <w:r w:rsidR="0093029F">
        <w:t xml:space="preserve">, </w:t>
      </w:r>
      <w:r w:rsidR="00A631F7">
        <w:t>G</w:t>
      </w:r>
      <w:r w:rsidR="0093029F">
        <w:t xml:space="preserve">ender </w:t>
      </w:r>
      <w:r w:rsidR="00A631F7">
        <w:t>D</w:t>
      </w:r>
      <w:r w:rsidR="0093029F">
        <w:t>iverse</w:t>
      </w:r>
      <w:r w:rsidR="00810D6B">
        <w:t>,</w:t>
      </w:r>
      <w:r>
        <w:t xml:space="preserve"> or </w:t>
      </w:r>
      <w:r w:rsidR="00A631F7">
        <w:t>I</w:t>
      </w:r>
      <w:r>
        <w:t xml:space="preserve">ntersex </w:t>
      </w:r>
      <w:r w:rsidR="00A631F7">
        <w:t>P</w:t>
      </w:r>
      <w:r>
        <w:t xml:space="preserve">ost </w:t>
      </w:r>
      <w:r w:rsidR="00A631F7">
        <w:t>A</w:t>
      </w:r>
      <w:r>
        <w:t>dmission</w:t>
      </w:r>
      <w:bookmarkEnd w:id="27"/>
    </w:p>
    <w:p w14:paraId="50F63772" w14:textId="104D5520" w:rsidR="002E738F" w:rsidRDefault="008F6F80" w:rsidP="00895EAB">
      <w:pPr>
        <w:pStyle w:val="Heading3"/>
      </w:pPr>
      <w:r>
        <w:t>The pace of gender transitioning is usua</w:t>
      </w:r>
      <w:r w:rsidR="004D09A8">
        <w:t xml:space="preserve">lly determined by the detainee. Support shall be </w:t>
      </w:r>
      <w:r w:rsidR="005C5CD4">
        <w:t xml:space="preserve">made </w:t>
      </w:r>
      <w:r w:rsidR="004D09A8">
        <w:t xml:space="preserve">available </w:t>
      </w:r>
      <w:r>
        <w:t>and</w:t>
      </w:r>
      <w:r w:rsidR="00EE3FF1">
        <w:t>,</w:t>
      </w:r>
      <w:r>
        <w:t xml:space="preserve"> where relevant</w:t>
      </w:r>
      <w:r w:rsidR="00A6024B">
        <w:t>,</w:t>
      </w:r>
      <w:r>
        <w:t xml:space="preserve"> </w:t>
      </w:r>
      <w:r w:rsidR="004D09A8">
        <w:t>H</w:t>
      </w:r>
      <w:r>
        <w:t xml:space="preserve">ealth </w:t>
      </w:r>
      <w:r w:rsidR="004D09A8">
        <w:t>Services may make appropriate referrals</w:t>
      </w:r>
      <w:r w:rsidR="00EE3FF1">
        <w:t>.</w:t>
      </w:r>
    </w:p>
    <w:p w14:paraId="30E140EB" w14:textId="72C2C685" w:rsidR="00283732" w:rsidRDefault="00283732" w:rsidP="00283732">
      <w:pPr>
        <w:pStyle w:val="Heading3"/>
      </w:pPr>
      <w:r>
        <w:t xml:space="preserve">Where a detainee identifies </w:t>
      </w:r>
      <w:r w:rsidR="008F625A">
        <w:t xml:space="preserve">that they are </w:t>
      </w:r>
      <w:r>
        <w:t>transitioning to a different gender</w:t>
      </w:r>
      <w:r w:rsidR="00F661C1">
        <w:t>,</w:t>
      </w:r>
      <w:r>
        <w:t xml:space="preserve"> a meeting shall be called with the </w:t>
      </w:r>
      <w:r w:rsidR="004D09A8">
        <w:t xml:space="preserve">MDT </w:t>
      </w:r>
      <w:r w:rsidR="00AD3350">
        <w:t>to determine</w:t>
      </w:r>
      <w:r w:rsidR="0036658C">
        <w:t xml:space="preserve"> the </w:t>
      </w:r>
      <w:r w:rsidR="00385B6D">
        <w:t xml:space="preserve">detainee’s </w:t>
      </w:r>
      <w:r w:rsidR="0036658C">
        <w:t>requirements in accordance with this COPP</w:t>
      </w:r>
      <w:r w:rsidR="00AD3350">
        <w:t>.</w:t>
      </w:r>
    </w:p>
    <w:p w14:paraId="4A5D6CAA" w14:textId="45064A18" w:rsidR="00A23088" w:rsidRPr="00A23088" w:rsidRDefault="00A23088" w:rsidP="00A23088">
      <w:pPr>
        <w:pStyle w:val="Heading3"/>
      </w:pPr>
      <w:r>
        <w:t>The Superintendent shall be responsible for ensuring documentation of the detainee</w:t>
      </w:r>
      <w:r w:rsidR="00EE3FF1">
        <w:t>’</w:t>
      </w:r>
      <w:r>
        <w:t>s preferred gender, name, pronouns, searching</w:t>
      </w:r>
      <w:r w:rsidR="00EE3FF1">
        <w:t>,</w:t>
      </w:r>
      <w:r>
        <w:t xml:space="preserve"> and placement requirements is completed </w:t>
      </w:r>
      <w:r w:rsidR="00EE3FF1">
        <w:t>on</w:t>
      </w:r>
      <w:r>
        <w:t xml:space="preserve"> TOMS.</w:t>
      </w:r>
    </w:p>
    <w:p w14:paraId="1B123F3A" w14:textId="2610527D" w:rsidR="00385B6D" w:rsidRPr="00D33552" w:rsidRDefault="00D941F8" w:rsidP="00D33552">
      <w:r>
        <w:br w:type="page"/>
      </w:r>
    </w:p>
    <w:p w14:paraId="4A787E14" w14:textId="5D57B4F0" w:rsidR="000755EE" w:rsidRDefault="003D708E" w:rsidP="008114B3">
      <w:pPr>
        <w:pStyle w:val="Heading1"/>
      </w:pPr>
      <w:bookmarkStart w:id="28" w:name="_Toc199427695"/>
      <w:r>
        <w:lastRenderedPageBreak/>
        <w:t>Annexures</w:t>
      </w:r>
      <w:bookmarkEnd w:id="28"/>
    </w:p>
    <w:p w14:paraId="246ADA0B" w14:textId="7B4AF97F" w:rsidR="003D708E" w:rsidRDefault="00AE4AAD" w:rsidP="003D708E">
      <w:pPr>
        <w:pStyle w:val="Heading2"/>
      </w:pPr>
      <w:bookmarkStart w:id="29" w:name="_Toc199427696"/>
      <w:r>
        <w:t xml:space="preserve">Related COPPS and </w:t>
      </w:r>
      <w:r w:rsidR="00DE746C">
        <w:t>document</w:t>
      </w:r>
      <w:bookmarkEnd w:id="29"/>
    </w:p>
    <w:p w14:paraId="0949BCF3" w14:textId="7BF598CC" w:rsidR="009F3BB2" w:rsidRPr="009F6315" w:rsidRDefault="009F6315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BB346B" w:rsidRPr="009F6315">
        <w:rPr>
          <w:rStyle w:val="Hyperlink"/>
        </w:rPr>
        <w:t>COPP 2.1 – Admission</w:t>
      </w:r>
    </w:p>
    <w:p w14:paraId="4F9D8306" w14:textId="479C76E6" w:rsidR="000645BE" w:rsidRPr="009F6315" w:rsidRDefault="00BB346B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>COPP 2.3 – Placement</w:t>
      </w:r>
    </w:p>
    <w:p w14:paraId="5AFD1B38" w14:textId="57E0C793" w:rsidR="00096B05" w:rsidRPr="009F6315" w:rsidRDefault="0024670F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 xml:space="preserve">BHYDC </w:t>
      </w:r>
      <w:r w:rsidR="00BB346B" w:rsidRPr="009F6315">
        <w:rPr>
          <w:rStyle w:val="Hyperlink"/>
        </w:rPr>
        <w:t>COPP 6.9 – Unit Management</w:t>
      </w:r>
    </w:p>
    <w:p w14:paraId="0981BD21" w14:textId="55FECBED" w:rsidR="005851AA" w:rsidRPr="009F6315" w:rsidRDefault="005851AA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>COPP 7.4 – Detainees at Risk of Self-Harm or Requiring Additional Support and Monitoring</w:t>
      </w:r>
    </w:p>
    <w:p w14:paraId="2C196A9E" w14:textId="058B1E4B" w:rsidR="00F775FC" w:rsidRPr="009F6315" w:rsidRDefault="005703A0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 xml:space="preserve">BHYDC </w:t>
      </w:r>
      <w:r w:rsidR="00BB346B" w:rsidRPr="009F6315">
        <w:rPr>
          <w:rStyle w:val="Hyperlink"/>
        </w:rPr>
        <w:t>COPP 7.</w:t>
      </w:r>
      <w:r w:rsidR="005851AA" w:rsidRPr="009F6315">
        <w:rPr>
          <w:rStyle w:val="Hyperlink"/>
        </w:rPr>
        <w:t>6</w:t>
      </w:r>
      <w:r w:rsidR="00BB346B" w:rsidRPr="009F6315">
        <w:rPr>
          <w:rStyle w:val="Hyperlink"/>
        </w:rPr>
        <w:t xml:space="preserve"> – Personal Support Plans</w:t>
      </w:r>
    </w:p>
    <w:p w14:paraId="51A2FC64" w14:textId="26FBCE46" w:rsidR="00E74936" w:rsidRPr="009F6315" w:rsidRDefault="005851AA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 xml:space="preserve">BHYDC </w:t>
      </w:r>
      <w:r w:rsidR="00BB346B" w:rsidRPr="009F6315">
        <w:rPr>
          <w:rStyle w:val="Hyperlink"/>
        </w:rPr>
        <w:t>COPP 9.6 – Searches</w:t>
      </w:r>
    </w:p>
    <w:p w14:paraId="28A17E23" w14:textId="0D4EAA37" w:rsidR="00096B05" w:rsidRPr="009F6315" w:rsidRDefault="00BB346B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>COPP 10.2 – Scheduling Escorts</w:t>
      </w:r>
      <w:r w:rsidR="00215803" w:rsidRPr="009F6315">
        <w:rPr>
          <w:rStyle w:val="Hyperlink"/>
        </w:rPr>
        <w:t xml:space="preserve"> </w:t>
      </w:r>
    </w:p>
    <w:p w14:paraId="6973B6D4" w14:textId="6B36FB9B" w:rsidR="000E6CF2" w:rsidRPr="009F6315" w:rsidRDefault="005851AA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rStyle w:val="Hyperlink"/>
        </w:rPr>
      </w:pPr>
      <w:r w:rsidRPr="009F6315">
        <w:rPr>
          <w:rStyle w:val="Hyperlink"/>
        </w:rPr>
        <w:t xml:space="preserve">BHYDC </w:t>
      </w:r>
      <w:r w:rsidR="00BB346B" w:rsidRPr="009F6315">
        <w:rPr>
          <w:rStyle w:val="Hyperlink"/>
        </w:rPr>
        <w:t>COPP 11.2 – Social and Interfacility Visits</w:t>
      </w:r>
    </w:p>
    <w:p w14:paraId="3123D788" w14:textId="6E4A0801" w:rsidR="005851AA" w:rsidRPr="00D941F8" w:rsidRDefault="0030439C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  <w:rPr>
          <w:color w:val="0000FF"/>
          <w:u w:val="single"/>
        </w:rPr>
      </w:pPr>
      <w:r w:rsidRPr="009F6315">
        <w:rPr>
          <w:rStyle w:val="Hyperlink"/>
        </w:rPr>
        <w:t>Unit 18 C</w:t>
      </w:r>
      <w:r w:rsidR="005851AA" w:rsidRPr="009F6315">
        <w:rPr>
          <w:rStyle w:val="Hyperlink"/>
        </w:rPr>
        <w:t>OPP 14.4 – Social Visits</w:t>
      </w:r>
      <w:r w:rsidR="009F6315">
        <w:fldChar w:fldCharType="end"/>
      </w:r>
    </w:p>
    <w:p w14:paraId="50F2EFB2" w14:textId="40B5352E" w:rsidR="00093F3C" w:rsidRDefault="002848F3" w:rsidP="002F68EE">
      <w:pPr>
        <w:pStyle w:val="ListParagraph"/>
        <w:numPr>
          <w:ilvl w:val="0"/>
          <w:numId w:val="19"/>
        </w:numPr>
        <w:spacing w:before="120" w:after="120"/>
        <w:ind w:left="851" w:hanging="284"/>
        <w:contextualSpacing w:val="0"/>
      </w:pPr>
      <w:hyperlink r:id="rId30" w:history="1">
        <w:r w:rsidR="00093F3C" w:rsidRPr="00A7248D">
          <w:rPr>
            <w:rStyle w:val="Hyperlink"/>
          </w:rPr>
          <w:t xml:space="preserve">Commissioner for Children and Young People Issues </w:t>
        </w:r>
        <w:r w:rsidR="00A7248D" w:rsidRPr="00A7248D">
          <w:rPr>
            <w:rStyle w:val="Hyperlink"/>
          </w:rPr>
          <w:t>Pape</w:t>
        </w:r>
        <w:r w:rsidR="00EE3FF1">
          <w:rPr>
            <w:rStyle w:val="Hyperlink"/>
          </w:rPr>
          <w:t>r</w:t>
        </w:r>
        <w:r w:rsidR="00A7248D" w:rsidRPr="00A7248D">
          <w:rPr>
            <w:rStyle w:val="Hyperlink"/>
          </w:rPr>
          <w:t xml:space="preserve"> </w:t>
        </w:r>
        <w:r w:rsidR="006B6EEE">
          <w:rPr>
            <w:rStyle w:val="Hyperlink"/>
          </w:rPr>
          <w:t>–</w:t>
        </w:r>
        <w:r w:rsidR="00A7248D" w:rsidRPr="00A7248D">
          <w:rPr>
            <w:rStyle w:val="Hyperlink"/>
          </w:rPr>
          <w:t xml:space="preserve"> LGBTI children and young people</w:t>
        </w:r>
      </w:hyperlink>
    </w:p>
    <w:p w14:paraId="7D7C416D" w14:textId="3EC6FA49" w:rsidR="003D708E" w:rsidRPr="003D708E" w:rsidRDefault="003D708E" w:rsidP="003D708E">
      <w:pPr>
        <w:pStyle w:val="Heading2"/>
      </w:pPr>
      <w:bookmarkStart w:id="30" w:name="_Toc199427697"/>
      <w:r>
        <w:t>Definitions and acronyms</w:t>
      </w:r>
      <w:bookmarkEnd w:id="30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D708E" w:rsidRPr="000E6F0A" w14:paraId="7004D9FF" w14:textId="77777777" w:rsidTr="00AC5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16" w:type="dxa"/>
            <w:shd w:val="clear" w:color="auto" w:fill="DDD9C3" w:themeFill="background2" w:themeFillShade="E6"/>
          </w:tcPr>
          <w:p w14:paraId="22E6FB6B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  <w:shd w:val="clear" w:color="auto" w:fill="DDD9C3" w:themeFill="background2" w:themeFillShade="E6"/>
          </w:tcPr>
          <w:p w14:paraId="1248056D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925309" w:rsidRPr="000E6F0A" w14:paraId="6229300C" w14:textId="77777777" w:rsidTr="00BC01CE">
        <w:tc>
          <w:tcPr>
            <w:tcW w:w="2116" w:type="dxa"/>
          </w:tcPr>
          <w:p w14:paraId="32453280" w14:textId="77777777" w:rsidR="00925309" w:rsidRPr="000F1DB1" w:rsidRDefault="00925309" w:rsidP="00925309">
            <w:pPr>
              <w:rPr>
                <w:rFonts w:eastAsia="Calibri"/>
                <w:lang w:eastAsia="en-AU"/>
              </w:rPr>
            </w:pPr>
            <w:r w:rsidRPr="000F1DB1">
              <w:rPr>
                <w:rFonts w:eastAsia="Calibri"/>
                <w:lang w:eastAsia="en-AU"/>
              </w:rPr>
              <w:t>Acknowledgment document</w:t>
            </w:r>
          </w:p>
          <w:p w14:paraId="037385D8" w14:textId="77777777" w:rsidR="00925309" w:rsidRPr="000F1DB1" w:rsidRDefault="00925309" w:rsidP="00925309">
            <w:pPr>
              <w:pStyle w:val="Tabledata"/>
            </w:pPr>
          </w:p>
        </w:tc>
        <w:tc>
          <w:tcPr>
            <w:tcW w:w="7052" w:type="dxa"/>
          </w:tcPr>
          <w:p w14:paraId="23AF1CE9" w14:textId="77777777" w:rsidR="00925309" w:rsidRPr="000F1DB1" w:rsidRDefault="00925309" w:rsidP="00925309">
            <w:pPr>
              <w:suppressAutoHyphens/>
              <w:rPr>
                <w:rFonts w:eastAsia="Calibri"/>
                <w:lang w:eastAsia="en-AU"/>
              </w:rPr>
            </w:pPr>
            <w:r w:rsidRPr="000F1DB1">
              <w:rPr>
                <w:rFonts w:eastAsia="Calibri"/>
                <w:lang w:eastAsia="en-AU"/>
              </w:rPr>
              <w:t>A document acknowledging a person’s</w:t>
            </w:r>
          </w:p>
          <w:p w14:paraId="01E25024" w14:textId="6087777B" w:rsidR="00925309" w:rsidRPr="000F1DB1" w:rsidRDefault="00925309" w:rsidP="00925309">
            <w:pPr>
              <w:pStyle w:val="Tabledata"/>
            </w:pPr>
            <w:r w:rsidRPr="000F1DB1">
              <w:rPr>
                <w:rFonts w:eastAsia="Calibri"/>
              </w:rPr>
              <w:t>sex or gender as per section 36</w:t>
            </w:r>
            <w:r w:rsidR="00F12F48" w:rsidRPr="000F1DB1">
              <w:rPr>
                <w:rFonts w:eastAsia="Calibri"/>
              </w:rPr>
              <w:t>ZA (</w:t>
            </w:r>
            <w:r w:rsidRPr="000F1DB1">
              <w:rPr>
                <w:rFonts w:eastAsia="Calibri"/>
              </w:rPr>
              <w:t xml:space="preserve">1) </w:t>
            </w:r>
            <w:bookmarkStart w:id="31" w:name="_Hlk196213648"/>
            <w:r w:rsidRPr="000F1DB1">
              <w:rPr>
                <w:rFonts w:eastAsia="Calibri"/>
              </w:rPr>
              <w:t xml:space="preserve">of the </w:t>
            </w:r>
            <w:r w:rsidRPr="000F1DB1">
              <w:rPr>
                <w:rFonts w:eastAsia="Calibri"/>
                <w:i/>
                <w:iCs/>
              </w:rPr>
              <w:t xml:space="preserve">Births, Deaths and Marriages </w:t>
            </w:r>
            <w:bookmarkEnd w:id="31"/>
            <w:r w:rsidRPr="000F1DB1">
              <w:rPr>
                <w:rFonts w:eastAsia="Calibri"/>
                <w:i/>
                <w:iCs/>
              </w:rPr>
              <w:t xml:space="preserve">Registration Act 1998 </w:t>
            </w:r>
            <w:r w:rsidRPr="000F1DB1">
              <w:rPr>
                <w:rFonts w:eastAsia="Calibri"/>
                <w:lang w:eastAsia="en-US"/>
              </w:rPr>
              <w:t>(WA)</w:t>
            </w:r>
            <w:r w:rsidRPr="000F1DB1">
              <w:rPr>
                <w:rFonts w:eastAsia="Calibri"/>
                <w:i/>
                <w:iCs/>
              </w:rPr>
              <w:t xml:space="preserve"> </w:t>
            </w:r>
          </w:p>
        </w:tc>
      </w:tr>
      <w:tr w:rsidR="003D708E" w:rsidRPr="000E6F0A" w14:paraId="6F03E5A3" w14:textId="77777777" w:rsidTr="00BC01CE">
        <w:tc>
          <w:tcPr>
            <w:tcW w:w="2116" w:type="dxa"/>
          </w:tcPr>
          <w:p w14:paraId="052BFCB5" w14:textId="344FCFCC" w:rsidR="003D708E" w:rsidRPr="005435AD" w:rsidRDefault="00D941F8" w:rsidP="00DF778C">
            <w:pPr>
              <w:pStyle w:val="Tabledata"/>
              <w:rPr>
                <w:b/>
              </w:rPr>
            </w:pPr>
            <w:r>
              <w:t xml:space="preserve">Commissioner’s Operating </w:t>
            </w:r>
            <w:r w:rsidR="00031841" w:rsidRPr="00031841">
              <w:t>Policy and Procedure (COPP)</w:t>
            </w:r>
          </w:p>
        </w:tc>
        <w:tc>
          <w:tcPr>
            <w:tcW w:w="7052" w:type="dxa"/>
          </w:tcPr>
          <w:p w14:paraId="038A62FB" w14:textId="4FFF7579" w:rsidR="003D708E" w:rsidRPr="00344FBE" w:rsidRDefault="00612F0F" w:rsidP="00DF778C">
            <w:pPr>
              <w:pStyle w:val="Tabledata"/>
            </w:pPr>
            <w:r w:rsidRPr="00612F0F">
              <w:t>Operational Instruments that provide instructions to staff how the relevant legislative requirements are implemented</w:t>
            </w:r>
            <w:r>
              <w:t>.</w:t>
            </w:r>
          </w:p>
        </w:tc>
      </w:tr>
      <w:tr w:rsidR="009660DE" w:rsidRPr="000E6F0A" w14:paraId="3EF26E9F" w14:textId="77777777" w:rsidTr="00BC01CE">
        <w:tc>
          <w:tcPr>
            <w:tcW w:w="2116" w:type="dxa"/>
          </w:tcPr>
          <w:p w14:paraId="69CCCF77" w14:textId="46D7086D" w:rsidR="009660DE" w:rsidRDefault="009660DE" w:rsidP="00DF778C">
            <w:pPr>
              <w:pStyle w:val="Tabledata"/>
            </w:pPr>
            <w:r>
              <w:t>Custodia</w:t>
            </w:r>
            <w:r w:rsidR="006D68A8">
              <w:t>l</w:t>
            </w:r>
            <w:r>
              <w:t xml:space="preserve"> Officer</w:t>
            </w:r>
          </w:p>
        </w:tc>
        <w:tc>
          <w:tcPr>
            <w:tcW w:w="7052" w:type="dxa"/>
          </w:tcPr>
          <w:p w14:paraId="713FFDA4" w14:textId="69BD472F" w:rsidR="009660DE" w:rsidRPr="00E21FA5" w:rsidRDefault="009660DE" w:rsidP="00E21FA5">
            <w:pPr>
              <w:rPr>
                <w:rFonts w:eastAsia="Calibri" w:cs="Arial"/>
              </w:rPr>
            </w:pPr>
            <w:r w:rsidRPr="00215803">
              <w:rPr>
                <w:rFonts w:eastAsia="Calibri" w:cs="Arial"/>
              </w:rPr>
              <w:t xml:space="preserve">An officer with custodial functions, appointed under section 11(1) of the </w:t>
            </w:r>
            <w:r w:rsidRPr="00215803">
              <w:rPr>
                <w:rFonts w:eastAsia="Calibri" w:cs="Arial"/>
                <w:i/>
              </w:rPr>
              <w:t>Young Offenders Act 1994</w:t>
            </w:r>
            <w:r w:rsidRPr="00215803">
              <w:rPr>
                <w:rFonts w:eastAsia="Calibri" w:cs="Arial"/>
              </w:rPr>
              <w:t xml:space="preserve">; or a person who is appointed under section 11(1a)(a) as a custodial officer. This includes but is not limited to Youth Custodial Officers, Unit Managers and Senior Officers. </w:t>
            </w:r>
          </w:p>
        </w:tc>
      </w:tr>
      <w:tr w:rsidR="00542B04" w:rsidRPr="000E6F0A" w14:paraId="08E9BB31" w14:textId="77777777" w:rsidTr="00BC01CE">
        <w:tc>
          <w:tcPr>
            <w:tcW w:w="2116" w:type="dxa"/>
          </w:tcPr>
          <w:p w14:paraId="038D8FBC" w14:textId="77777777" w:rsidR="00542B04" w:rsidRDefault="00542B04" w:rsidP="00DF778C">
            <w:pPr>
              <w:pStyle w:val="Tabledata"/>
            </w:pPr>
            <w:r>
              <w:t>Department</w:t>
            </w:r>
          </w:p>
        </w:tc>
        <w:tc>
          <w:tcPr>
            <w:tcW w:w="7052" w:type="dxa"/>
          </w:tcPr>
          <w:p w14:paraId="68CFD9F7" w14:textId="77777777" w:rsidR="00542B04" w:rsidRDefault="008E4E5B" w:rsidP="00DF778C">
            <w:pPr>
              <w:pStyle w:val="Tabledata"/>
            </w:pPr>
            <w:r w:rsidRPr="008E4E5B">
              <w:t xml:space="preserve">The department of the Public Service principally assisting the Minister in the administration of the </w:t>
            </w:r>
            <w:r w:rsidRPr="008E4E5B">
              <w:rPr>
                <w:i/>
              </w:rPr>
              <w:t>Young Offenders Act 1996</w:t>
            </w:r>
          </w:p>
        </w:tc>
      </w:tr>
      <w:tr w:rsidR="00AD5582" w:rsidRPr="000E6F0A" w14:paraId="17DDCFC6" w14:textId="77777777" w:rsidTr="00BC01CE">
        <w:tc>
          <w:tcPr>
            <w:tcW w:w="2116" w:type="dxa"/>
          </w:tcPr>
          <w:p w14:paraId="09BEEDD8" w14:textId="57DA92A9" w:rsidR="00AD5582" w:rsidRDefault="00AD5582" w:rsidP="00DF778C">
            <w:pPr>
              <w:pStyle w:val="Tabledata"/>
            </w:pPr>
            <w:r>
              <w:t>Detainee</w:t>
            </w:r>
          </w:p>
        </w:tc>
        <w:tc>
          <w:tcPr>
            <w:tcW w:w="7052" w:type="dxa"/>
          </w:tcPr>
          <w:p w14:paraId="7CB71CEE" w14:textId="686B9844" w:rsidR="00AD5582" w:rsidRPr="008E4E5B" w:rsidRDefault="000367DC" w:rsidP="00DF778C">
            <w:pPr>
              <w:pStyle w:val="Tabledata"/>
            </w:pPr>
            <w:r w:rsidRPr="000367DC">
              <w:t xml:space="preserve">Means a person who is detained in a detention centre as defined in s3 of the </w:t>
            </w:r>
            <w:r w:rsidRPr="000367DC">
              <w:rPr>
                <w:i/>
              </w:rPr>
              <w:t>Young Offenders Act 1994</w:t>
            </w:r>
            <w:r w:rsidRPr="000367DC">
              <w:t>.</w:t>
            </w:r>
          </w:p>
        </w:tc>
      </w:tr>
      <w:tr w:rsidR="00D941F8" w:rsidRPr="000E6F0A" w14:paraId="7821D892" w14:textId="77777777" w:rsidTr="00BC01CE">
        <w:tc>
          <w:tcPr>
            <w:tcW w:w="2116" w:type="dxa"/>
          </w:tcPr>
          <w:p w14:paraId="7E72C18B" w14:textId="457E4217" w:rsidR="00D941F8" w:rsidRDefault="00D941F8" w:rsidP="00DF778C">
            <w:pPr>
              <w:pStyle w:val="Tabledata"/>
            </w:pPr>
            <w:r>
              <w:t>Gender Diverse</w:t>
            </w:r>
          </w:p>
        </w:tc>
        <w:tc>
          <w:tcPr>
            <w:tcW w:w="7052" w:type="dxa"/>
          </w:tcPr>
          <w:p w14:paraId="1377DB39" w14:textId="63A2B562" w:rsidR="00D941F8" w:rsidRPr="000367DC" w:rsidRDefault="00D941F8" w:rsidP="00DF778C">
            <w:pPr>
              <w:pStyle w:val="Tabledata"/>
            </w:pPr>
            <w:r>
              <w:t>An umbrella term that is used to describe gender identities that demonstrate a diversity of expression beyond the binary framework.</w:t>
            </w:r>
          </w:p>
        </w:tc>
      </w:tr>
      <w:tr w:rsidR="00DD3DDE" w:rsidRPr="000E6F0A" w14:paraId="422ED428" w14:textId="77777777" w:rsidTr="00BC01CE">
        <w:tc>
          <w:tcPr>
            <w:tcW w:w="2116" w:type="dxa"/>
          </w:tcPr>
          <w:p w14:paraId="33789567" w14:textId="77777777" w:rsidR="00DD3DDE" w:rsidRDefault="00DD3DDE" w:rsidP="00DF778C">
            <w:pPr>
              <w:pStyle w:val="Tabledata"/>
            </w:pPr>
            <w:r>
              <w:t>Gender Identity</w:t>
            </w:r>
          </w:p>
        </w:tc>
        <w:tc>
          <w:tcPr>
            <w:tcW w:w="7052" w:type="dxa"/>
          </w:tcPr>
          <w:p w14:paraId="34086C48" w14:textId="77777777" w:rsidR="00DD3DDE" w:rsidRDefault="00DD3DDE" w:rsidP="00DF778C">
            <w:pPr>
              <w:pStyle w:val="Tabledata"/>
            </w:pPr>
            <w:r>
              <w:t>The way a person defines their internal sense of gender.</w:t>
            </w:r>
          </w:p>
        </w:tc>
      </w:tr>
      <w:tr w:rsidR="005362FD" w:rsidRPr="000E6F0A" w14:paraId="4A2A538B" w14:textId="77777777" w:rsidTr="00BC01CE">
        <w:tc>
          <w:tcPr>
            <w:tcW w:w="2116" w:type="dxa"/>
          </w:tcPr>
          <w:p w14:paraId="198DDFBF" w14:textId="77777777" w:rsidR="005362FD" w:rsidRDefault="005362FD" w:rsidP="00DF778C">
            <w:pPr>
              <w:pStyle w:val="Tabledata"/>
            </w:pPr>
            <w:r>
              <w:t>Intersex</w:t>
            </w:r>
          </w:p>
        </w:tc>
        <w:tc>
          <w:tcPr>
            <w:tcW w:w="7052" w:type="dxa"/>
          </w:tcPr>
          <w:p w14:paraId="72CD545C" w14:textId="77777777" w:rsidR="005362FD" w:rsidRDefault="00DD3DDE" w:rsidP="00DF778C">
            <w:pPr>
              <w:pStyle w:val="Tabledata"/>
            </w:pPr>
            <w:r>
              <w:t xml:space="preserve">People who are born with sexual anatomy, reproductive organs and/or chromosomes that are inconsistent with the typical definitions of male and female. </w:t>
            </w:r>
          </w:p>
        </w:tc>
      </w:tr>
      <w:tr w:rsidR="005362FD" w:rsidRPr="000E6F0A" w14:paraId="319F5387" w14:textId="77777777" w:rsidTr="00BC01CE">
        <w:tc>
          <w:tcPr>
            <w:tcW w:w="2116" w:type="dxa"/>
          </w:tcPr>
          <w:p w14:paraId="54D3DABB" w14:textId="1C29B4D7" w:rsidR="00C8038F" w:rsidRDefault="005362FD" w:rsidP="00DF778C">
            <w:pPr>
              <w:pStyle w:val="Tabledata"/>
            </w:pPr>
            <w:r w:rsidRPr="005362FD">
              <w:lastRenderedPageBreak/>
              <w:t xml:space="preserve">Lesbian, Gay, Bisexual, Trans and </w:t>
            </w:r>
            <w:r>
              <w:t>I</w:t>
            </w:r>
            <w:r w:rsidRPr="005362FD">
              <w:t xml:space="preserve">ntersex </w:t>
            </w:r>
            <w:r>
              <w:t>(LGBTI)</w:t>
            </w:r>
          </w:p>
        </w:tc>
        <w:tc>
          <w:tcPr>
            <w:tcW w:w="7052" w:type="dxa"/>
          </w:tcPr>
          <w:p w14:paraId="5E7B0C9A" w14:textId="77777777" w:rsidR="005362FD" w:rsidRDefault="005362FD" w:rsidP="00DF778C">
            <w:pPr>
              <w:pStyle w:val="Tabledata"/>
            </w:pPr>
            <w:r>
              <w:t>Refers collectively to people who are lesbian, gay, bisexual, trans and/or intersex and is used to refer to people who have a diverse gender or sexual orientation, or who are intersex.</w:t>
            </w:r>
          </w:p>
        </w:tc>
      </w:tr>
      <w:tr w:rsidR="00DC783D" w:rsidRPr="000E6F0A" w14:paraId="7E3FADE7" w14:textId="77777777" w:rsidTr="00BC01CE">
        <w:tc>
          <w:tcPr>
            <w:tcW w:w="2116" w:type="dxa"/>
          </w:tcPr>
          <w:p w14:paraId="65738E63" w14:textId="286808BC" w:rsidR="00DC783D" w:rsidRPr="00DC783D" w:rsidRDefault="00DC783D" w:rsidP="00DF778C">
            <w:pPr>
              <w:pStyle w:val="Tabledata"/>
            </w:pPr>
            <w:r w:rsidRPr="00DC783D">
              <w:t>Multi-Disciplinary Team (MDT)</w:t>
            </w:r>
          </w:p>
        </w:tc>
        <w:tc>
          <w:tcPr>
            <w:tcW w:w="7052" w:type="dxa"/>
          </w:tcPr>
          <w:p w14:paraId="61E894F9" w14:textId="77777777" w:rsidR="00DC783D" w:rsidRPr="00DC783D" w:rsidRDefault="00DC783D" w:rsidP="00DC783D">
            <w:pPr>
              <w:pStyle w:val="Tabledata"/>
            </w:pPr>
            <w:r w:rsidRPr="00DC783D">
              <w:t>Multi-Disciplinary Assessment and Planning Team.</w:t>
            </w:r>
          </w:p>
          <w:p w14:paraId="1D2A63B4" w14:textId="32A80EE4" w:rsidR="00DC783D" w:rsidRPr="00DC783D" w:rsidRDefault="00DC783D" w:rsidP="00DC783D">
            <w:pPr>
              <w:pStyle w:val="Tabledata"/>
            </w:pPr>
            <w:r w:rsidRPr="00DC783D">
              <w:t>The MDT brings together expertise to conduct a detainee’s treatment assessment that includes cultural, health, mental health, psychological, education and security. The MDT provides input for a detainee’s induction, orientation and care process and helps develop the detainees’ care and transitional through care plan.</w:t>
            </w:r>
          </w:p>
        </w:tc>
      </w:tr>
      <w:tr w:rsidR="00DE2F7F" w:rsidRPr="000E6F0A" w14:paraId="0BD67CFC" w14:textId="77777777" w:rsidTr="00BC01CE">
        <w:tc>
          <w:tcPr>
            <w:tcW w:w="2116" w:type="dxa"/>
          </w:tcPr>
          <w:p w14:paraId="771ECDDD" w14:textId="7EA20EF0" w:rsidR="00DE2F7F" w:rsidRPr="00DC783D" w:rsidRDefault="00A44E9D" w:rsidP="00DF778C">
            <w:pPr>
              <w:pStyle w:val="Tabledata"/>
            </w:pPr>
            <w:r>
              <w:t>Non-Binary</w:t>
            </w:r>
          </w:p>
        </w:tc>
        <w:tc>
          <w:tcPr>
            <w:tcW w:w="7052" w:type="dxa"/>
          </w:tcPr>
          <w:p w14:paraId="73CC9E01" w14:textId="1FBA666F" w:rsidR="00DE2F7F" w:rsidRPr="00DC783D" w:rsidRDefault="00A44E9D" w:rsidP="00DC783D">
            <w:pPr>
              <w:pStyle w:val="Tabledata"/>
            </w:pPr>
            <w:r w:rsidRPr="00A44E9D">
              <w:t>Any person who does not exclusively identify as either male or female</w:t>
            </w:r>
          </w:p>
        </w:tc>
      </w:tr>
      <w:tr w:rsidR="00805FB0" w:rsidRPr="000E6F0A" w14:paraId="302CABCB" w14:textId="77777777" w:rsidTr="00BC01CE">
        <w:tc>
          <w:tcPr>
            <w:tcW w:w="2116" w:type="dxa"/>
          </w:tcPr>
          <w:p w14:paraId="0C048F27" w14:textId="5B54E17B" w:rsidR="00805FB0" w:rsidRPr="005362FD" w:rsidRDefault="00805FB0" w:rsidP="00DF778C">
            <w:pPr>
              <w:pStyle w:val="Tabledata"/>
            </w:pPr>
            <w:r w:rsidRPr="00805FB0">
              <w:t>Officers and Employees of Particular Classes</w:t>
            </w:r>
          </w:p>
        </w:tc>
        <w:tc>
          <w:tcPr>
            <w:tcW w:w="7052" w:type="dxa"/>
          </w:tcPr>
          <w:p w14:paraId="236A86C0" w14:textId="77777777" w:rsidR="00805FB0" w:rsidRPr="00805FB0" w:rsidRDefault="00805FB0" w:rsidP="00805FB0">
            <w:pPr>
              <w:pStyle w:val="Tabledata"/>
            </w:pPr>
            <w:r w:rsidRPr="00805FB0">
              <w:t xml:space="preserve">The following descriptions of classes of officers and employees are prescribed for the purpose of s 11(1a)(b) of the </w:t>
            </w:r>
            <w:r w:rsidRPr="00805FB0">
              <w:rPr>
                <w:i/>
              </w:rPr>
              <w:t>Young Offenders Act 1994</w:t>
            </w:r>
            <w:r w:rsidRPr="00805FB0">
              <w:t xml:space="preserve">, in r 49(2) of the </w:t>
            </w:r>
            <w:r w:rsidRPr="00805FB0">
              <w:rPr>
                <w:i/>
              </w:rPr>
              <w:t>Young Offender Regulations 1995</w:t>
            </w:r>
            <w:r w:rsidRPr="00805FB0">
              <w:t>:</w:t>
            </w:r>
          </w:p>
          <w:p w14:paraId="48C02A26" w14:textId="77777777" w:rsidR="00805FB0" w:rsidRPr="00805FB0" w:rsidRDefault="00805FB0" w:rsidP="00805FB0">
            <w:pPr>
              <w:pStyle w:val="Tabledata"/>
            </w:pPr>
            <w:r w:rsidRPr="00805FB0">
              <w:t>(a) Medical staff persons who have undergone medical, nursing or health training and hold qualifications indicating successful completion of that training.</w:t>
            </w:r>
          </w:p>
          <w:p w14:paraId="50BE76F2" w14:textId="77777777" w:rsidR="00805FB0" w:rsidRPr="00805FB0" w:rsidRDefault="00805FB0" w:rsidP="00805FB0">
            <w:pPr>
              <w:pStyle w:val="Tabledata"/>
            </w:pPr>
            <w:r w:rsidRPr="00805FB0">
              <w:t>(b) Teaching staff persons who provide recreation or sports supervision, teachers, vocational trainers and social trainers.</w:t>
            </w:r>
          </w:p>
          <w:p w14:paraId="35E6026C" w14:textId="6007FC75" w:rsidR="00805FB0" w:rsidRPr="00805FB0" w:rsidRDefault="006B6EEE" w:rsidP="00805FB0">
            <w:pPr>
              <w:pStyle w:val="Tabledata"/>
            </w:pPr>
            <w:r>
              <w:t>©</w:t>
            </w:r>
            <w:r w:rsidR="00805FB0" w:rsidRPr="00805FB0">
              <w:t xml:space="preserve"> Program support staff counsellors, program facilitators and librarians.</w:t>
            </w:r>
          </w:p>
          <w:p w14:paraId="25F48204" w14:textId="53F7C146" w:rsidR="00805FB0" w:rsidRDefault="00805FB0" w:rsidP="00805FB0">
            <w:pPr>
              <w:pStyle w:val="Tabledata"/>
            </w:pPr>
            <w:r w:rsidRPr="00805FB0">
              <w:t>(d) Centre support staff cleaning staff, laundry staff, gardening staff, vehicle driving staff, maintenance staff and hairdressers.</w:t>
            </w:r>
          </w:p>
        </w:tc>
      </w:tr>
      <w:tr w:rsidR="000C74F2" w:rsidRPr="000E6F0A" w14:paraId="7DE49C74" w14:textId="77777777" w:rsidTr="00BC01CE">
        <w:tc>
          <w:tcPr>
            <w:tcW w:w="2116" w:type="dxa"/>
          </w:tcPr>
          <w:p w14:paraId="28C0649D" w14:textId="5210B21D" w:rsidR="000C74F2" w:rsidRPr="00805FB0" w:rsidRDefault="000C74F2" w:rsidP="00DF778C">
            <w:pPr>
              <w:pStyle w:val="Tabledata"/>
            </w:pPr>
            <w:r>
              <w:t>Personal Support Plan (PSP)</w:t>
            </w:r>
          </w:p>
        </w:tc>
        <w:tc>
          <w:tcPr>
            <w:tcW w:w="7052" w:type="dxa"/>
          </w:tcPr>
          <w:p w14:paraId="77E095ED" w14:textId="736A7CC1" w:rsidR="000C74F2" w:rsidRPr="00805FB0" w:rsidRDefault="005C1BB3" w:rsidP="005C1BB3">
            <w:pPr>
              <w:pStyle w:val="Tabledata"/>
            </w:pPr>
            <w:r>
              <w:t>Detainee management plan that takes into account any risk issues that may affect the detainee whilst at BH</w:t>
            </w:r>
            <w:r w:rsidR="0030439C">
              <w:t>Y</w:t>
            </w:r>
            <w:r>
              <w:t>DC (</w:t>
            </w:r>
            <w:r w:rsidRPr="003C62D9">
              <w:t>Note: This definition will change once BH</w:t>
            </w:r>
            <w:r w:rsidR="0030439C">
              <w:t>Y</w:t>
            </w:r>
            <w:r w:rsidRPr="003C62D9">
              <w:t>DC AT Risk review is finalised)</w:t>
            </w:r>
          </w:p>
        </w:tc>
      </w:tr>
      <w:tr w:rsidR="00805FB0" w:rsidRPr="000E6F0A" w14:paraId="7BE6C401" w14:textId="77777777" w:rsidTr="00BC01CE">
        <w:tc>
          <w:tcPr>
            <w:tcW w:w="2116" w:type="dxa"/>
          </w:tcPr>
          <w:p w14:paraId="2071818C" w14:textId="1AD0244C" w:rsidR="00805FB0" w:rsidRPr="00805FB0" w:rsidRDefault="00805FB0" w:rsidP="00DF778C">
            <w:pPr>
              <w:pStyle w:val="Tabledata"/>
            </w:pPr>
            <w:r w:rsidRPr="00805FB0">
              <w:t>Public Service Officer</w:t>
            </w:r>
          </w:p>
        </w:tc>
        <w:tc>
          <w:tcPr>
            <w:tcW w:w="7052" w:type="dxa"/>
          </w:tcPr>
          <w:p w14:paraId="3D83948D" w14:textId="2FE1AC4B" w:rsidR="00805FB0" w:rsidRPr="00805FB0" w:rsidRDefault="00805FB0" w:rsidP="00805FB0">
            <w:pPr>
              <w:pStyle w:val="Tabledata"/>
            </w:pPr>
            <w:r w:rsidRPr="00805FB0">
              <w:t xml:space="preserve">An officer employed in the State Government Public Service, subject to Part 3 of the </w:t>
            </w:r>
            <w:r w:rsidRPr="00805FB0">
              <w:rPr>
                <w:i/>
              </w:rPr>
              <w:t>Public Sector Management Act 1994</w:t>
            </w:r>
            <w:r w:rsidRPr="00805FB0">
              <w:t xml:space="preserve"> and includes such officers and other persons as are necessary to implement or administer this Act.</w:t>
            </w:r>
          </w:p>
        </w:tc>
      </w:tr>
      <w:tr w:rsidR="00CB151F" w:rsidRPr="000E6F0A" w14:paraId="45A2D1B0" w14:textId="77777777" w:rsidTr="00BC01CE">
        <w:tc>
          <w:tcPr>
            <w:tcW w:w="2116" w:type="dxa"/>
          </w:tcPr>
          <w:p w14:paraId="14D5538D" w14:textId="2BF58BE6" w:rsidR="00CB151F" w:rsidRPr="00805FB0" w:rsidRDefault="00CB151F" w:rsidP="00025186">
            <w:pPr>
              <w:pStyle w:val="Tabledata"/>
            </w:pPr>
            <w:r w:rsidRPr="00CB151F">
              <w:t xml:space="preserve">Senior Officer </w:t>
            </w:r>
          </w:p>
        </w:tc>
        <w:tc>
          <w:tcPr>
            <w:tcW w:w="7052" w:type="dxa"/>
          </w:tcPr>
          <w:p w14:paraId="56F30F67" w14:textId="7CED3BB6" w:rsidR="00CB151F" w:rsidRPr="00805FB0" w:rsidRDefault="00CB151F" w:rsidP="00025186">
            <w:pPr>
              <w:pStyle w:val="Tabledata"/>
            </w:pPr>
            <w:r w:rsidRPr="00CB151F">
              <w:t xml:space="preserve">A Custodial Officer who is substantive to this rank, or a Unit Manager, or Custodial Officer acting in the capacity of Senior Officer, appointed by the Chief Executive Officer with reference to s11 of the </w:t>
            </w:r>
            <w:r w:rsidRPr="00CB151F">
              <w:rPr>
                <w:i/>
              </w:rPr>
              <w:t>Young Offenders Act 1994</w:t>
            </w:r>
          </w:p>
        </w:tc>
      </w:tr>
      <w:tr w:rsidR="00CB151F" w:rsidRPr="000E6F0A" w14:paraId="7F31F664" w14:textId="77777777" w:rsidTr="00BC01CE">
        <w:tc>
          <w:tcPr>
            <w:tcW w:w="2116" w:type="dxa"/>
          </w:tcPr>
          <w:p w14:paraId="2EE06430" w14:textId="6E64D237" w:rsidR="00CB151F" w:rsidRPr="00CB151F" w:rsidRDefault="00CB151F" w:rsidP="00DF778C">
            <w:pPr>
              <w:pStyle w:val="Tabledata"/>
            </w:pPr>
            <w:r w:rsidRPr="00CB151F">
              <w:t>Staff</w:t>
            </w:r>
          </w:p>
        </w:tc>
        <w:tc>
          <w:tcPr>
            <w:tcW w:w="7052" w:type="dxa"/>
          </w:tcPr>
          <w:p w14:paraId="71706079" w14:textId="769187D9" w:rsidR="00CB151F" w:rsidRPr="00CB151F" w:rsidRDefault="00CB151F" w:rsidP="00CB151F">
            <w:pPr>
              <w:pStyle w:val="Tabledata"/>
            </w:pPr>
            <w:r w:rsidRPr="00CB151F">
              <w:t xml:space="preserve">Any </w:t>
            </w:r>
            <w:r w:rsidR="00093028">
              <w:t xml:space="preserve">person or officer </w:t>
            </w:r>
            <w:r w:rsidRPr="00CB151F">
              <w:t>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CB151F" w:rsidRPr="000E6F0A" w14:paraId="0D6D6DBF" w14:textId="77777777" w:rsidTr="00BC01CE">
        <w:tc>
          <w:tcPr>
            <w:tcW w:w="2116" w:type="dxa"/>
          </w:tcPr>
          <w:p w14:paraId="780C9E64" w14:textId="6276C6F1" w:rsidR="00CB151F" w:rsidRPr="00CB151F" w:rsidRDefault="00CB151F" w:rsidP="00DF778C">
            <w:pPr>
              <w:pStyle w:val="Tabledata"/>
            </w:pPr>
            <w:r w:rsidRPr="00CB151F">
              <w:t>Superintendent</w:t>
            </w:r>
          </w:p>
        </w:tc>
        <w:tc>
          <w:tcPr>
            <w:tcW w:w="7052" w:type="dxa"/>
          </w:tcPr>
          <w:p w14:paraId="17254FA7" w14:textId="672A4772" w:rsidR="00CB151F" w:rsidRPr="00CB151F" w:rsidRDefault="00CB151F" w:rsidP="00CB151F">
            <w:pPr>
              <w:pStyle w:val="Tabledata"/>
            </w:pPr>
            <w:r w:rsidRPr="00CB151F">
              <w:t xml:space="preserve">In accordance with section 3 of the </w:t>
            </w:r>
            <w:r w:rsidRPr="00CB151F">
              <w:rPr>
                <w:i/>
              </w:rPr>
              <w:t>Young Offenders Act 1994, ‘</w:t>
            </w:r>
            <w:r w:rsidRPr="00CB151F">
              <w:t>The person in charge of a detention centre’</w:t>
            </w:r>
          </w:p>
        </w:tc>
      </w:tr>
      <w:tr w:rsidR="003D708E" w14:paraId="295A6EE3" w14:textId="77777777" w:rsidTr="00BC01CE">
        <w:tc>
          <w:tcPr>
            <w:tcW w:w="2116" w:type="dxa"/>
          </w:tcPr>
          <w:p w14:paraId="485424E1" w14:textId="77777777" w:rsidR="003D708E" w:rsidRPr="002E5664" w:rsidRDefault="002E5664" w:rsidP="00DF778C">
            <w:pPr>
              <w:pStyle w:val="Tabledata"/>
            </w:pPr>
            <w:r w:rsidRPr="002E5664">
              <w:t>Trans</w:t>
            </w:r>
          </w:p>
        </w:tc>
        <w:tc>
          <w:tcPr>
            <w:tcW w:w="7052" w:type="dxa"/>
          </w:tcPr>
          <w:p w14:paraId="5F17A67A" w14:textId="77777777" w:rsidR="003D708E" w:rsidRPr="00344FBE" w:rsidRDefault="002E5664" w:rsidP="00DF778C">
            <w:pPr>
              <w:pStyle w:val="Tabledata"/>
            </w:pPr>
            <w:r>
              <w:t>Umbrella term used to describe all people whose gender identity is different to the sex they were assigned at birth.</w:t>
            </w:r>
          </w:p>
        </w:tc>
      </w:tr>
      <w:tr w:rsidR="00A61255" w14:paraId="417DE2DF" w14:textId="77777777" w:rsidTr="00BC01CE">
        <w:tc>
          <w:tcPr>
            <w:tcW w:w="2116" w:type="dxa"/>
          </w:tcPr>
          <w:p w14:paraId="2F9A7DBC" w14:textId="48C48893" w:rsidR="00A61255" w:rsidRPr="002E5664" w:rsidRDefault="00A61255" w:rsidP="00DF778C">
            <w:pPr>
              <w:pStyle w:val="Tabledata"/>
            </w:pPr>
            <w:r>
              <w:lastRenderedPageBreak/>
              <w:t>Youth Detention Centre</w:t>
            </w:r>
          </w:p>
        </w:tc>
        <w:tc>
          <w:tcPr>
            <w:tcW w:w="7052" w:type="dxa"/>
          </w:tcPr>
          <w:p w14:paraId="54D66F6F" w14:textId="49E3B868" w:rsidR="00A61255" w:rsidRDefault="006D68A8" w:rsidP="00DF778C">
            <w:pPr>
              <w:pStyle w:val="Tabledata"/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</w:tc>
      </w:tr>
    </w:tbl>
    <w:p w14:paraId="473C11E6" w14:textId="77777777" w:rsidR="003D708E" w:rsidRDefault="003D708E" w:rsidP="003D708E">
      <w:pPr>
        <w:pStyle w:val="Heading2"/>
      </w:pPr>
      <w:bookmarkStart w:id="32" w:name="_Toc199427698"/>
      <w:r>
        <w:t>Related legislation</w:t>
      </w:r>
      <w:bookmarkEnd w:id="32"/>
      <w:r>
        <w:t xml:space="preserve"> </w:t>
      </w:r>
    </w:p>
    <w:p w14:paraId="4E3EF4F9" w14:textId="64406A44" w:rsidR="00F775FC" w:rsidRPr="00D941F8" w:rsidRDefault="00F775FC" w:rsidP="002F68EE">
      <w:pPr>
        <w:pStyle w:val="ListParagraph"/>
        <w:numPr>
          <w:ilvl w:val="0"/>
          <w:numId w:val="21"/>
        </w:numPr>
        <w:spacing w:before="120" w:after="120"/>
        <w:ind w:left="714" w:hanging="357"/>
        <w:contextualSpacing w:val="0"/>
        <w:rPr>
          <w:i/>
        </w:rPr>
      </w:pPr>
      <w:r w:rsidRPr="00D941F8">
        <w:rPr>
          <w:i/>
        </w:rPr>
        <w:t>Commonwealth Sex Discrimination Act 1984</w:t>
      </w:r>
    </w:p>
    <w:p w14:paraId="181AFEDD" w14:textId="667223D6" w:rsidR="00D941F8" w:rsidRDefault="00D941F8" w:rsidP="002F68EE">
      <w:pPr>
        <w:pStyle w:val="ListParagraph"/>
        <w:numPr>
          <w:ilvl w:val="0"/>
          <w:numId w:val="21"/>
        </w:numPr>
        <w:spacing w:before="120" w:after="120"/>
        <w:ind w:left="714" w:hanging="357"/>
        <w:contextualSpacing w:val="0"/>
        <w:rPr>
          <w:i/>
          <w:lang w:val="en-US"/>
        </w:rPr>
      </w:pPr>
      <w:r>
        <w:rPr>
          <w:i/>
          <w:lang w:val="en-US"/>
        </w:rPr>
        <w:t>Young Offenders Act 1994</w:t>
      </w:r>
    </w:p>
    <w:p w14:paraId="24779D8A" w14:textId="1BE374E0" w:rsidR="002F68EE" w:rsidRPr="00D33552" w:rsidRDefault="002F68EE" w:rsidP="002F68EE">
      <w:pPr>
        <w:pStyle w:val="ListParagraph"/>
        <w:numPr>
          <w:ilvl w:val="0"/>
          <w:numId w:val="21"/>
        </w:numPr>
        <w:spacing w:before="120" w:after="120"/>
        <w:ind w:left="714" w:hanging="357"/>
        <w:contextualSpacing w:val="0"/>
        <w:rPr>
          <w:i/>
          <w:iCs/>
          <w:lang w:val="en-US"/>
        </w:rPr>
      </w:pPr>
      <w:r w:rsidRPr="00D33552">
        <w:rPr>
          <w:i/>
          <w:iCs/>
          <w:lang w:val="en-US"/>
        </w:rPr>
        <w:t>Young Offenders Regulations 1995</w:t>
      </w:r>
    </w:p>
    <w:p w14:paraId="106B5134" w14:textId="44E3DBA4" w:rsidR="009A78A5" w:rsidRPr="00FF3CE6" w:rsidRDefault="00A87904" w:rsidP="009A78A5">
      <w:pPr>
        <w:pStyle w:val="ListParagraph"/>
        <w:numPr>
          <w:ilvl w:val="0"/>
          <w:numId w:val="21"/>
        </w:numPr>
        <w:spacing w:before="120" w:after="120"/>
        <w:ind w:left="714" w:hanging="357"/>
        <w:contextualSpacing w:val="0"/>
        <w:rPr>
          <w:i/>
          <w:lang w:val="en-US"/>
        </w:rPr>
      </w:pPr>
      <w:r w:rsidRPr="00D941F8">
        <w:rPr>
          <w:i/>
          <w:lang w:val="en-US"/>
        </w:rPr>
        <w:t>Western Australia (WA) Equal Opportunity Act 1984</w:t>
      </w:r>
      <w:bookmarkStart w:id="33" w:name="_Toc178286"/>
    </w:p>
    <w:p w14:paraId="3B570B19" w14:textId="0F49771D" w:rsidR="00F55187" w:rsidRPr="009A78A5" w:rsidRDefault="002E5756" w:rsidP="009A78A5">
      <w:pPr>
        <w:pStyle w:val="Heading2"/>
        <w:rPr>
          <w:lang w:val="en-US"/>
        </w:rPr>
      </w:pPr>
      <w:bookmarkStart w:id="34" w:name="_Toc199427699"/>
      <w:r w:rsidRPr="009A78A5">
        <w:t>Assurance</w:t>
      </w:r>
      <w:bookmarkEnd w:id="33"/>
      <w:bookmarkEnd w:id="34"/>
    </w:p>
    <w:p w14:paraId="29A10E38" w14:textId="65799CCE" w:rsidR="00F55187" w:rsidRPr="00606FAA" w:rsidRDefault="00F55187" w:rsidP="00F55187">
      <w:pPr>
        <w:spacing w:after="120"/>
      </w:pPr>
      <w:r w:rsidRPr="00606FAA">
        <w:t>It is expected that:</w:t>
      </w:r>
    </w:p>
    <w:p w14:paraId="22AB4640" w14:textId="1DDB5A18" w:rsidR="00F55187" w:rsidRPr="00606FAA" w:rsidRDefault="007A7799" w:rsidP="00F55187">
      <w:pPr>
        <w:numPr>
          <w:ilvl w:val="0"/>
          <w:numId w:val="25"/>
        </w:numPr>
        <w:spacing w:before="60" w:after="60"/>
      </w:pPr>
      <w:r>
        <w:t xml:space="preserve">The </w:t>
      </w:r>
      <w:r w:rsidR="00A61255">
        <w:t xml:space="preserve">YDC </w:t>
      </w:r>
      <w:r w:rsidR="00F55187" w:rsidRPr="00606FAA">
        <w:t xml:space="preserve">will undertake local compliance in accordance with the </w:t>
      </w:r>
      <w:hyperlink r:id="rId31" w:history="1">
        <w:r w:rsidR="00F55187" w:rsidRPr="00D807D5">
          <w:rPr>
            <w:rStyle w:val="Hyperlink"/>
          </w:rPr>
          <w:t>Compliance Manual</w:t>
        </w:r>
      </w:hyperlink>
      <w:r w:rsidR="00F55187" w:rsidRPr="00606FAA">
        <w:t>.</w:t>
      </w:r>
    </w:p>
    <w:p w14:paraId="1FB2B8CE" w14:textId="77777777" w:rsidR="00F55187" w:rsidRPr="00606FAA" w:rsidRDefault="00F55187" w:rsidP="00F55187">
      <w:pPr>
        <w:numPr>
          <w:ilvl w:val="0"/>
          <w:numId w:val="25"/>
        </w:numPr>
        <w:spacing w:before="60" w:after="60"/>
      </w:pPr>
      <w:r w:rsidRPr="00606FAA">
        <w:t xml:space="preserve">Women and Young People, Head Office will undertake management oversight as required. </w:t>
      </w:r>
    </w:p>
    <w:p w14:paraId="2668691D" w14:textId="4D29E160" w:rsidR="00F55187" w:rsidRPr="00606FAA" w:rsidRDefault="00F55187" w:rsidP="00F55187">
      <w:pPr>
        <w:numPr>
          <w:ilvl w:val="0"/>
          <w:numId w:val="25"/>
        </w:numPr>
        <w:spacing w:before="60" w:after="60"/>
      </w:pPr>
      <w:r w:rsidRPr="00606FAA">
        <w:rPr>
          <w:rFonts w:eastAsia="Calibri"/>
        </w:rPr>
        <w:t>Operational Compliance</w:t>
      </w:r>
      <w:r w:rsidRPr="00606FAA">
        <w:t xml:space="preserve"> will undertake checks in accordance with the </w:t>
      </w:r>
      <w:hyperlink r:id="rId32" w:history="1">
        <w:r w:rsidR="00AA76AC">
          <w:rPr>
            <w:rStyle w:val="Hyperlink"/>
          </w:rPr>
          <w:t>Operational</w:t>
        </w:r>
        <w:r w:rsidRPr="00D807D5">
          <w:rPr>
            <w:rStyle w:val="Hyperlink"/>
          </w:rPr>
          <w:t xml:space="preserve"> Compliance Framework</w:t>
        </w:r>
      </w:hyperlink>
      <w:r w:rsidRPr="00606FAA">
        <w:t xml:space="preserve">. </w:t>
      </w:r>
    </w:p>
    <w:p w14:paraId="76153320" w14:textId="329A2BF8" w:rsidR="00245869" w:rsidRPr="00EA7EAC" w:rsidRDefault="00F55187" w:rsidP="00381F1E">
      <w:pPr>
        <w:numPr>
          <w:ilvl w:val="0"/>
          <w:numId w:val="25"/>
        </w:numPr>
        <w:spacing w:before="60" w:after="60"/>
      </w:pPr>
      <w:r w:rsidRPr="00606FAA">
        <w:t xml:space="preserve">Independent oversight will be undertaken as required. </w:t>
      </w:r>
    </w:p>
    <w:p w14:paraId="799B94E1" w14:textId="4EF8D724" w:rsidR="00245869" w:rsidRDefault="00245869" w:rsidP="009D408C">
      <w:pPr>
        <w:pStyle w:val="Heading1"/>
        <w:spacing w:before="360"/>
        <w:ind w:left="431" w:hanging="431"/>
      </w:pPr>
      <w:bookmarkStart w:id="35" w:name="_Toc199427700"/>
      <w:r>
        <w:t xml:space="preserve">Document </w:t>
      </w:r>
      <w:r w:rsidR="009A78A5">
        <w:t>V</w:t>
      </w:r>
      <w:r>
        <w:t xml:space="preserve">ersion </w:t>
      </w:r>
      <w:r w:rsidR="009A78A5">
        <w:t>H</w:t>
      </w:r>
      <w:r>
        <w:t>istory</w:t>
      </w:r>
      <w:bookmarkEnd w:id="35"/>
    </w:p>
    <w:tbl>
      <w:tblPr>
        <w:tblStyle w:val="DCStable"/>
        <w:tblW w:w="927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1779"/>
        <w:gridCol w:w="3181"/>
        <w:gridCol w:w="1638"/>
        <w:gridCol w:w="1629"/>
      </w:tblGrid>
      <w:tr w:rsidR="004B06D2" w:rsidRPr="007D3C6F" w14:paraId="1D5457C1" w14:textId="2CA47CA7" w:rsidTr="009D4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tcW w:w="1051" w:type="dxa"/>
          </w:tcPr>
          <w:p w14:paraId="2E8D94FD" w14:textId="77777777" w:rsidR="004B06D2" w:rsidRPr="007D3C6F" w:rsidRDefault="004B06D2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779" w:type="dxa"/>
          </w:tcPr>
          <w:p w14:paraId="08997219" w14:textId="77777777" w:rsidR="004B06D2" w:rsidRPr="007D3C6F" w:rsidRDefault="004B06D2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181" w:type="dxa"/>
          </w:tcPr>
          <w:p w14:paraId="01BAE7CD" w14:textId="77777777" w:rsidR="004B06D2" w:rsidRPr="007D3C6F" w:rsidRDefault="004B06D2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38" w:type="dxa"/>
          </w:tcPr>
          <w:p w14:paraId="7A5B5838" w14:textId="77777777" w:rsidR="004B06D2" w:rsidRPr="007D3C6F" w:rsidRDefault="004B06D2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29" w:type="dxa"/>
          </w:tcPr>
          <w:p w14:paraId="3D4EEFBB" w14:textId="621EE9B3" w:rsidR="004B06D2" w:rsidRPr="007D3C6F" w:rsidRDefault="004B06D2" w:rsidP="00DF778C">
            <w:pPr>
              <w:pStyle w:val="Tableheading"/>
            </w:pPr>
            <w:r>
              <w:t>Effective date</w:t>
            </w:r>
          </w:p>
        </w:tc>
      </w:tr>
      <w:tr w:rsidR="004B06D2" w:rsidRPr="007D3C6F" w14:paraId="036FB430" w14:textId="0DBEEA1B" w:rsidTr="009D408C">
        <w:trPr>
          <w:trHeight w:val="826"/>
        </w:trPr>
        <w:tc>
          <w:tcPr>
            <w:tcW w:w="1051" w:type="dxa"/>
          </w:tcPr>
          <w:p w14:paraId="6CBF3C6E" w14:textId="745BE3BB" w:rsidR="004B06D2" w:rsidRDefault="004B06D2" w:rsidP="00DF778C">
            <w:pPr>
              <w:pStyle w:val="Tabledata"/>
            </w:pPr>
            <w:r>
              <w:t>1.0</w:t>
            </w:r>
          </w:p>
        </w:tc>
        <w:tc>
          <w:tcPr>
            <w:tcW w:w="1779" w:type="dxa"/>
          </w:tcPr>
          <w:p w14:paraId="7F7E3AE6" w14:textId="6F4A42AD" w:rsidR="004B06D2" w:rsidRDefault="004B06D2" w:rsidP="00DF778C">
            <w:pPr>
              <w:pStyle w:val="Tabledata"/>
            </w:pPr>
            <w:r w:rsidRPr="00DA3969">
              <w:t>Operational Policy</w:t>
            </w:r>
          </w:p>
        </w:tc>
        <w:tc>
          <w:tcPr>
            <w:tcW w:w="3181" w:type="dxa"/>
          </w:tcPr>
          <w:p w14:paraId="28A67BF9" w14:textId="5F7B2FFE" w:rsidR="004B06D2" w:rsidRDefault="004B06D2" w:rsidP="00474AA9">
            <w:pPr>
              <w:pStyle w:val="Tabledata"/>
            </w:pPr>
            <w:r>
              <w:t>Approved by the Commissioner and Project Steering Committee</w:t>
            </w:r>
          </w:p>
        </w:tc>
        <w:tc>
          <w:tcPr>
            <w:tcW w:w="1638" w:type="dxa"/>
          </w:tcPr>
          <w:p w14:paraId="15EEC106" w14:textId="01C3563F" w:rsidR="004B06D2" w:rsidRDefault="004B06D2" w:rsidP="00DF778C">
            <w:pPr>
              <w:pStyle w:val="Tabledata"/>
            </w:pPr>
            <w:r>
              <w:t>28 October 2020</w:t>
            </w:r>
          </w:p>
        </w:tc>
        <w:tc>
          <w:tcPr>
            <w:tcW w:w="1629" w:type="dxa"/>
          </w:tcPr>
          <w:p w14:paraId="7027C301" w14:textId="2BCB009D" w:rsidR="004B06D2" w:rsidRDefault="004B06D2" w:rsidP="00DF778C">
            <w:pPr>
              <w:pStyle w:val="Tabledata"/>
            </w:pPr>
            <w:r>
              <w:t>23 November 2020</w:t>
            </w:r>
          </w:p>
        </w:tc>
      </w:tr>
      <w:tr w:rsidR="00FF3CE6" w:rsidRPr="007D3C6F" w14:paraId="7D91B0B9" w14:textId="77777777" w:rsidTr="009D408C">
        <w:trPr>
          <w:trHeight w:val="826"/>
        </w:trPr>
        <w:tc>
          <w:tcPr>
            <w:tcW w:w="1051" w:type="dxa"/>
          </w:tcPr>
          <w:p w14:paraId="0F872ECA" w14:textId="39D53401" w:rsidR="00FF3CE6" w:rsidRDefault="00FF3CE6" w:rsidP="00DF778C">
            <w:pPr>
              <w:pStyle w:val="Tabledata"/>
            </w:pPr>
            <w:r>
              <w:t>2.0</w:t>
            </w:r>
          </w:p>
        </w:tc>
        <w:tc>
          <w:tcPr>
            <w:tcW w:w="1779" w:type="dxa"/>
          </w:tcPr>
          <w:p w14:paraId="501AAE55" w14:textId="65E4D8F2" w:rsidR="00FF3CE6" w:rsidRPr="00DA3969" w:rsidRDefault="00FF3CE6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181" w:type="dxa"/>
          </w:tcPr>
          <w:p w14:paraId="2A9EE080" w14:textId="4CC26C63" w:rsidR="00FF3CE6" w:rsidRDefault="00FF3CE6" w:rsidP="00474AA9">
            <w:pPr>
              <w:pStyle w:val="Tabledata"/>
            </w:pPr>
            <w:r>
              <w:t>Approved by the A/Director, Operational Projects, Policy, Compliance and Contracts</w:t>
            </w:r>
          </w:p>
        </w:tc>
        <w:tc>
          <w:tcPr>
            <w:tcW w:w="1638" w:type="dxa"/>
          </w:tcPr>
          <w:p w14:paraId="2C175E60" w14:textId="03A175EB" w:rsidR="00FF3CE6" w:rsidRDefault="00ED0A2C" w:rsidP="00DF778C">
            <w:pPr>
              <w:pStyle w:val="Tabledata"/>
            </w:pPr>
            <w:r>
              <w:t>1 April 2022</w:t>
            </w:r>
          </w:p>
        </w:tc>
        <w:tc>
          <w:tcPr>
            <w:tcW w:w="1629" w:type="dxa"/>
          </w:tcPr>
          <w:p w14:paraId="178C547B" w14:textId="61AC12A0" w:rsidR="00FF3CE6" w:rsidRDefault="00ED0A2C" w:rsidP="00DF778C">
            <w:pPr>
              <w:pStyle w:val="Tabledata"/>
            </w:pPr>
            <w:r>
              <w:t>1 April 2022</w:t>
            </w:r>
          </w:p>
        </w:tc>
      </w:tr>
      <w:tr w:rsidR="00DC79CC" w:rsidRPr="007D3C6F" w14:paraId="466A1541" w14:textId="77777777" w:rsidTr="00DC79CC">
        <w:trPr>
          <w:trHeight w:val="1185"/>
        </w:trPr>
        <w:tc>
          <w:tcPr>
            <w:tcW w:w="1051" w:type="dxa"/>
          </w:tcPr>
          <w:p w14:paraId="5A2A518C" w14:textId="64C00B22" w:rsidR="00DC79CC" w:rsidRDefault="00DC79CC" w:rsidP="00DF778C">
            <w:pPr>
              <w:pStyle w:val="Tabledata"/>
            </w:pPr>
            <w:r>
              <w:t>3.0</w:t>
            </w:r>
          </w:p>
        </w:tc>
        <w:tc>
          <w:tcPr>
            <w:tcW w:w="1779" w:type="dxa"/>
          </w:tcPr>
          <w:p w14:paraId="24876045" w14:textId="16A6A188" w:rsidR="00DC79CC" w:rsidRDefault="00DC79CC" w:rsidP="00DC79CC">
            <w:pPr>
              <w:pStyle w:val="Tabledata"/>
            </w:pPr>
            <w:r>
              <w:t>Operational Policy</w:t>
            </w:r>
          </w:p>
        </w:tc>
        <w:tc>
          <w:tcPr>
            <w:tcW w:w="3181" w:type="dxa"/>
          </w:tcPr>
          <w:p w14:paraId="32260F3D" w14:textId="77777777" w:rsidR="00DC79CC" w:rsidRDefault="00DC79CC" w:rsidP="00474AA9">
            <w:pPr>
              <w:pStyle w:val="Tabledata"/>
            </w:pPr>
            <w:r>
              <w:t>Approved by the Deputy Commissioner</w:t>
            </w:r>
          </w:p>
          <w:p w14:paraId="79235D84" w14:textId="77777777" w:rsidR="00DC79CC" w:rsidRDefault="00DC79CC" w:rsidP="00474AA9">
            <w:pPr>
              <w:pStyle w:val="Tabledata"/>
            </w:pPr>
            <w:r>
              <w:t xml:space="preserve">Operational Policy </w:t>
            </w:r>
          </w:p>
          <w:p w14:paraId="78850CEE" w14:textId="5CC7804C" w:rsidR="00DC79CC" w:rsidRDefault="00DC79CC" w:rsidP="00474AA9">
            <w:pPr>
              <w:pStyle w:val="Tabledata"/>
            </w:pPr>
            <w:r>
              <w:t xml:space="preserve">CM Ref: </w:t>
            </w:r>
            <w:r w:rsidRPr="00DC79CC">
              <w:t>S23/99515</w:t>
            </w:r>
          </w:p>
        </w:tc>
        <w:tc>
          <w:tcPr>
            <w:tcW w:w="1638" w:type="dxa"/>
          </w:tcPr>
          <w:p w14:paraId="234E0CCF" w14:textId="1DF44BA4" w:rsidR="00DC79CC" w:rsidRDefault="00DC79CC" w:rsidP="00DF778C">
            <w:pPr>
              <w:pStyle w:val="Tabledata"/>
            </w:pPr>
            <w:r>
              <w:t>15 November 2023</w:t>
            </w:r>
          </w:p>
        </w:tc>
        <w:tc>
          <w:tcPr>
            <w:tcW w:w="1629" w:type="dxa"/>
          </w:tcPr>
          <w:p w14:paraId="044E2EE7" w14:textId="006008BC" w:rsidR="00DC79CC" w:rsidRDefault="00DC79CC" w:rsidP="00DF778C">
            <w:pPr>
              <w:pStyle w:val="Tabledata"/>
            </w:pPr>
            <w:r>
              <w:t>18 December 2023</w:t>
            </w:r>
          </w:p>
        </w:tc>
      </w:tr>
      <w:tr w:rsidR="008A6F06" w:rsidRPr="007D3C6F" w14:paraId="1AFF0CEA" w14:textId="77777777" w:rsidTr="009D408C">
        <w:trPr>
          <w:trHeight w:val="826"/>
        </w:trPr>
        <w:tc>
          <w:tcPr>
            <w:tcW w:w="1051" w:type="dxa"/>
          </w:tcPr>
          <w:p w14:paraId="38FD7A3B" w14:textId="6B9C7B49" w:rsidR="008A6F06" w:rsidRDefault="008A6F06" w:rsidP="00DF778C">
            <w:pPr>
              <w:pStyle w:val="Tabledata"/>
            </w:pPr>
            <w:r>
              <w:t>4.0</w:t>
            </w:r>
          </w:p>
        </w:tc>
        <w:tc>
          <w:tcPr>
            <w:tcW w:w="1779" w:type="dxa"/>
          </w:tcPr>
          <w:p w14:paraId="6F470BD0" w14:textId="096D5C25" w:rsidR="008A6F06" w:rsidRDefault="008A6F06" w:rsidP="00DF778C">
            <w:pPr>
              <w:pStyle w:val="Tabledata"/>
            </w:pPr>
            <w:r w:rsidRPr="008A6F06">
              <w:t>Operational Policy</w:t>
            </w:r>
          </w:p>
        </w:tc>
        <w:tc>
          <w:tcPr>
            <w:tcW w:w="3181" w:type="dxa"/>
          </w:tcPr>
          <w:p w14:paraId="28D3F863" w14:textId="540ECB7B" w:rsidR="008A6F06" w:rsidRDefault="008A6F06" w:rsidP="008A6F06">
            <w:pPr>
              <w:pStyle w:val="Tabledata"/>
            </w:pPr>
            <w:r>
              <w:t>Approved by the Commissioner</w:t>
            </w:r>
            <w:r w:rsidR="00DC79CC">
              <w:t xml:space="preserve"> Corrective Services</w:t>
            </w:r>
          </w:p>
          <w:p w14:paraId="139D175D" w14:textId="61B6C56F" w:rsidR="008A6F06" w:rsidRDefault="00DC79CC" w:rsidP="008A6F06">
            <w:pPr>
              <w:pStyle w:val="Tabledata"/>
            </w:pPr>
            <w:r>
              <w:t xml:space="preserve">CM Ref: </w:t>
            </w:r>
            <w:r w:rsidR="00B00A25">
              <w:t>S25/58381</w:t>
            </w:r>
          </w:p>
        </w:tc>
        <w:tc>
          <w:tcPr>
            <w:tcW w:w="1638" w:type="dxa"/>
          </w:tcPr>
          <w:p w14:paraId="0C95F460" w14:textId="3C27C5DE" w:rsidR="008A6F06" w:rsidRDefault="000F1DB1" w:rsidP="00DF778C">
            <w:pPr>
              <w:pStyle w:val="Tabledata"/>
            </w:pPr>
            <w:r>
              <w:t>3 July 2025</w:t>
            </w:r>
          </w:p>
        </w:tc>
        <w:tc>
          <w:tcPr>
            <w:tcW w:w="1629" w:type="dxa"/>
          </w:tcPr>
          <w:p w14:paraId="6FCCB315" w14:textId="2D04C1EC" w:rsidR="008A6F06" w:rsidRDefault="000F1DB1" w:rsidP="00DF778C">
            <w:pPr>
              <w:pStyle w:val="Tabledata"/>
            </w:pPr>
            <w:r>
              <w:t>4</w:t>
            </w:r>
            <w:r w:rsidRPr="000F1DB1">
              <w:t xml:space="preserve"> July 2025</w:t>
            </w:r>
          </w:p>
        </w:tc>
      </w:tr>
    </w:tbl>
    <w:p w14:paraId="6CD19678" w14:textId="77777777" w:rsidR="00245869" w:rsidRPr="00D05B49" w:rsidRDefault="00245869" w:rsidP="00FF3CE6"/>
    <w:sectPr w:rsidR="00245869" w:rsidRPr="00D05B49" w:rsidSect="009814BD">
      <w:headerReference w:type="even" r:id="rId33"/>
      <w:headerReference w:type="default" r:id="rId34"/>
      <w:footerReference w:type="default" r:id="rId35"/>
      <w:headerReference w:type="first" r:id="rId36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882A" w14:textId="77777777" w:rsidR="00A315D1" w:rsidRDefault="00A315D1" w:rsidP="00D06E62">
      <w:r>
        <w:separator/>
      </w:r>
    </w:p>
  </w:endnote>
  <w:endnote w:type="continuationSeparator" w:id="0">
    <w:p w14:paraId="0CBDB714" w14:textId="77777777" w:rsidR="00A315D1" w:rsidRDefault="00A315D1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B714" w14:textId="14D75276" w:rsidR="006B0AC8" w:rsidRDefault="006B0AC8" w:rsidP="00D33552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</w:t>
    </w:r>
    <w:r w:rsidRPr="00627992">
      <w:rPr>
        <w:color w:val="C00000"/>
      </w:rPr>
      <w:t xml:space="preserve"> Op</w:t>
    </w:r>
    <w:r>
      <w:rPr>
        <w:color w:val="C00000"/>
      </w:rPr>
      <w:t xml:space="preserve">s </w:t>
    </w:r>
    <w:r w:rsidRPr="00627992">
      <w:rPr>
        <w:color w:val="C00000"/>
      </w:rPr>
      <w:t>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2EC8" w14:textId="77777777" w:rsidR="00A315D1" w:rsidRDefault="00A315D1" w:rsidP="00D06E62">
      <w:r>
        <w:separator/>
      </w:r>
    </w:p>
  </w:footnote>
  <w:footnote w:type="continuationSeparator" w:id="0">
    <w:p w14:paraId="0DBEB9FF" w14:textId="77777777" w:rsidR="00A315D1" w:rsidRDefault="00A315D1" w:rsidP="00D06E62">
      <w:r>
        <w:continuationSeparator/>
      </w:r>
    </w:p>
  </w:footnote>
  <w:footnote w:id="1">
    <w:p w14:paraId="3D8121EC" w14:textId="77777777" w:rsidR="006B0AC8" w:rsidRPr="00CE30B8" w:rsidRDefault="006B0AC8" w:rsidP="00581F50">
      <w:pPr>
        <w:pStyle w:val="FootnoteText"/>
        <w:rPr>
          <w:i/>
          <w:sz w:val="18"/>
          <w:szCs w:val="18"/>
        </w:rPr>
      </w:pPr>
      <w:r w:rsidRPr="00CE30B8">
        <w:rPr>
          <w:rStyle w:val="FootnoteReference"/>
          <w:i/>
          <w:sz w:val="18"/>
          <w:szCs w:val="18"/>
        </w:rPr>
        <w:footnoteRef/>
      </w:r>
      <w:r w:rsidRPr="00CE30B8">
        <w:rPr>
          <w:i/>
          <w:sz w:val="18"/>
          <w:szCs w:val="18"/>
        </w:rPr>
        <w:t xml:space="preserve"> Commonwealth Sex Discrimination Act 1984</w:t>
      </w:r>
    </w:p>
  </w:footnote>
  <w:footnote w:id="2">
    <w:p w14:paraId="1DFF39F8" w14:textId="77777777" w:rsidR="006B0AC8" w:rsidRDefault="006B0AC8" w:rsidP="00581F50">
      <w:pPr>
        <w:pStyle w:val="FootnoteText"/>
      </w:pPr>
      <w:r w:rsidRPr="00CE30B8">
        <w:rPr>
          <w:rStyle w:val="FootnoteReference"/>
          <w:i/>
        </w:rPr>
        <w:footnoteRef/>
      </w:r>
      <w:r w:rsidRPr="00CE30B8">
        <w:rPr>
          <w:i/>
        </w:rPr>
        <w:t xml:space="preserve"> </w:t>
      </w:r>
      <w:r w:rsidRPr="00CE30B8">
        <w:rPr>
          <w:i/>
          <w:sz w:val="18"/>
          <w:szCs w:val="18"/>
        </w:rPr>
        <w:t>Equal Opportunity Act 1984</w:t>
      </w:r>
    </w:p>
  </w:footnote>
  <w:footnote w:id="3">
    <w:p w14:paraId="39FDE7BF" w14:textId="77777777" w:rsidR="006B0AC8" w:rsidRPr="003C6885" w:rsidRDefault="006B0AC8" w:rsidP="00C625A2">
      <w:pPr>
        <w:pStyle w:val="FootnoteText"/>
        <w:rPr>
          <w:sz w:val="18"/>
          <w:szCs w:val="18"/>
        </w:rPr>
      </w:pPr>
      <w:r w:rsidRPr="003C6885">
        <w:rPr>
          <w:rStyle w:val="FootnoteReference"/>
          <w:sz w:val="18"/>
          <w:szCs w:val="18"/>
        </w:rPr>
        <w:footnoteRef/>
      </w:r>
      <w:r w:rsidRPr="003C6885">
        <w:rPr>
          <w:sz w:val="18"/>
          <w:szCs w:val="18"/>
        </w:rPr>
        <w:t xml:space="preserve"> r 81 (2) (a) </w:t>
      </w:r>
      <w:r w:rsidRPr="00D33552">
        <w:rPr>
          <w:i/>
          <w:iCs/>
          <w:sz w:val="18"/>
          <w:szCs w:val="18"/>
        </w:rPr>
        <w:t>Young Offenders Regulations 1995</w:t>
      </w:r>
    </w:p>
  </w:footnote>
  <w:footnote w:id="4">
    <w:p w14:paraId="5CB064E6" w14:textId="77777777" w:rsidR="006B0AC8" w:rsidRPr="00454C96" w:rsidRDefault="006B0AC8" w:rsidP="00C625A2">
      <w:pPr>
        <w:pStyle w:val="FootnoteText"/>
        <w:rPr>
          <w:sz w:val="18"/>
          <w:szCs w:val="18"/>
        </w:rPr>
      </w:pPr>
      <w:r w:rsidRPr="00454C96">
        <w:rPr>
          <w:rStyle w:val="FootnoteReference"/>
          <w:sz w:val="18"/>
          <w:szCs w:val="18"/>
        </w:rPr>
        <w:footnoteRef/>
      </w:r>
      <w:r w:rsidRPr="00454C96">
        <w:rPr>
          <w:sz w:val="18"/>
          <w:szCs w:val="18"/>
        </w:rPr>
        <w:t xml:space="preserve"> r 81 (2) (</w:t>
      </w:r>
      <w:r>
        <w:rPr>
          <w:sz w:val="18"/>
          <w:szCs w:val="18"/>
        </w:rPr>
        <w:t>b</w:t>
      </w:r>
      <w:r w:rsidRPr="00454C96">
        <w:rPr>
          <w:sz w:val="18"/>
          <w:szCs w:val="18"/>
        </w:rPr>
        <w:t xml:space="preserve">) </w:t>
      </w:r>
      <w:r w:rsidRPr="00D33552">
        <w:rPr>
          <w:i/>
          <w:iCs/>
          <w:sz w:val="18"/>
          <w:szCs w:val="18"/>
        </w:rPr>
        <w:t>Young Offenders Regulations 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2A2" w14:textId="625771C4" w:rsidR="006B0AC8" w:rsidRDefault="002848F3">
    <w:pPr>
      <w:pStyle w:val="Header"/>
    </w:pPr>
    <w:r>
      <w:rPr>
        <w:noProof/>
      </w:rPr>
      <w:pict w14:anchorId="6E37DE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margin-left:0;margin-top:0;width:622.1pt;height:24.8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5B56" w14:textId="4FB46835" w:rsidR="006B0AC8" w:rsidRDefault="006B0AC8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>
      <w:rPr>
        <w:noProof/>
      </w:rPr>
      <w:t>7.3 Trans and, Gender Diverse Detainees and Intersex</w:t>
    </w:r>
    <w:r>
      <w:rPr>
        <w:noProof/>
      </w:rPr>
      <w:fldChar w:fldCharType="end"/>
    </w:r>
    <w:r>
      <w:rPr>
        <w:noProof/>
      </w:rPr>
      <w:t xml:space="preserve"> v0.1</w:t>
    </w:r>
  </w:p>
  <w:p w14:paraId="39AEB813" w14:textId="77777777" w:rsidR="006B0AC8" w:rsidRDefault="006B0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3D76" w14:textId="763ECD50" w:rsidR="006B0AC8" w:rsidRDefault="006B0AC8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F4C2F" wp14:editId="6CEA816F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1DDDEAB" w14:textId="77777777" w:rsidR="006B0AC8" w:rsidRPr="00464E72" w:rsidRDefault="006B0AC8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F4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1DDDEAB" w14:textId="77777777" w:rsidR="006B0AC8" w:rsidRPr="00464E72" w:rsidRDefault="006B0AC8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481C5" wp14:editId="3FA36BE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5028A" w14:textId="77777777" w:rsidR="006B0AC8" w:rsidRDefault="006B0AC8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481C5" id="Text Box 21" o:spid="_x0000_s1027" type="#_x0000_t202" style="position:absolute;margin-left:200.3pt;margin-top:-1.35pt;width:312.7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3005028A" w14:textId="77777777" w:rsidR="006B0AC8" w:rsidRDefault="006B0AC8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B6FA188" wp14:editId="0494E116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3A8" w14:textId="68B748A7" w:rsidR="006B0AC8" w:rsidRDefault="002848F3">
    <w:pPr>
      <w:pStyle w:val="Header"/>
    </w:pPr>
    <w:r>
      <w:rPr>
        <w:noProof/>
      </w:rPr>
      <w:pict w14:anchorId="1D64EC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622.1pt;height:24.85pt;rotation:315;z-index:-25164800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B6B9" w14:textId="69F42ACE" w:rsidR="006B0AC8" w:rsidRDefault="006B0AC8" w:rsidP="00EF5F4A">
    <w:pPr>
      <w:pStyle w:val="Header"/>
      <w:pBdr>
        <w:bottom w:val="single" w:sz="4" w:space="3" w:color="auto"/>
      </w:pBdr>
      <w:tabs>
        <w:tab w:val="clear" w:pos="4513"/>
        <w:tab w:val="clear" w:pos="9026"/>
        <w:tab w:val="left" w:pos="4599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2848F3">
      <w:rPr>
        <w:noProof/>
      </w:rPr>
      <w:t>COPP 7.5 Trans, Gender Diverse and Intersex Detainees</w:t>
    </w:r>
    <w:r>
      <w:rPr>
        <w:noProof/>
      </w:rPr>
      <w:fldChar w:fldCharType="end"/>
    </w:r>
    <w:r>
      <w:rPr>
        <w:noProof/>
      </w:rPr>
      <w:t xml:space="preserve"> v</w:t>
    </w:r>
    <w:r w:rsidR="00A54B58">
      <w:rPr>
        <w:noProof/>
      </w:rPr>
      <w:t>4</w:t>
    </w:r>
    <w:r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51E8" w14:textId="570EAAB2" w:rsidR="006B0AC8" w:rsidRDefault="002848F3">
    <w:pPr>
      <w:pStyle w:val="Header"/>
    </w:pPr>
    <w:r>
      <w:rPr>
        <w:noProof/>
      </w:rPr>
      <w:pict w14:anchorId="244BDC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622.1pt;height:24.85pt;rotation:315;z-index:-25165004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811E9"/>
    <w:multiLevelType w:val="hybridMultilevel"/>
    <w:tmpl w:val="8AFC724C"/>
    <w:lvl w:ilvl="0" w:tplc="33C0B2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13D"/>
    <w:multiLevelType w:val="multilevel"/>
    <w:tmpl w:val="8224373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4012"/>
    <w:multiLevelType w:val="hybridMultilevel"/>
    <w:tmpl w:val="59EE93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4044"/>
    <w:multiLevelType w:val="hybridMultilevel"/>
    <w:tmpl w:val="7A0EF9C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5225"/>
    <w:multiLevelType w:val="hybridMultilevel"/>
    <w:tmpl w:val="438489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E2AF8"/>
    <w:multiLevelType w:val="hybridMultilevel"/>
    <w:tmpl w:val="62E44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D02"/>
    <w:multiLevelType w:val="hybridMultilevel"/>
    <w:tmpl w:val="DB12D68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8651F9"/>
    <w:multiLevelType w:val="hybridMultilevel"/>
    <w:tmpl w:val="F58235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05E4"/>
    <w:multiLevelType w:val="hybridMultilevel"/>
    <w:tmpl w:val="3594FEA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937"/>
    <w:multiLevelType w:val="hybridMultilevel"/>
    <w:tmpl w:val="CFD84CFC"/>
    <w:lvl w:ilvl="0" w:tplc="0C090019">
      <w:start w:val="1"/>
      <w:numFmt w:val="lowerLetter"/>
      <w:lvlText w:val="%1.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A7879"/>
    <w:multiLevelType w:val="hybridMultilevel"/>
    <w:tmpl w:val="36E08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C1CA2"/>
    <w:multiLevelType w:val="hybridMultilevel"/>
    <w:tmpl w:val="554CBD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C0FB5"/>
    <w:multiLevelType w:val="hybridMultilevel"/>
    <w:tmpl w:val="7124E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25938"/>
    <w:multiLevelType w:val="hybridMultilevel"/>
    <w:tmpl w:val="06F8D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3FC7"/>
    <w:multiLevelType w:val="hybridMultilevel"/>
    <w:tmpl w:val="7090B332"/>
    <w:lvl w:ilvl="0" w:tplc="33C0B2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6110283">
    <w:abstractNumId w:val="14"/>
  </w:num>
  <w:num w:numId="2" w16cid:durableId="301160920">
    <w:abstractNumId w:val="7"/>
  </w:num>
  <w:num w:numId="3" w16cid:durableId="301229820">
    <w:abstractNumId w:val="2"/>
  </w:num>
  <w:num w:numId="4" w16cid:durableId="468938910">
    <w:abstractNumId w:val="0"/>
  </w:num>
  <w:num w:numId="5" w16cid:durableId="1010454567">
    <w:abstractNumId w:val="18"/>
  </w:num>
  <w:num w:numId="6" w16cid:durableId="2023971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356921">
    <w:abstractNumId w:val="13"/>
  </w:num>
  <w:num w:numId="8" w16cid:durableId="492182869">
    <w:abstractNumId w:val="22"/>
  </w:num>
  <w:num w:numId="9" w16cid:durableId="161909">
    <w:abstractNumId w:val="3"/>
  </w:num>
  <w:num w:numId="10" w16cid:durableId="1110052020">
    <w:abstractNumId w:val="16"/>
  </w:num>
  <w:num w:numId="11" w16cid:durableId="118687818">
    <w:abstractNumId w:val="12"/>
  </w:num>
  <w:num w:numId="12" w16cid:durableId="1658337943">
    <w:abstractNumId w:val="10"/>
  </w:num>
  <w:num w:numId="13" w16cid:durableId="552230897">
    <w:abstractNumId w:val="4"/>
  </w:num>
  <w:num w:numId="14" w16cid:durableId="506212304">
    <w:abstractNumId w:val="2"/>
    <w:lvlOverride w:ilvl="0">
      <w:startOverride w:val="3"/>
    </w:lvlOverride>
    <w:lvlOverride w:ilvl="1">
      <w:startOverride w:val="7"/>
    </w:lvlOverride>
    <w:lvlOverride w:ilvl="2">
      <w:startOverride w:val="6"/>
    </w:lvlOverride>
  </w:num>
  <w:num w:numId="15" w16cid:durableId="286087870">
    <w:abstractNumId w:val="8"/>
  </w:num>
  <w:num w:numId="16" w16cid:durableId="699471239">
    <w:abstractNumId w:val="5"/>
  </w:num>
  <w:num w:numId="17" w16cid:durableId="500121525">
    <w:abstractNumId w:val="11"/>
  </w:num>
  <w:num w:numId="18" w16cid:durableId="238174844">
    <w:abstractNumId w:val="20"/>
  </w:num>
  <w:num w:numId="19" w16cid:durableId="176773269">
    <w:abstractNumId w:val="23"/>
  </w:num>
  <w:num w:numId="20" w16cid:durableId="1648125628">
    <w:abstractNumId w:val="1"/>
  </w:num>
  <w:num w:numId="21" w16cid:durableId="320548271">
    <w:abstractNumId w:val="21"/>
  </w:num>
  <w:num w:numId="22" w16cid:durableId="2069841857">
    <w:abstractNumId w:val="9"/>
  </w:num>
  <w:num w:numId="23" w16cid:durableId="1597058494">
    <w:abstractNumId w:val="6"/>
  </w:num>
  <w:num w:numId="24" w16cid:durableId="1233926609">
    <w:abstractNumId w:val="17"/>
  </w:num>
  <w:num w:numId="25" w16cid:durableId="1517649136">
    <w:abstractNumId w:val="15"/>
  </w:num>
  <w:num w:numId="26" w16cid:durableId="555163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971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Its5sa9gQQ8dmQYRi5HyKHhUmxTYJlZujuVSowMeqhm1nas5kgmdiPDZdEiVblkGq3lYpPWcS5Yg6ioo23rFw==" w:salt="rgUXdjLLakbbUvizAgv9VA==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160D8"/>
    <w:rsid w:val="00022014"/>
    <w:rsid w:val="00022B3A"/>
    <w:rsid w:val="000241B9"/>
    <w:rsid w:val="000244D8"/>
    <w:rsid w:val="00025186"/>
    <w:rsid w:val="00031841"/>
    <w:rsid w:val="00031DDF"/>
    <w:rsid w:val="00031EFC"/>
    <w:rsid w:val="000327C1"/>
    <w:rsid w:val="00033D92"/>
    <w:rsid w:val="0003553E"/>
    <w:rsid w:val="000367DC"/>
    <w:rsid w:val="00041DF5"/>
    <w:rsid w:val="00045C99"/>
    <w:rsid w:val="00045F51"/>
    <w:rsid w:val="0005058B"/>
    <w:rsid w:val="000534B6"/>
    <w:rsid w:val="00057277"/>
    <w:rsid w:val="000645BE"/>
    <w:rsid w:val="0007055E"/>
    <w:rsid w:val="00073AAB"/>
    <w:rsid w:val="00073F77"/>
    <w:rsid w:val="000755EE"/>
    <w:rsid w:val="00077ADF"/>
    <w:rsid w:val="000854C7"/>
    <w:rsid w:val="000925A5"/>
    <w:rsid w:val="00093028"/>
    <w:rsid w:val="00093F3C"/>
    <w:rsid w:val="000945D7"/>
    <w:rsid w:val="00095DB5"/>
    <w:rsid w:val="00096B05"/>
    <w:rsid w:val="000A013B"/>
    <w:rsid w:val="000A174D"/>
    <w:rsid w:val="000A4D0A"/>
    <w:rsid w:val="000A631C"/>
    <w:rsid w:val="000B3DA3"/>
    <w:rsid w:val="000B6320"/>
    <w:rsid w:val="000C74F2"/>
    <w:rsid w:val="000D008C"/>
    <w:rsid w:val="000D3DC8"/>
    <w:rsid w:val="000D4A45"/>
    <w:rsid w:val="000D69A3"/>
    <w:rsid w:val="000E5EAC"/>
    <w:rsid w:val="000E6CF2"/>
    <w:rsid w:val="000F1DB1"/>
    <w:rsid w:val="000F7531"/>
    <w:rsid w:val="001035D6"/>
    <w:rsid w:val="00107CFD"/>
    <w:rsid w:val="00107FC6"/>
    <w:rsid w:val="0011184F"/>
    <w:rsid w:val="001158E9"/>
    <w:rsid w:val="00121C70"/>
    <w:rsid w:val="00123E10"/>
    <w:rsid w:val="001250CD"/>
    <w:rsid w:val="00126611"/>
    <w:rsid w:val="00131037"/>
    <w:rsid w:val="0013427F"/>
    <w:rsid w:val="00134BDF"/>
    <w:rsid w:val="00140346"/>
    <w:rsid w:val="00142663"/>
    <w:rsid w:val="00144A1B"/>
    <w:rsid w:val="00146739"/>
    <w:rsid w:val="00146EA0"/>
    <w:rsid w:val="00147492"/>
    <w:rsid w:val="00150099"/>
    <w:rsid w:val="00155864"/>
    <w:rsid w:val="00165218"/>
    <w:rsid w:val="00167C98"/>
    <w:rsid w:val="001728BA"/>
    <w:rsid w:val="001757E8"/>
    <w:rsid w:val="00177C1E"/>
    <w:rsid w:val="00192BD8"/>
    <w:rsid w:val="00193880"/>
    <w:rsid w:val="00196077"/>
    <w:rsid w:val="00197DF0"/>
    <w:rsid w:val="001A4A40"/>
    <w:rsid w:val="001A7CF8"/>
    <w:rsid w:val="001B012E"/>
    <w:rsid w:val="001C49FE"/>
    <w:rsid w:val="001D46F5"/>
    <w:rsid w:val="001D5480"/>
    <w:rsid w:val="001D5B65"/>
    <w:rsid w:val="001D661C"/>
    <w:rsid w:val="00201B45"/>
    <w:rsid w:val="0020599C"/>
    <w:rsid w:val="00211131"/>
    <w:rsid w:val="00214A3A"/>
    <w:rsid w:val="00215803"/>
    <w:rsid w:val="002178FA"/>
    <w:rsid w:val="00221A5E"/>
    <w:rsid w:val="00222A61"/>
    <w:rsid w:val="0022558E"/>
    <w:rsid w:val="002258E4"/>
    <w:rsid w:val="0022773A"/>
    <w:rsid w:val="00230F7E"/>
    <w:rsid w:val="00231457"/>
    <w:rsid w:val="002342C0"/>
    <w:rsid w:val="002353FA"/>
    <w:rsid w:val="002457AA"/>
    <w:rsid w:val="00245869"/>
    <w:rsid w:val="002459CB"/>
    <w:rsid w:val="0024670F"/>
    <w:rsid w:val="00250C62"/>
    <w:rsid w:val="00254316"/>
    <w:rsid w:val="002551B9"/>
    <w:rsid w:val="00264AAD"/>
    <w:rsid w:val="00266670"/>
    <w:rsid w:val="0027609B"/>
    <w:rsid w:val="002763CA"/>
    <w:rsid w:val="00276DCA"/>
    <w:rsid w:val="00280E2C"/>
    <w:rsid w:val="0028352A"/>
    <w:rsid w:val="00283732"/>
    <w:rsid w:val="00284805"/>
    <w:rsid w:val="002848F3"/>
    <w:rsid w:val="00285795"/>
    <w:rsid w:val="002920C3"/>
    <w:rsid w:val="00295470"/>
    <w:rsid w:val="002A04EA"/>
    <w:rsid w:val="002B2937"/>
    <w:rsid w:val="002B648E"/>
    <w:rsid w:val="002E1085"/>
    <w:rsid w:val="002E3921"/>
    <w:rsid w:val="002E472E"/>
    <w:rsid w:val="002E5664"/>
    <w:rsid w:val="002E5756"/>
    <w:rsid w:val="002E6F7B"/>
    <w:rsid w:val="002E738F"/>
    <w:rsid w:val="002F2C21"/>
    <w:rsid w:val="002F365C"/>
    <w:rsid w:val="002F68EE"/>
    <w:rsid w:val="00300E16"/>
    <w:rsid w:val="00302144"/>
    <w:rsid w:val="003030FB"/>
    <w:rsid w:val="0030439C"/>
    <w:rsid w:val="00304630"/>
    <w:rsid w:val="00304843"/>
    <w:rsid w:val="0030569B"/>
    <w:rsid w:val="00305F3A"/>
    <w:rsid w:val="00307964"/>
    <w:rsid w:val="00315998"/>
    <w:rsid w:val="00323548"/>
    <w:rsid w:val="003253B7"/>
    <w:rsid w:val="00333149"/>
    <w:rsid w:val="003334C5"/>
    <w:rsid w:val="00337EE7"/>
    <w:rsid w:val="00337F7B"/>
    <w:rsid w:val="0034125E"/>
    <w:rsid w:val="00346CF3"/>
    <w:rsid w:val="003524E2"/>
    <w:rsid w:val="00355D0C"/>
    <w:rsid w:val="00355FC6"/>
    <w:rsid w:val="003609C4"/>
    <w:rsid w:val="00362458"/>
    <w:rsid w:val="0036497F"/>
    <w:rsid w:val="0036658C"/>
    <w:rsid w:val="00372BE7"/>
    <w:rsid w:val="00375D2E"/>
    <w:rsid w:val="003769EF"/>
    <w:rsid w:val="0037788B"/>
    <w:rsid w:val="00380258"/>
    <w:rsid w:val="003809C2"/>
    <w:rsid w:val="00381F1E"/>
    <w:rsid w:val="003834F9"/>
    <w:rsid w:val="00385B6D"/>
    <w:rsid w:val="0039238C"/>
    <w:rsid w:val="003A31A9"/>
    <w:rsid w:val="003B2A59"/>
    <w:rsid w:val="003C1B90"/>
    <w:rsid w:val="003C62D9"/>
    <w:rsid w:val="003C6885"/>
    <w:rsid w:val="003D2FBD"/>
    <w:rsid w:val="003D3F0F"/>
    <w:rsid w:val="003D4EDA"/>
    <w:rsid w:val="003D708E"/>
    <w:rsid w:val="003E3699"/>
    <w:rsid w:val="003E6CE1"/>
    <w:rsid w:val="003F5820"/>
    <w:rsid w:val="003F6128"/>
    <w:rsid w:val="00400DF5"/>
    <w:rsid w:val="00402B43"/>
    <w:rsid w:val="0040723B"/>
    <w:rsid w:val="0040796F"/>
    <w:rsid w:val="0041309E"/>
    <w:rsid w:val="00422132"/>
    <w:rsid w:val="0043333F"/>
    <w:rsid w:val="00434651"/>
    <w:rsid w:val="00442F25"/>
    <w:rsid w:val="00451E42"/>
    <w:rsid w:val="00453862"/>
    <w:rsid w:val="0045424C"/>
    <w:rsid w:val="00454C96"/>
    <w:rsid w:val="00457598"/>
    <w:rsid w:val="00460C86"/>
    <w:rsid w:val="00461807"/>
    <w:rsid w:val="00462D6E"/>
    <w:rsid w:val="00464750"/>
    <w:rsid w:val="004649E2"/>
    <w:rsid w:val="00464E72"/>
    <w:rsid w:val="00465772"/>
    <w:rsid w:val="0046722B"/>
    <w:rsid w:val="00467FEC"/>
    <w:rsid w:val="004702FC"/>
    <w:rsid w:val="00474AA9"/>
    <w:rsid w:val="004838D0"/>
    <w:rsid w:val="00490500"/>
    <w:rsid w:val="004A38CB"/>
    <w:rsid w:val="004A6F07"/>
    <w:rsid w:val="004B035B"/>
    <w:rsid w:val="004B06D2"/>
    <w:rsid w:val="004B1074"/>
    <w:rsid w:val="004B307A"/>
    <w:rsid w:val="004B6106"/>
    <w:rsid w:val="004C040F"/>
    <w:rsid w:val="004C0D06"/>
    <w:rsid w:val="004C6D41"/>
    <w:rsid w:val="004D040B"/>
    <w:rsid w:val="004D09A8"/>
    <w:rsid w:val="004D128C"/>
    <w:rsid w:val="004D388D"/>
    <w:rsid w:val="004E0819"/>
    <w:rsid w:val="004E48B6"/>
    <w:rsid w:val="004E571B"/>
    <w:rsid w:val="004E6705"/>
    <w:rsid w:val="004F095E"/>
    <w:rsid w:val="004F1058"/>
    <w:rsid w:val="004F302F"/>
    <w:rsid w:val="004F7480"/>
    <w:rsid w:val="00501382"/>
    <w:rsid w:val="00507149"/>
    <w:rsid w:val="0051290B"/>
    <w:rsid w:val="00515DAD"/>
    <w:rsid w:val="00521AF0"/>
    <w:rsid w:val="00521FF8"/>
    <w:rsid w:val="005262F0"/>
    <w:rsid w:val="00532D94"/>
    <w:rsid w:val="00536181"/>
    <w:rsid w:val="005362FD"/>
    <w:rsid w:val="00542B04"/>
    <w:rsid w:val="00545C4D"/>
    <w:rsid w:val="00545ED3"/>
    <w:rsid w:val="00554385"/>
    <w:rsid w:val="005657AE"/>
    <w:rsid w:val="005703A0"/>
    <w:rsid w:val="0057106B"/>
    <w:rsid w:val="00571FC9"/>
    <w:rsid w:val="005722E3"/>
    <w:rsid w:val="00572783"/>
    <w:rsid w:val="00576EFF"/>
    <w:rsid w:val="00581F50"/>
    <w:rsid w:val="00583245"/>
    <w:rsid w:val="005838F1"/>
    <w:rsid w:val="005851AA"/>
    <w:rsid w:val="00585B7D"/>
    <w:rsid w:val="00592059"/>
    <w:rsid w:val="00592112"/>
    <w:rsid w:val="00592B86"/>
    <w:rsid w:val="00592D26"/>
    <w:rsid w:val="005934EA"/>
    <w:rsid w:val="00594054"/>
    <w:rsid w:val="00595723"/>
    <w:rsid w:val="005A0664"/>
    <w:rsid w:val="005A1F19"/>
    <w:rsid w:val="005A21C0"/>
    <w:rsid w:val="005A3EA6"/>
    <w:rsid w:val="005B219F"/>
    <w:rsid w:val="005B7AF5"/>
    <w:rsid w:val="005C1BB3"/>
    <w:rsid w:val="005C5CD4"/>
    <w:rsid w:val="005C5E11"/>
    <w:rsid w:val="005D11A3"/>
    <w:rsid w:val="005D4709"/>
    <w:rsid w:val="005D4DD3"/>
    <w:rsid w:val="005D5A7A"/>
    <w:rsid w:val="005D6E9E"/>
    <w:rsid w:val="005E566A"/>
    <w:rsid w:val="005F2BA8"/>
    <w:rsid w:val="00600C9D"/>
    <w:rsid w:val="0061031F"/>
    <w:rsid w:val="00612F0F"/>
    <w:rsid w:val="00614E31"/>
    <w:rsid w:val="006168B5"/>
    <w:rsid w:val="00616A9C"/>
    <w:rsid w:val="006235C2"/>
    <w:rsid w:val="00627992"/>
    <w:rsid w:val="00627BA5"/>
    <w:rsid w:val="0063082F"/>
    <w:rsid w:val="006335A4"/>
    <w:rsid w:val="00634AA6"/>
    <w:rsid w:val="00634C54"/>
    <w:rsid w:val="00635F60"/>
    <w:rsid w:val="006444FB"/>
    <w:rsid w:val="00644A2D"/>
    <w:rsid w:val="00646333"/>
    <w:rsid w:val="00646553"/>
    <w:rsid w:val="0065278C"/>
    <w:rsid w:val="00654BC8"/>
    <w:rsid w:val="00654E30"/>
    <w:rsid w:val="00656F4A"/>
    <w:rsid w:val="006619BA"/>
    <w:rsid w:val="00663830"/>
    <w:rsid w:val="00665971"/>
    <w:rsid w:val="00671A06"/>
    <w:rsid w:val="006729FF"/>
    <w:rsid w:val="00674A06"/>
    <w:rsid w:val="00680BF2"/>
    <w:rsid w:val="00685217"/>
    <w:rsid w:val="00685F0B"/>
    <w:rsid w:val="00692724"/>
    <w:rsid w:val="0069373F"/>
    <w:rsid w:val="00696417"/>
    <w:rsid w:val="006A562F"/>
    <w:rsid w:val="006A5A7F"/>
    <w:rsid w:val="006B0AC8"/>
    <w:rsid w:val="006B0D1F"/>
    <w:rsid w:val="006B3601"/>
    <w:rsid w:val="006B3606"/>
    <w:rsid w:val="006B6EEE"/>
    <w:rsid w:val="006C4138"/>
    <w:rsid w:val="006D0AB4"/>
    <w:rsid w:val="006D68A8"/>
    <w:rsid w:val="006F1793"/>
    <w:rsid w:val="00700E6F"/>
    <w:rsid w:val="00702EF8"/>
    <w:rsid w:val="00711C79"/>
    <w:rsid w:val="00713CC4"/>
    <w:rsid w:val="00715807"/>
    <w:rsid w:val="00717443"/>
    <w:rsid w:val="00722692"/>
    <w:rsid w:val="00725DC7"/>
    <w:rsid w:val="007402F7"/>
    <w:rsid w:val="0074271C"/>
    <w:rsid w:val="007444AC"/>
    <w:rsid w:val="00745200"/>
    <w:rsid w:val="00752A9E"/>
    <w:rsid w:val="00756285"/>
    <w:rsid w:val="00762C8A"/>
    <w:rsid w:val="007645FB"/>
    <w:rsid w:val="007742BD"/>
    <w:rsid w:val="00775238"/>
    <w:rsid w:val="007753C9"/>
    <w:rsid w:val="00781BC7"/>
    <w:rsid w:val="007832E6"/>
    <w:rsid w:val="0078409C"/>
    <w:rsid w:val="00787345"/>
    <w:rsid w:val="00787C7F"/>
    <w:rsid w:val="007938A8"/>
    <w:rsid w:val="00794B2A"/>
    <w:rsid w:val="007972FE"/>
    <w:rsid w:val="007A20E6"/>
    <w:rsid w:val="007A5016"/>
    <w:rsid w:val="007A7799"/>
    <w:rsid w:val="007B7018"/>
    <w:rsid w:val="007C6CAD"/>
    <w:rsid w:val="007D01F6"/>
    <w:rsid w:val="007D3C6F"/>
    <w:rsid w:val="007D47FA"/>
    <w:rsid w:val="007E67F4"/>
    <w:rsid w:val="007F108E"/>
    <w:rsid w:val="007F1666"/>
    <w:rsid w:val="007F2FEE"/>
    <w:rsid w:val="008000C6"/>
    <w:rsid w:val="00803710"/>
    <w:rsid w:val="00805FB0"/>
    <w:rsid w:val="00807A69"/>
    <w:rsid w:val="00810D6B"/>
    <w:rsid w:val="008114B3"/>
    <w:rsid w:val="008121C5"/>
    <w:rsid w:val="0081229E"/>
    <w:rsid w:val="0081332B"/>
    <w:rsid w:val="00815F5D"/>
    <w:rsid w:val="00820B91"/>
    <w:rsid w:val="00826E55"/>
    <w:rsid w:val="0083147B"/>
    <w:rsid w:val="008325CC"/>
    <w:rsid w:val="0083371E"/>
    <w:rsid w:val="00833B30"/>
    <w:rsid w:val="008416E0"/>
    <w:rsid w:val="00844223"/>
    <w:rsid w:val="00847DFE"/>
    <w:rsid w:val="008578BD"/>
    <w:rsid w:val="00857A48"/>
    <w:rsid w:val="0086067A"/>
    <w:rsid w:val="00863DCE"/>
    <w:rsid w:val="00867F49"/>
    <w:rsid w:val="00870FB9"/>
    <w:rsid w:val="00893A2E"/>
    <w:rsid w:val="008952FA"/>
    <w:rsid w:val="00895EAB"/>
    <w:rsid w:val="008976B1"/>
    <w:rsid w:val="008A269F"/>
    <w:rsid w:val="008A6F06"/>
    <w:rsid w:val="008A719B"/>
    <w:rsid w:val="008B5582"/>
    <w:rsid w:val="008B5E88"/>
    <w:rsid w:val="008B6C89"/>
    <w:rsid w:val="008C057F"/>
    <w:rsid w:val="008C3B0E"/>
    <w:rsid w:val="008C3D8E"/>
    <w:rsid w:val="008D113E"/>
    <w:rsid w:val="008D2E9B"/>
    <w:rsid w:val="008D2F0D"/>
    <w:rsid w:val="008D3DE0"/>
    <w:rsid w:val="008D51C1"/>
    <w:rsid w:val="008D7779"/>
    <w:rsid w:val="008E4234"/>
    <w:rsid w:val="008E46BF"/>
    <w:rsid w:val="008E4E5B"/>
    <w:rsid w:val="008E4ECD"/>
    <w:rsid w:val="008E5DF6"/>
    <w:rsid w:val="008E6E97"/>
    <w:rsid w:val="008F625A"/>
    <w:rsid w:val="008F650D"/>
    <w:rsid w:val="008F6D3E"/>
    <w:rsid w:val="008F6F80"/>
    <w:rsid w:val="009001F6"/>
    <w:rsid w:val="00900432"/>
    <w:rsid w:val="00902736"/>
    <w:rsid w:val="0090333C"/>
    <w:rsid w:val="0090366F"/>
    <w:rsid w:val="00906E80"/>
    <w:rsid w:val="0091065E"/>
    <w:rsid w:val="00915511"/>
    <w:rsid w:val="0092129E"/>
    <w:rsid w:val="009222B4"/>
    <w:rsid w:val="00922314"/>
    <w:rsid w:val="009246B2"/>
    <w:rsid w:val="00925309"/>
    <w:rsid w:val="00927425"/>
    <w:rsid w:val="0093029F"/>
    <w:rsid w:val="00930B45"/>
    <w:rsid w:val="00931B96"/>
    <w:rsid w:val="00934FFA"/>
    <w:rsid w:val="009425CC"/>
    <w:rsid w:val="00942A0C"/>
    <w:rsid w:val="00943D5D"/>
    <w:rsid w:val="00950ABE"/>
    <w:rsid w:val="0095242A"/>
    <w:rsid w:val="00952524"/>
    <w:rsid w:val="00960555"/>
    <w:rsid w:val="0096091F"/>
    <w:rsid w:val="009612AA"/>
    <w:rsid w:val="009637DE"/>
    <w:rsid w:val="009660DE"/>
    <w:rsid w:val="009713FE"/>
    <w:rsid w:val="00971D4D"/>
    <w:rsid w:val="0097393A"/>
    <w:rsid w:val="009814BD"/>
    <w:rsid w:val="009922B2"/>
    <w:rsid w:val="00992EFF"/>
    <w:rsid w:val="009931D7"/>
    <w:rsid w:val="009931E2"/>
    <w:rsid w:val="00994525"/>
    <w:rsid w:val="009962C0"/>
    <w:rsid w:val="009A19E1"/>
    <w:rsid w:val="009A78A5"/>
    <w:rsid w:val="009B295E"/>
    <w:rsid w:val="009B343E"/>
    <w:rsid w:val="009B751B"/>
    <w:rsid w:val="009C0F7D"/>
    <w:rsid w:val="009C478A"/>
    <w:rsid w:val="009D408C"/>
    <w:rsid w:val="009D519C"/>
    <w:rsid w:val="009D6302"/>
    <w:rsid w:val="009E1E1D"/>
    <w:rsid w:val="009E1FFE"/>
    <w:rsid w:val="009E5A16"/>
    <w:rsid w:val="009F3BB2"/>
    <w:rsid w:val="009F55F9"/>
    <w:rsid w:val="009F6315"/>
    <w:rsid w:val="00A06023"/>
    <w:rsid w:val="00A15561"/>
    <w:rsid w:val="00A23088"/>
    <w:rsid w:val="00A24060"/>
    <w:rsid w:val="00A25642"/>
    <w:rsid w:val="00A315D1"/>
    <w:rsid w:val="00A37664"/>
    <w:rsid w:val="00A37717"/>
    <w:rsid w:val="00A43B28"/>
    <w:rsid w:val="00A43D05"/>
    <w:rsid w:val="00A445F6"/>
    <w:rsid w:val="00A44E9D"/>
    <w:rsid w:val="00A4725D"/>
    <w:rsid w:val="00A53FF7"/>
    <w:rsid w:val="00A547EA"/>
    <w:rsid w:val="00A54B58"/>
    <w:rsid w:val="00A6024B"/>
    <w:rsid w:val="00A61255"/>
    <w:rsid w:val="00A62A2B"/>
    <w:rsid w:val="00A631F7"/>
    <w:rsid w:val="00A66CE4"/>
    <w:rsid w:val="00A7248D"/>
    <w:rsid w:val="00A737BF"/>
    <w:rsid w:val="00A820CD"/>
    <w:rsid w:val="00A83631"/>
    <w:rsid w:val="00A83CD3"/>
    <w:rsid w:val="00A849CF"/>
    <w:rsid w:val="00A84E4F"/>
    <w:rsid w:val="00A873CE"/>
    <w:rsid w:val="00A87904"/>
    <w:rsid w:val="00A913A4"/>
    <w:rsid w:val="00AA1E5D"/>
    <w:rsid w:val="00AA2CBA"/>
    <w:rsid w:val="00AA76AC"/>
    <w:rsid w:val="00AB250B"/>
    <w:rsid w:val="00AC1D17"/>
    <w:rsid w:val="00AC3F97"/>
    <w:rsid w:val="00AC5135"/>
    <w:rsid w:val="00AC5EAE"/>
    <w:rsid w:val="00AD1586"/>
    <w:rsid w:val="00AD3350"/>
    <w:rsid w:val="00AD5582"/>
    <w:rsid w:val="00AE3362"/>
    <w:rsid w:val="00AE40C4"/>
    <w:rsid w:val="00AE4AAD"/>
    <w:rsid w:val="00AE4E47"/>
    <w:rsid w:val="00AF12E7"/>
    <w:rsid w:val="00AF4C82"/>
    <w:rsid w:val="00AF5852"/>
    <w:rsid w:val="00AF7DDC"/>
    <w:rsid w:val="00B00A25"/>
    <w:rsid w:val="00B02B08"/>
    <w:rsid w:val="00B05259"/>
    <w:rsid w:val="00B05447"/>
    <w:rsid w:val="00B104D6"/>
    <w:rsid w:val="00B14F4A"/>
    <w:rsid w:val="00B174FF"/>
    <w:rsid w:val="00B22B0B"/>
    <w:rsid w:val="00B242C9"/>
    <w:rsid w:val="00B270C2"/>
    <w:rsid w:val="00B521A7"/>
    <w:rsid w:val="00B52968"/>
    <w:rsid w:val="00B530B6"/>
    <w:rsid w:val="00B5505C"/>
    <w:rsid w:val="00B63969"/>
    <w:rsid w:val="00B63BA1"/>
    <w:rsid w:val="00B662B4"/>
    <w:rsid w:val="00B67DBD"/>
    <w:rsid w:val="00B72964"/>
    <w:rsid w:val="00B748AB"/>
    <w:rsid w:val="00B769BA"/>
    <w:rsid w:val="00B77823"/>
    <w:rsid w:val="00B90100"/>
    <w:rsid w:val="00B9057A"/>
    <w:rsid w:val="00B91597"/>
    <w:rsid w:val="00B9171A"/>
    <w:rsid w:val="00B92C22"/>
    <w:rsid w:val="00B937D8"/>
    <w:rsid w:val="00B93811"/>
    <w:rsid w:val="00BA03E8"/>
    <w:rsid w:val="00BA1A31"/>
    <w:rsid w:val="00BA7E7E"/>
    <w:rsid w:val="00BB062A"/>
    <w:rsid w:val="00BB0759"/>
    <w:rsid w:val="00BB346B"/>
    <w:rsid w:val="00BB3668"/>
    <w:rsid w:val="00BB36D9"/>
    <w:rsid w:val="00BB675F"/>
    <w:rsid w:val="00BC01CE"/>
    <w:rsid w:val="00BC3A30"/>
    <w:rsid w:val="00BC4282"/>
    <w:rsid w:val="00BC794F"/>
    <w:rsid w:val="00BD3814"/>
    <w:rsid w:val="00BE1793"/>
    <w:rsid w:val="00BF38E8"/>
    <w:rsid w:val="00BF6CFB"/>
    <w:rsid w:val="00BF6FD9"/>
    <w:rsid w:val="00C06709"/>
    <w:rsid w:val="00C06A93"/>
    <w:rsid w:val="00C0767A"/>
    <w:rsid w:val="00C1048D"/>
    <w:rsid w:val="00C11C3C"/>
    <w:rsid w:val="00C11CB5"/>
    <w:rsid w:val="00C12490"/>
    <w:rsid w:val="00C15484"/>
    <w:rsid w:val="00C2101E"/>
    <w:rsid w:val="00C210FB"/>
    <w:rsid w:val="00C24ABA"/>
    <w:rsid w:val="00C30FDF"/>
    <w:rsid w:val="00C34111"/>
    <w:rsid w:val="00C4154E"/>
    <w:rsid w:val="00C4343F"/>
    <w:rsid w:val="00C51E84"/>
    <w:rsid w:val="00C60E19"/>
    <w:rsid w:val="00C625A2"/>
    <w:rsid w:val="00C674F5"/>
    <w:rsid w:val="00C7224F"/>
    <w:rsid w:val="00C72975"/>
    <w:rsid w:val="00C8038F"/>
    <w:rsid w:val="00C8272F"/>
    <w:rsid w:val="00C92892"/>
    <w:rsid w:val="00C97E77"/>
    <w:rsid w:val="00CA7303"/>
    <w:rsid w:val="00CB12BE"/>
    <w:rsid w:val="00CB151F"/>
    <w:rsid w:val="00CB2189"/>
    <w:rsid w:val="00CB3BDA"/>
    <w:rsid w:val="00CB4E28"/>
    <w:rsid w:val="00CC1266"/>
    <w:rsid w:val="00CC344F"/>
    <w:rsid w:val="00CC47AF"/>
    <w:rsid w:val="00CD458A"/>
    <w:rsid w:val="00CE1A06"/>
    <w:rsid w:val="00CE30B8"/>
    <w:rsid w:val="00CE37CF"/>
    <w:rsid w:val="00CF4F58"/>
    <w:rsid w:val="00CF6E72"/>
    <w:rsid w:val="00D007BD"/>
    <w:rsid w:val="00D05B49"/>
    <w:rsid w:val="00D05F68"/>
    <w:rsid w:val="00D06E62"/>
    <w:rsid w:val="00D13B4A"/>
    <w:rsid w:val="00D151D9"/>
    <w:rsid w:val="00D16AC4"/>
    <w:rsid w:val="00D20BD0"/>
    <w:rsid w:val="00D20E41"/>
    <w:rsid w:val="00D21218"/>
    <w:rsid w:val="00D33552"/>
    <w:rsid w:val="00D37B8F"/>
    <w:rsid w:val="00D43D70"/>
    <w:rsid w:val="00D456AD"/>
    <w:rsid w:val="00D52373"/>
    <w:rsid w:val="00D545B6"/>
    <w:rsid w:val="00D5599D"/>
    <w:rsid w:val="00D62CF0"/>
    <w:rsid w:val="00D63F7A"/>
    <w:rsid w:val="00D64134"/>
    <w:rsid w:val="00D64EF4"/>
    <w:rsid w:val="00D66A26"/>
    <w:rsid w:val="00D77DDB"/>
    <w:rsid w:val="00D82CDE"/>
    <w:rsid w:val="00D85ECE"/>
    <w:rsid w:val="00D87D05"/>
    <w:rsid w:val="00D901B9"/>
    <w:rsid w:val="00D91EDB"/>
    <w:rsid w:val="00D9330E"/>
    <w:rsid w:val="00D941F8"/>
    <w:rsid w:val="00D96CCF"/>
    <w:rsid w:val="00DA1D20"/>
    <w:rsid w:val="00DA3969"/>
    <w:rsid w:val="00DA5F9E"/>
    <w:rsid w:val="00DA728C"/>
    <w:rsid w:val="00DB4772"/>
    <w:rsid w:val="00DC15F5"/>
    <w:rsid w:val="00DC5D87"/>
    <w:rsid w:val="00DC75E4"/>
    <w:rsid w:val="00DC783D"/>
    <w:rsid w:val="00DC79CC"/>
    <w:rsid w:val="00DD34ED"/>
    <w:rsid w:val="00DD3DDE"/>
    <w:rsid w:val="00DE2F7F"/>
    <w:rsid w:val="00DE3132"/>
    <w:rsid w:val="00DE5F58"/>
    <w:rsid w:val="00DE7071"/>
    <w:rsid w:val="00DE746C"/>
    <w:rsid w:val="00DE7B84"/>
    <w:rsid w:val="00DF3357"/>
    <w:rsid w:val="00DF56CD"/>
    <w:rsid w:val="00DF58BD"/>
    <w:rsid w:val="00DF721E"/>
    <w:rsid w:val="00DF778C"/>
    <w:rsid w:val="00E102E9"/>
    <w:rsid w:val="00E17E89"/>
    <w:rsid w:val="00E21FA5"/>
    <w:rsid w:val="00E230D4"/>
    <w:rsid w:val="00E25048"/>
    <w:rsid w:val="00E348F3"/>
    <w:rsid w:val="00E407D6"/>
    <w:rsid w:val="00E4119B"/>
    <w:rsid w:val="00E4184B"/>
    <w:rsid w:val="00E43E09"/>
    <w:rsid w:val="00E45C3A"/>
    <w:rsid w:val="00E4765F"/>
    <w:rsid w:val="00E56477"/>
    <w:rsid w:val="00E57266"/>
    <w:rsid w:val="00E632C8"/>
    <w:rsid w:val="00E74936"/>
    <w:rsid w:val="00E8401F"/>
    <w:rsid w:val="00E84D53"/>
    <w:rsid w:val="00E85864"/>
    <w:rsid w:val="00E916F3"/>
    <w:rsid w:val="00E9570A"/>
    <w:rsid w:val="00E969B4"/>
    <w:rsid w:val="00E97E85"/>
    <w:rsid w:val="00EA2E2A"/>
    <w:rsid w:val="00EA2F74"/>
    <w:rsid w:val="00EA31FF"/>
    <w:rsid w:val="00EA6531"/>
    <w:rsid w:val="00EA7EAC"/>
    <w:rsid w:val="00EB0F1C"/>
    <w:rsid w:val="00EB2769"/>
    <w:rsid w:val="00EB4917"/>
    <w:rsid w:val="00EB531F"/>
    <w:rsid w:val="00EB56D5"/>
    <w:rsid w:val="00EC11D3"/>
    <w:rsid w:val="00EC2113"/>
    <w:rsid w:val="00EC2961"/>
    <w:rsid w:val="00EC5AF1"/>
    <w:rsid w:val="00EC73A6"/>
    <w:rsid w:val="00EC7AB2"/>
    <w:rsid w:val="00ED0A2C"/>
    <w:rsid w:val="00ED25E4"/>
    <w:rsid w:val="00ED27F1"/>
    <w:rsid w:val="00ED500C"/>
    <w:rsid w:val="00ED5151"/>
    <w:rsid w:val="00EE07E5"/>
    <w:rsid w:val="00EE1B64"/>
    <w:rsid w:val="00EE3FF1"/>
    <w:rsid w:val="00EF1CBD"/>
    <w:rsid w:val="00EF2200"/>
    <w:rsid w:val="00EF36E5"/>
    <w:rsid w:val="00EF5F4A"/>
    <w:rsid w:val="00EF761D"/>
    <w:rsid w:val="00F02133"/>
    <w:rsid w:val="00F06F56"/>
    <w:rsid w:val="00F11480"/>
    <w:rsid w:val="00F11705"/>
    <w:rsid w:val="00F12F48"/>
    <w:rsid w:val="00F20136"/>
    <w:rsid w:val="00F25E18"/>
    <w:rsid w:val="00F3037A"/>
    <w:rsid w:val="00F32E63"/>
    <w:rsid w:val="00F37D5F"/>
    <w:rsid w:val="00F41057"/>
    <w:rsid w:val="00F4399A"/>
    <w:rsid w:val="00F44C73"/>
    <w:rsid w:val="00F4510C"/>
    <w:rsid w:val="00F45492"/>
    <w:rsid w:val="00F47C03"/>
    <w:rsid w:val="00F54660"/>
    <w:rsid w:val="00F55187"/>
    <w:rsid w:val="00F60299"/>
    <w:rsid w:val="00F6033F"/>
    <w:rsid w:val="00F60389"/>
    <w:rsid w:val="00F623EE"/>
    <w:rsid w:val="00F63786"/>
    <w:rsid w:val="00F661C1"/>
    <w:rsid w:val="00F750F9"/>
    <w:rsid w:val="00F767D1"/>
    <w:rsid w:val="00F775FC"/>
    <w:rsid w:val="00F8264C"/>
    <w:rsid w:val="00F933CE"/>
    <w:rsid w:val="00F948E8"/>
    <w:rsid w:val="00FA1D8B"/>
    <w:rsid w:val="00FA3454"/>
    <w:rsid w:val="00FA3FC2"/>
    <w:rsid w:val="00FA430D"/>
    <w:rsid w:val="00FA5C49"/>
    <w:rsid w:val="00FB281F"/>
    <w:rsid w:val="00FB6A6F"/>
    <w:rsid w:val="00FC0B8B"/>
    <w:rsid w:val="00FC3935"/>
    <w:rsid w:val="00FC3BC9"/>
    <w:rsid w:val="00FC6564"/>
    <w:rsid w:val="00FC676F"/>
    <w:rsid w:val="00FD387D"/>
    <w:rsid w:val="00FD7349"/>
    <w:rsid w:val="00FE1F83"/>
    <w:rsid w:val="00FE207C"/>
    <w:rsid w:val="00FE77C2"/>
    <w:rsid w:val="00FF1C8C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E31D4"/>
  <w14:defaultImageDpi w14:val="300"/>
  <w15:docId w15:val="{C1A92E89-F422-455F-B2B6-D35900D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F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22132"/>
    <w:pPr>
      <w:tabs>
        <w:tab w:val="left" w:pos="560"/>
        <w:tab w:val="right" w:leader="dot" w:pos="916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8A5"/>
    <w:pPr>
      <w:tabs>
        <w:tab w:val="left" w:pos="1134"/>
        <w:tab w:val="right" w:leader="dot" w:pos="9168"/>
      </w:tabs>
      <w:spacing w:after="100"/>
      <w:ind w:left="709" w:hanging="121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32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3245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324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0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018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6497F"/>
    <w:pPr>
      <w:spacing w:after="100"/>
      <w:ind w:left="480"/>
    </w:pPr>
  </w:style>
  <w:style w:type="paragraph" w:styleId="Revision">
    <w:name w:val="Revision"/>
    <w:hidden/>
    <w:uiPriority w:val="99"/>
    <w:semiHidden/>
    <w:rsid w:val="002E1085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2A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jwa.sharepoint.com/sites/intranet/department/standards/Pages/ops-standards.aspx" TargetMode="External"/><Relationship Id="rId18" Type="http://schemas.openxmlformats.org/officeDocument/2006/relationships/hyperlink" Target="https://www.telethonkids.org.au/projects/past/trans-pathways/" TargetMode="External"/><Relationship Id="rId26" Type="http://schemas.openxmlformats.org/officeDocument/2006/relationships/hyperlink" Target="https://dojwa.sharepoint.com/sites/intranet/prison-operations/Pages/bhdc-copp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bhdc-copps.aspx" TargetMode="External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s://childsafe.humanrights.gov.au/sites/default/files/2019-02/National_Principles_for_Child_Safe_Organisations2019.pdf" TargetMode="External"/><Relationship Id="rId17" Type="http://schemas.openxmlformats.org/officeDocument/2006/relationships/hyperlink" Target="https://www.lgbtiqhealth.org.au/" TargetMode="External"/><Relationship Id="rId25" Type="http://schemas.openxmlformats.org/officeDocument/2006/relationships/hyperlink" Target="https://dojwa.sharepoint.com/sites/intranet/prison-operations/Pages/bhdc-copps.aspx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ojwa.sharepoint.com/sites/intranet/prison-operations/Pages/bhdc-copps.aspx" TargetMode="External"/><Relationship Id="rId29" Type="http://schemas.openxmlformats.org/officeDocument/2006/relationships/hyperlink" Target="https://dojwa.sharepoint.com/sites/intranet/prison-operations/Pages/bhdc-copp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s.aspx" TargetMode="External"/><Relationship Id="rId32" Type="http://schemas.openxmlformats.org/officeDocument/2006/relationships/hyperlink" Target="https://dojwa.sharepoint.com/search/Pages/results.aspx?k=operational%20compliance&amp;ql=3081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dojwa.sharepoint.com/sites/intranet/prison-operations/Pages/bhdc-copps.aspx" TargetMode="External"/><Relationship Id="rId28" Type="http://schemas.openxmlformats.org/officeDocument/2006/relationships/hyperlink" Target="https://dojwa.sharepoint.com/sites/health-services" TargetMode="External"/><Relationship Id="rId36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31" Type="http://schemas.openxmlformats.org/officeDocument/2006/relationships/hyperlink" Target="https://dojwa.sharepoint.com/search/Pages/results.aspx?k=operational%20compliance&amp;ql=30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intranet/prison-operations/Pages/bhdc-copps.aspx" TargetMode="External"/><Relationship Id="rId27" Type="http://schemas.openxmlformats.org/officeDocument/2006/relationships/hyperlink" Target="https://dojwa.sharepoint.com/sites/intranet/prison-operations/Pages/bhdc-copps.aspx" TargetMode="External"/><Relationship Id="rId30" Type="http://schemas.openxmlformats.org/officeDocument/2006/relationships/hyperlink" Target="https://www.ccyp.wa.gov.au/media/2609/issues-paper-lgbti-children-and-young-people-october-2017.pdf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7.5 Trans, Gender Diverse and Intersex Detainees.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385B0-28A1-4E9C-9225-9786A89D1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3426</Words>
  <Characters>19534</Characters>
  <Application>Microsoft Office Word</Application>
  <DocSecurity>12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7.5 Trans, Gender Diverse and Intersex Detainees</vt:lpstr>
    </vt:vector>
  </TitlesOfParts>
  <Manager>Nimilandra.Nageswaran@correctiveservices.wa.gov.au</Manager>
  <Company>Department of Justice</Company>
  <LinksUpToDate>false</LinksUpToDate>
  <CharactersWithSpaces>22915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7.5 Trans, Gender Diverse and Intersex Detainees</dc:title>
  <dc:subject/>
  <dc:creator>Rumbol</dc:creator>
  <cp:keywords>Commissioner's Operating Policy and Procedure (COPP); Prison Operations; Adult Custodial; Procedures; Policies; 7.5; Intersex; Gender; Male; Female; Diverse; Identify as.</cp:keywords>
  <dc:description/>
  <cp:lastModifiedBy>Maris Margetts</cp:lastModifiedBy>
  <cp:revision>2</cp:revision>
  <cp:lastPrinted>2019-03-08T06:48:00Z</cp:lastPrinted>
  <dcterms:created xsi:type="dcterms:W3CDTF">2025-07-04T06:39:00Z</dcterms:created>
  <dcterms:modified xsi:type="dcterms:W3CDTF">2025-07-04T06:39:00Z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