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494E" w14:textId="52471655" w:rsidR="00146739" w:rsidRPr="002E5756" w:rsidRDefault="003102E0" w:rsidP="002E5756">
      <w:pPr>
        <w:pStyle w:val="Title"/>
      </w:pPr>
      <w:r>
        <w:t xml:space="preserve">COPP </w:t>
      </w:r>
      <w:r w:rsidR="000656A2">
        <w:t xml:space="preserve">8.5 </w:t>
      </w:r>
      <w:r w:rsidR="00D83D90">
        <w:t>Allegations</w:t>
      </w:r>
    </w:p>
    <w:p w14:paraId="4ADF2CB2" w14:textId="69FC951B" w:rsidR="000D69A3" w:rsidRPr="00EA7EAC" w:rsidRDefault="0038422B" w:rsidP="00EA7EAC">
      <w:pPr>
        <w:pStyle w:val="Subtitle"/>
      </w:pPr>
      <w:r>
        <w:t>Youth</w:t>
      </w:r>
      <w:r w:rsidR="00A547EA">
        <w:t xml:space="preserve"> Detention Centre</w:t>
      </w:r>
      <w:r w:rsidR="001841AD">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7C3567FE" w14:textId="77777777" w:rsidTr="008D77C7">
        <w:trPr>
          <w:trHeight w:val="13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6EC29023" w14:textId="562108E0" w:rsidR="00126611" w:rsidRPr="00365E34" w:rsidRDefault="00126611" w:rsidP="00126611">
            <w:pPr>
              <w:pStyle w:val="Heading"/>
            </w:pPr>
            <w:bookmarkStart w:id="0" w:name="_Toc25127847"/>
            <w:r>
              <w:t>Principles</w:t>
            </w:r>
            <w:bookmarkEnd w:id="0"/>
            <w:r w:rsidR="00791E01">
              <w:t xml:space="preserve"> </w:t>
            </w:r>
            <w:r w:rsidR="00791E01" w:rsidRPr="00791E01">
              <w:t>and Standards</w:t>
            </w:r>
          </w:p>
          <w:p w14:paraId="3272475A" w14:textId="2FDF2060" w:rsidR="00022FF3" w:rsidRDefault="00E25750" w:rsidP="006D219B">
            <w:pPr>
              <w:pStyle w:val="Instructionalnote"/>
            </w:pPr>
            <w:r w:rsidRPr="00E25750">
              <w:t xml:space="preserve">In context of the </w:t>
            </w:r>
          </w:p>
          <w:p w14:paraId="6528147F" w14:textId="77777777" w:rsidR="006A0F78" w:rsidRDefault="006A0F78" w:rsidP="00E25750">
            <w:pPr>
              <w:pStyle w:val="Instructionalnote"/>
            </w:pPr>
          </w:p>
          <w:p w14:paraId="3C71836B" w14:textId="266B731A" w:rsidR="00453790" w:rsidRPr="0077394F" w:rsidRDefault="00961B9B" w:rsidP="00453790">
            <w:pPr>
              <w:pStyle w:val="Instructionalnote"/>
            </w:pPr>
            <w:hyperlink r:id="rId11" w:history="1">
              <w:r w:rsidR="00453790" w:rsidRPr="008D77C7">
                <w:rPr>
                  <w:rStyle w:val="Hyperlink"/>
                  <w:bCs/>
                </w:rPr>
                <w:t>Australian Human Rights Commission National Principles for Child Safe Organisations, 2018</w:t>
              </w:r>
            </w:hyperlink>
          </w:p>
          <w:p w14:paraId="72EBE04A" w14:textId="77777777" w:rsidR="00103E91" w:rsidRPr="0077394F" w:rsidRDefault="00103E91" w:rsidP="0077394F">
            <w:pPr>
              <w:pStyle w:val="Instructionalnote"/>
            </w:pPr>
          </w:p>
          <w:p w14:paraId="50FA6C85" w14:textId="6D647C19" w:rsidR="001D53AB" w:rsidRPr="008D77C7" w:rsidRDefault="001D53AB" w:rsidP="00453790">
            <w:pPr>
              <w:pStyle w:val="Instructionalnote"/>
              <w:rPr>
                <w:bCs/>
              </w:rPr>
            </w:pPr>
            <w:r w:rsidRPr="008D77C7">
              <w:rPr>
                <w:bCs/>
              </w:rPr>
              <w:t>Risk management strategies focus on preventing, identifying and mitigating risks to children and young people.</w:t>
            </w:r>
          </w:p>
          <w:p w14:paraId="42F9CC1C" w14:textId="77777777" w:rsidR="001D53AB" w:rsidRPr="008D77C7" w:rsidRDefault="001D53AB" w:rsidP="00453790">
            <w:pPr>
              <w:pStyle w:val="Instructionalnote"/>
              <w:rPr>
                <w:bCs/>
              </w:rPr>
            </w:pPr>
          </w:p>
          <w:p w14:paraId="2C8D5ABB" w14:textId="19F11A48" w:rsidR="001D53AB" w:rsidRPr="008D77C7" w:rsidRDefault="001D53AB" w:rsidP="00453790">
            <w:pPr>
              <w:pStyle w:val="Instructionalnote"/>
              <w:rPr>
                <w:bCs/>
              </w:rPr>
            </w:pPr>
            <w:r w:rsidRPr="008D77C7">
              <w:rPr>
                <w:bCs/>
              </w:rPr>
              <w:t xml:space="preserve">The organisation, including staff and volunteers, understands children and young people’s diverse </w:t>
            </w:r>
            <w:r w:rsidR="00ED090B" w:rsidRPr="008D77C7">
              <w:rPr>
                <w:bCs/>
              </w:rPr>
              <w:t>circumstances,</w:t>
            </w:r>
            <w:r w:rsidRPr="008D77C7">
              <w:rPr>
                <w:bCs/>
              </w:rPr>
              <w:t xml:space="preserve"> and provides support and responds to those who are vulnerable.</w:t>
            </w:r>
          </w:p>
          <w:p w14:paraId="3EA725AD" w14:textId="77777777" w:rsidR="00453790" w:rsidRPr="0077394F" w:rsidRDefault="00453790" w:rsidP="0077394F">
            <w:pPr>
              <w:pStyle w:val="Instructionalnote"/>
            </w:pPr>
          </w:p>
          <w:p w14:paraId="2D5D3AC3" w14:textId="6AB1F9E5" w:rsidR="00453790" w:rsidRPr="00453790" w:rsidRDefault="00961B9B" w:rsidP="00453790">
            <w:pPr>
              <w:pStyle w:val="Instructionalnote"/>
              <w:rPr>
                <w:bCs/>
              </w:rPr>
            </w:pPr>
            <w:hyperlink r:id="rId12" w:history="1">
              <w:r w:rsidR="00453790" w:rsidRPr="001A1099">
                <w:rPr>
                  <w:rStyle w:val="Hyperlink"/>
                  <w:bCs/>
                </w:rPr>
                <w:t>Australasian Youth Justice Administrators Standards, 2009</w:t>
              </w:r>
            </w:hyperlink>
          </w:p>
          <w:p w14:paraId="78B91C44" w14:textId="77777777" w:rsidR="00582FC7" w:rsidRPr="008D77C7" w:rsidRDefault="00582FC7" w:rsidP="00582FC7">
            <w:pPr>
              <w:pStyle w:val="Instructionalnote"/>
              <w:rPr>
                <w:bCs/>
              </w:rPr>
            </w:pPr>
          </w:p>
          <w:p w14:paraId="5EB9640A" w14:textId="77777777" w:rsidR="00582FC7" w:rsidRPr="008D77C7" w:rsidRDefault="00582FC7" w:rsidP="00582FC7">
            <w:pPr>
              <w:pStyle w:val="Instructionalnote"/>
              <w:rPr>
                <w:bCs/>
              </w:rPr>
            </w:pPr>
            <w:r w:rsidRPr="008D77C7">
              <w:rPr>
                <w:bCs/>
              </w:rPr>
              <w:t>Principles of procedural justice are applied.</w:t>
            </w:r>
          </w:p>
          <w:p w14:paraId="093FB02C" w14:textId="77777777" w:rsidR="00582FC7" w:rsidRPr="008D77C7" w:rsidRDefault="00582FC7" w:rsidP="00582FC7">
            <w:pPr>
              <w:pStyle w:val="Instructionalnote"/>
              <w:rPr>
                <w:bCs/>
              </w:rPr>
            </w:pPr>
          </w:p>
          <w:p w14:paraId="1185AC16" w14:textId="77777777" w:rsidR="00022FF3" w:rsidRDefault="00582FC7" w:rsidP="008D77C7">
            <w:pPr>
              <w:pStyle w:val="Instructionalnote"/>
              <w:rPr>
                <w:bCs/>
              </w:rPr>
            </w:pPr>
            <w:r w:rsidRPr="008D77C7">
              <w:rPr>
                <w:bCs/>
              </w:rPr>
              <w:t>Victims’ rights and responsibilities are upheld.</w:t>
            </w:r>
          </w:p>
          <w:p w14:paraId="7F62CFAC" w14:textId="77777777" w:rsidR="001841AD" w:rsidRDefault="001841AD" w:rsidP="008D77C7">
            <w:pPr>
              <w:pStyle w:val="Instructionalnote"/>
              <w:rPr>
                <w:bCs/>
                <w:u w:val="single"/>
              </w:rPr>
            </w:pPr>
          </w:p>
          <w:p w14:paraId="01A1698D" w14:textId="6519E954" w:rsidR="001841AD" w:rsidRDefault="00961B9B" w:rsidP="00CC7214">
            <w:pPr>
              <w:pStyle w:val="Instructionalnote"/>
              <w:rPr>
                <w:rStyle w:val="Hyperlink"/>
                <w:bCs/>
              </w:rPr>
            </w:pPr>
            <w:hyperlink r:id="rId13" w:history="1">
              <w:r w:rsidR="001841AD" w:rsidRPr="001841AD">
                <w:rPr>
                  <w:rStyle w:val="Hyperlink"/>
                  <w:bCs/>
                </w:rPr>
                <w:t>Child Safety and Wellbeing</w:t>
              </w:r>
              <w:r w:rsidR="00B4483D">
                <w:rPr>
                  <w:rStyle w:val="Hyperlink"/>
                  <w:bCs/>
                </w:rPr>
                <w:t xml:space="preserve"> </w:t>
              </w:r>
              <w:r w:rsidR="001841AD" w:rsidRPr="001841AD">
                <w:rPr>
                  <w:rStyle w:val="Hyperlink"/>
                  <w:bCs/>
                </w:rPr>
                <w:t>Policy</w:t>
              </w:r>
            </w:hyperlink>
          </w:p>
          <w:p w14:paraId="3DC95701" w14:textId="77777777" w:rsidR="00ED090B" w:rsidRPr="001841AD" w:rsidRDefault="00ED090B" w:rsidP="00CC7214">
            <w:pPr>
              <w:pStyle w:val="Instructionalnote"/>
              <w:rPr>
                <w:rStyle w:val="Hyperlink"/>
                <w:bCs/>
              </w:rPr>
            </w:pPr>
          </w:p>
          <w:p w14:paraId="462F90DE" w14:textId="77777777" w:rsidR="001841AD" w:rsidRDefault="00961B9B" w:rsidP="008D77C7">
            <w:pPr>
              <w:pStyle w:val="Instructionalnote"/>
              <w:rPr>
                <w:rStyle w:val="Hyperlink"/>
                <w:bCs/>
              </w:rPr>
            </w:pPr>
            <w:hyperlink r:id="rId14" w:history="1">
              <w:r w:rsidR="001841AD" w:rsidRPr="001841AD">
                <w:rPr>
                  <w:rStyle w:val="Hyperlink"/>
                  <w:bCs/>
                </w:rPr>
                <w:t>Reporting Concerns for the Wellbeing of a Child Procedures</w:t>
              </w:r>
            </w:hyperlink>
          </w:p>
          <w:p w14:paraId="21740D78" w14:textId="705A3DF8" w:rsidR="002161F7" w:rsidRPr="00AA47EA" w:rsidRDefault="002161F7" w:rsidP="008D77C7">
            <w:pPr>
              <w:pStyle w:val="Instructionalnote"/>
              <w:rPr>
                <w:color w:val="0000FF"/>
                <w:u w:val="single"/>
              </w:rPr>
            </w:pPr>
          </w:p>
        </w:tc>
      </w:tr>
    </w:tbl>
    <w:p w14:paraId="3976B5FD" w14:textId="77777777" w:rsidR="00121E10" w:rsidRDefault="00121E10" w:rsidP="00803710">
      <w:pPr>
        <w:rPr>
          <w:b/>
        </w:rPr>
        <w:sectPr w:rsidR="00121E10" w:rsidSect="002E5756">
          <w:headerReference w:type="even" r:id="rId15"/>
          <w:headerReference w:type="default" r:id="rId16"/>
          <w:footerReference w:type="even" r:id="rId17"/>
          <w:footerReference w:type="default" r:id="rId18"/>
          <w:headerReference w:type="first" r:id="rId19"/>
          <w:footerReference w:type="first" r:id="rId20"/>
          <w:type w:val="continuous"/>
          <w:pgSz w:w="11900" w:h="16840"/>
          <w:pgMar w:top="1418" w:right="1418" w:bottom="1440" w:left="1304" w:header="567" w:footer="709" w:gutter="0"/>
          <w:cols w:space="708"/>
          <w:titlePg/>
          <w:docGrid w:linePitch="360"/>
        </w:sectPr>
      </w:pPr>
    </w:p>
    <w:p w14:paraId="1DE9DC0B" w14:textId="77777777" w:rsidR="006D219B" w:rsidRDefault="006D219B" w:rsidP="0039700A">
      <w:pPr>
        <w:pStyle w:val="Heading"/>
      </w:pPr>
      <w:bookmarkStart w:id="1" w:name="_Toc23771100"/>
    </w:p>
    <w:p w14:paraId="2FAB4B51" w14:textId="77777777" w:rsidR="006D219B" w:rsidRDefault="006D219B" w:rsidP="0039700A">
      <w:pPr>
        <w:pStyle w:val="Heading"/>
      </w:pPr>
    </w:p>
    <w:p w14:paraId="59753A8A" w14:textId="77777777" w:rsidR="006D219B" w:rsidRDefault="006D219B" w:rsidP="0039700A">
      <w:pPr>
        <w:pStyle w:val="Heading"/>
      </w:pPr>
    </w:p>
    <w:p w14:paraId="0153B15B" w14:textId="77777777" w:rsidR="006D219B" w:rsidRDefault="006D219B" w:rsidP="0039700A">
      <w:pPr>
        <w:pStyle w:val="Heading"/>
      </w:pPr>
    </w:p>
    <w:p w14:paraId="02C78EC9" w14:textId="77777777" w:rsidR="006D219B" w:rsidRDefault="006D219B" w:rsidP="0039700A">
      <w:pPr>
        <w:pStyle w:val="Heading"/>
      </w:pPr>
    </w:p>
    <w:p w14:paraId="3CBD5444" w14:textId="77777777" w:rsidR="006D219B" w:rsidRDefault="006D219B" w:rsidP="0039700A">
      <w:pPr>
        <w:pStyle w:val="Heading"/>
      </w:pPr>
    </w:p>
    <w:p w14:paraId="4A26FA2A" w14:textId="04D99F39" w:rsidR="00F320CB" w:rsidRPr="00AF7DDC" w:rsidRDefault="0039700A" w:rsidP="0039700A">
      <w:pPr>
        <w:pStyle w:val="Heading"/>
      </w:pPr>
      <w:r w:rsidRPr="00AF7DDC">
        <w:lastRenderedPageBreak/>
        <w:t>Contents</w:t>
      </w:r>
      <w:bookmarkEnd w:id="1"/>
    </w:p>
    <w:p w14:paraId="0275791E" w14:textId="7B1813B3" w:rsidR="00B4483D" w:rsidRDefault="00475046">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r>
        <w:fldChar w:fldCharType="begin"/>
      </w:r>
      <w:r>
        <w:instrText xml:space="preserve"> TOC \o "1-2" \h \z \u </w:instrText>
      </w:r>
      <w:r>
        <w:fldChar w:fldCharType="separate"/>
      </w:r>
      <w:hyperlink w:anchor="_Toc196977255" w:history="1">
        <w:r w:rsidR="00B4483D" w:rsidRPr="00DF7176">
          <w:rPr>
            <w:rStyle w:val="Hyperlink"/>
            <w:noProof/>
          </w:rPr>
          <w:t>1</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Scope</w:t>
        </w:r>
        <w:r w:rsidR="00B4483D">
          <w:rPr>
            <w:noProof/>
            <w:webHidden/>
          </w:rPr>
          <w:tab/>
        </w:r>
        <w:r w:rsidR="00B4483D">
          <w:rPr>
            <w:noProof/>
            <w:webHidden/>
          </w:rPr>
          <w:fldChar w:fldCharType="begin"/>
        </w:r>
        <w:r w:rsidR="00B4483D">
          <w:rPr>
            <w:noProof/>
            <w:webHidden/>
          </w:rPr>
          <w:instrText xml:space="preserve"> PAGEREF _Toc196977255 \h </w:instrText>
        </w:r>
        <w:r w:rsidR="00B4483D">
          <w:rPr>
            <w:noProof/>
            <w:webHidden/>
          </w:rPr>
        </w:r>
        <w:r w:rsidR="00B4483D">
          <w:rPr>
            <w:noProof/>
            <w:webHidden/>
          </w:rPr>
          <w:fldChar w:fldCharType="separate"/>
        </w:r>
        <w:r w:rsidR="00B4483D">
          <w:rPr>
            <w:noProof/>
            <w:webHidden/>
          </w:rPr>
          <w:t>3</w:t>
        </w:r>
        <w:r w:rsidR="00B4483D">
          <w:rPr>
            <w:noProof/>
            <w:webHidden/>
          </w:rPr>
          <w:fldChar w:fldCharType="end"/>
        </w:r>
      </w:hyperlink>
    </w:p>
    <w:p w14:paraId="6FB427E5" w14:textId="756C897B" w:rsidR="00B4483D" w:rsidRDefault="00961B9B">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196977256" w:history="1">
        <w:r w:rsidR="00B4483D" w:rsidRPr="00DF7176">
          <w:rPr>
            <w:rStyle w:val="Hyperlink"/>
            <w:noProof/>
          </w:rPr>
          <w:t>2</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Policy</w:t>
        </w:r>
        <w:r w:rsidR="00B4483D">
          <w:rPr>
            <w:noProof/>
            <w:webHidden/>
          </w:rPr>
          <w:tab/>
        </w:r>
        <w:r w:rsidR="00B4483D">
          <w:rPr>
            <w:noProof/>
            <w:webHidden/>
          </w:rPr>
          <w:fldChar w:fldCharType="begin"/>
        </w:r>
        <w:r w:rsidR="00B4483D">
          <w:rPr>
            <w:noProof/>
            <w:webHidden/>
          </w:rPr>
          <w:instrText xml:space="preserve"> PAGEREF _Toc196977256 \h </w:instrText>
        </w:r>
        <w:r w:rsidR="00B4483D">
          <w:rPr>
            <w:noProof/>
            <w:webHidden/>
          </w:rPr>
        </w:r>
        <w:r w:rsidR="00B4483D">
          <w:rPr>
            <w:noProof/>
            <w:webHidden/>
          </w:rPr>
          <w:fldChar w:fldCharType="separate"/>
        </w:r>
        <w:r w:rsidR="00B4483D">
          <w:rPr>
            <w:noProof/>
            <w:webHidden/>
          </w:rPr>
          <w:t>3</w:t>
        </w:r>
        <w:r w:rsidR="00B4483D">
          <w:rPr>
            <w:noProof/>
            <w:webHidden/>
          </w:rPr>
          <w:fldChar w:fldCharType="end"/>
        </w:r>
      </w:hyperlink>
    </w:p>
    <w:p w14:paraId="6D6B7EA4" w14:textId="277F0B79" w:rsidR="00B4483D" w:rsidRDefault="00961B9B">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196977257" w:history="1">
        <w:r w:rsidR="00B4483D" w:rsidRPr="00DF7176">
          <w:rPr>
            <w:rStyle w:val="Hyperlink"/>
            <w:noProof/>
          </w:rPr>
          <w:t>3</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Procedures for all allegations where the alleged offence occurred in community or custody settings (excluding child sexual abuse)</w:t>
        </w:r>
        <w:r w:rsidR="00B4483D">
          <w:rPr>
            <w:noProof/>
            <w:webHidden/>
          </w:rPr>
          <w:tab/>
        </w:r>
        <w:r w:rsidR="00B4483D">
          <w:rPr>
            <w:noProof/>
            <w:webHidden/>
          </w:rPr>
          <w:fldChar w:fldCharType="begin"/>
        </w:r>
        <w:r w:rsidR="00B4483D">
          <w:rPr>
            <w:noProof/>
            <w:webHidden/>
          </w:rPr>
          <w:instrText xml:space="preserve"> PAGEREF _Toc196977257 \h </w:instrText>
        </w:r>
        <w:r w:rsidR="00B4483D">
          <w:rPr>
            <w:noProof/>
            <w:webHidden/>
          </w:rPr>
        </w:r>
        <w:r w:rsidR="00B4483D">
          <w:rPr>
            <w:noProof/>
            <w:webHidden/>
          </w:rPr>
          <w:fldChar w:fldCharType="separate"/>
        </w:r>
        <w:r w:rsidR="00B4483D">
          <w:rPr>
            <w:noProof/>
            <w:webHidden/>
          </w:rPr>
          <w:t>4</w:t>
        </w:r>
        <w:r w:rsidR="00B4483D">
          <w:rPr>
            <w:noProof/>
            <w:webHidden/>
          </w:rPr>
          <w:fldChar w:fldCharType="end"/>
        </w:r>
      </w:hyperlink>
    </w:p>
    <w:p w14:paraId="4FE6537C" w14:textId="445F7282"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58" w:history="1">
        <w:r w:rsidR="00B4483D" w:rsidRPr="00DF7176">
          <w:rPr>
            <w:rStyle w:val="Hyperlink"/>
            <w:noProof/>
          </w:rPr>
          <w:t>3.1</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Immediate considerations</w:t>
        </w:r>
        <w:r w:rsidR="00B4483D">
          <w:rPr>
            <w:noProof/>
            <w:webHidden/>
          </w:rPr>
          <w:tab/>
        </w:r>
        <w:r w:rsidR="00B4483D">
          <w:rPr>
            <w:noProof/>
            <w:webHidden/>
          </w:rPr>
          <w:fldChar w:fldCharType="begin"/>
        </w:r>
        <w:r w:rsidR="00B4483D">
          <w:rPr>
            <w:noProof/>
            <w:webHidden/>
          </w:rPr>
          <w:instrText xml:space="preserve"> PAGEREF _Toc196977258 \h </w:instrText>
        </w:r>
        <w:r w:rsidR="00B4483D">
          <w:rPr>
            <w:noProof/>
            <w:webHidden/>
          </w:rPr>
        </w:r>
        <w:r w:rsidR="00B4483D">
          <w:rPr>
            <w:noProof/>
            <w:webHidden/>
          </w:rPr>
          <w:fldChar w:fldCharType="separate"/>
        </w:r>
        <w:r w:rsidR="00B4483D">
          <w:rPr>
            <w:noProof/>
            <w:webHidden/>
          </w:rPr>
          <w:t>4</w:t>
        </w:r>
        <w:r w:rsidR="00B4483D">
          <w:rPr>
            <w:noProof/>
            <w:webHidden/>
          </w:rPr>
          <w:fldChar w:fldCharType="end"/>
        </w:r>
      </w:hyperlink>
    </w:p>
    <w:p w14:paraId="521DAA44" w14:textId="1EDA6E85"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59" w:history="1">
        <w:r w:rsidR="00B4483D" w:rsidRPr="00DF7176">
          <w:rPr>
            <w:rStyle w:val="Hyperlink"/>
            <w:noProof/>
          </w:rPr>
          <w:t>3.2</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Ongoing safety and welfare</w:t>
        </w:r>
        <w:r w:rsidR="00B4483D">
          <w:rPr>
            <w:noProof/>
            <w:webHidden/>
          </w:rPr>
          <w:tab/>
        </w:r>
        <w:r w:rsidR="00B4483D">
          <w:rPr>
            <w:noProof/>
            <w:webHidden/>
          </w:rPr>
          <w:fldChar w:fldCharType="begin"/>
        </w:r>
        <w:r w:rsidR="00B4483D">
          <w:rPr>
            <w:noProof/>
            <w:webHidden/>
          </w:rPr>
          <w:instrText xml:space="preserve"> PAGEREF _Toc196977259 \h </w:instrText>
        </w:r>
        <w:r w:rsidR="00B4483D">
          <w:rPr>
            <w:noProof/>
            <w:webHidden/>
          </w:rPr>
        </w:r>
        <w:r w:rsidR="00B4483D">
          <w:rPr>
            <w:noProof/>
            <w:webHidden/>
          </w:rPr>
          <w:fldChar w:fldCharType="separate"/>
        </w:r>
        <w:r w:rsidR="00B4483D">
          <w:rPr>
            <w:noProof/>
            <w:webHidden/>
          </w:rPr>
          <w:t>4</w:t>
        </w:r>
        <w:r w:rsidR="00B4483D">
          <w:rPr>
            <w:noProof/>
            <w:webHidden/>
          </w:rPr>
          <w:fldChar w:fldCharType="end"/>
        </w:r>
      </w:hyperlink>
    </w:p>
    <w:p w14:paraId="5719D3F5" w14:textId="5EDFD6B5"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60" w:history="1">
        <w:r w:rsidR="00B4483D" w:rsidRPr="00DF7176">
          <w:rPr>
            <w:rStyle w:val="Hyperlink"/>
            <w:noProof/>
          </w:rPr>
          <w:t>3.3</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Escalation, evidence preservation and initial notifications</w:t>
        </w:r>
        <w:r w:rsidR="00B4483D">
          <w:rPr>
            <w:noProof/>
            <w:webHidden/>
          </w:rPr>
          <w:tab/>
        </w:r>
        <w:r w:rsidR="00B4483D">
          <w:rPr>
            <w:noProof/>
            <w:webHidden/>
          </w:rPr>
          <w:fldChar w:fldCharType="begin"/>
        </w:r>
        <w:r w:rsidR="00B4483D">
          <w:rPr>
            <w:noProof/>
            <w:webHidden/>
          </w:rPr>
          <w:instrText xml:space="preserve"> PAGEREF _Toc196977260 \h </w:instrText>
        </w:r>
        <w:r w:rsidR="00B4483D">
          <w:rPr>
            <w:noProof/>
            <w:webHidden/>
          </w:rPr>
        </w:r>
        <w:r w:rsidR="00B4483D">
          <w:rPr>
            <w:noProof/>
            <w:webHidden/>
          </w:rPr>
          <w:fldChar w:fldCharType="separate"/>
        </w:r>
        <w:r w:rsidR="00B4483D">
          <w:rPr>
            <w:noProof/>
            <w:webHidden/>
          </w:rPr>
          <w:t>4</w:t>
        </w:r>
        <w:r w:rsidR="00B4483D">
          <w:rPr>
            <w:noProof/>
            <w:webHidden/>
          </w:rPr>
          <w:fldChar w:fldCharType="end"/>
        </w:r>
      </w:hyperlink>
    </w:p>
    <w:p w14:paraId="14E5555E" w14:textId="5BBB6C5C"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61" w:history="1">
        <w:r w:rsidR="00B4483D" w:rsidRPr="00DF7176">
          <w:rPr>
            <w:rStyle w:val="Hyperlink"/>
            <w:noProof/>
          </w:rPr>
          <w:t>3.4</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Professional Referral Process</w:t>
        </w:r>
        <w:r w:rsidR="00B4483D">
          <w:rPr>
            <w:noProof/>
            <w:webHidden/>
          </w:rPr>
          <w:tab/>
        </w:r>
        <w:r w:rsidR="00B4483D">
          <w:rPr>
            <w:noProof/>
            <w:webHidden/>
          </w:rPr>
          <w:fldChar w:fldCharType="begin"/>
        </w:r>
        <w:r w:rsidR="00B4483D">
          <w:rPr>
            <w:noProof/>
            <w:webHidden/>
          </w:rPr>
          <w:instrText xml:space="preserve"> PAGEREF _Toc196977261 \h </w:instrText>
        </w:r>
        <w:r w:rsidR="00B4483D">
          <w:rPr>
            <w:noProof/>
            <w:webHidden/>
          </w:rPr>
        </w:r>
        <w:r w:rsidR="00B4483D">
          <w:rPr>
            <w:noProof/>
            <w:webHidden/>
          </w:rPr>
          <w:fldChar w:fldCharType="separate"/>
        </w:r>
        <w:r w:rsidR="00B4483D">
          <w:rPr>
            <w:noProof/>
            <w:webHidden/>
          </w:rPr>
          <w:t>6</w:t>
        </w:r>
        <w:r w:rsidR="00B4483D">
          <w:rPr>
            <w:noProof/>
            <w:webHidden/>
          </w:rPr>
          <w:fldChar w:fldCharType="end"/>
        </w:r>
      </w:hyperlink>
    </w:p>
    <w:p w14:paraId="3D08B830" w14:textId="5210B825"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62" w:history="1">
        <w:r w:rsidR="00B4483D" w:rsidRPr="00DF7176">
          <w:rPr>
            <w:rStyle w:val="Hyperlink"/>
            <w:noProof/>
          </w:rPr>
          <w:t>3.5</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Additional Notifications</w:t>
        </w:r>
        <w:r w:rsidR="00B4483D">
          <w:rPr>
            <w:noProof/>
            <w:webHidden/>
          </w:rPr>
          <w:tab/>
        </w:r>
        <w:r w:rsidR="00B4483D">
          <w:rPr>
            <w:noProof/>
            <w:webHidden/>
          </w:rPr>
          <w:fldChar w:fldCharType="begin"/>
        </w:r>
        <w:r w:rsidR="00B4483D">
          <w:rPr>
            <w:noProof/>
            <w:webHidden/>
          </w:rPr>
          <w:instrText xml:space="preserve"> PAGEREF _Toc196977262 \h </w:instrText>
        </w:r>
        <w:r w:rsidR="00B4483D">
          <w:rPr>
            <w:noProof/>
            <w:webHidden/>
          </w:rPr>
        </w:r>
        <w:r w:rsidR="00B4483D">
          <w:rPr>
            <w:noProof/>
            <w:webHidden/>
          </w:rPr>
          <w:fldChar w:fldCharType="separate"/>
        </w:r>
        <w:r w:rsidR="00B4483D">
          <w:rPr>
            <w:noProof/>
            <w:webHidden/>
          </w:rPr>
          <w:t>6</w:t>
        </w:r>
        <w:r w:rsidR="00B4483D">
          <w:rPr>
            <w:noProof/>
            <w:webHidden/>
          </w:rPr>
          <w:fldChar w:fldCharType="end"/>
        </w:r>
      </w:hyperlink>
    </w:p>
    <w:p w14:paraId="128ED664" w14:textId="0C5F30A5"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63" w:history="1">
        <w:r w:rsidR="00B4483D" w:rsidRPr="00DF7176">
          <w:rPr>
            <w:rStyle w:val="Hyperlink"/>
            <w:noProof/>
          </w:rPr>
          <w:t>3.6</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Ongoing support and referrals</w:t>
        </w:r>
        <w:r w:rsidR="00B4483D">
          <w:rPr>
            <w:noProof/>
            <w:webHidden/>
          </w:rPr>
          <w:tab/>
        </w:r>
        <w:r w:rsidR="00B4483D">
          <w:rPr>
            <w:noProof/>
            <w:webHidden/>
          </w:rPr>
          <w:fldChar w:fldCharType="begin"/>
        </w:r>
        <w:r w:rsidR="00B4483D">
          <w:rPr>
            <w:noProof/>
            <w:webHidden/>
          </w:rPr>
          <w:instrText xml:space="preserve"> PAGEREF _Toc196977263 \h </w:instrText>
        </w:r>
        <w:r w:rsidR="00B4483D">
          <w:rPr>
            <w:noProof/>
            <w:webHidden/>
          </w:rPr>
        </w:r>
        <w:r w:rsidR="00B4483D">
          <w:rPr>
            <w:noProof/>
            <w:webHidden/>
          </w:rPr>
          <w:fldChar w:fldCharType="separate"/>
        </w:r>
        <w:r w:rsidR="00B4483D">
          <w:rPr>
            <w:noProof/>
            <w:webHidden/>
          </w:rPr>
          <w:t>7</w:t>
        </w:r>
        <w:r w:rsidR="00B4483D">
          <w:rPr>
            <w:noProof/>
            <w:webHidden/>
          </w:rPr>
          <w:fldChar w:fldCharType="end"/>
        </w:r>
      </w:hyperlink>
    </w:p>
    <w:p w14:paraId="0CC382B6" w14:textId="54331F04"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64" w:history="1">
        <w:r w:rsidR="00B4483D" w:rsidRPr="00DF7176">
          <w:rPr>
            <w:rStyle w:val="Hyperlink"/>
            <w:noProof/>
          </w:rPr>
          <w:t>3.7</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Documentation</w:t>
        </w:r>
        <w:r w:rsidR="00B4483D">
          <w:rPr>
            <w:noProof/>
            <w:webHidden/>
          </w:rPr>
          <w:tab/>
        </w:r>
        <w:r w:rsidR="00B4483D">
          <w:rPr>
            <w:noProof/>
            <w:webHidden/>
          </w:rPr>
          <w:fldChar w:fldCharType="begin"/>
        </w:r>
        <w:r w:rsidR="00B4483D">
          <w:rPr>
            <w:noProof/>
            <w:webHidden/>
          </w:rPr>
          <w:instrText xml:space="preserve"> PAGEREF _Toc196977264 \h </w:instrText>
        </w:r>
        <w:r w:rsidR="00B4483D">
          <w:rPr>
            <w:noProof/>
            <w:webHidden/>
          </w:rPr>
        </w:r>
        <w:r w:rsidR="00B4483D">
          <w:rPr>
            <w:noProof/>
            <w:webHidden/>
          </w:rPr>
          <w:fldChar w:fldCharType="separate"/>
        </w:r>
        <w:r w:rsidR="00B4483D">
          <w:rPr>
            <w:noProof/>
            <w:webHidden/>
          </w:rPr>
          <w:t>7</w:t>
        </w:r>
        <w:r w:rsidR="00B4483D">
          <w:rPr>
            <w:noProof/>
            <w:webHidden/>
          </w:rPr>
          <w:fldChar w:fldCharType="end"/>
        </w:r>
      </w:hyperlink>
    </w:p>
    <w:p w14:paraId="437A456D" w14:textId="1146CA5B"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65" w:history="1">
        <w:r w:rsidR="00B4483D" w:rsidRPr="00DF7176">
          <w:rPr>
            <w:rStyle w:val="Hyperlink"/>
            <w:noProof/>
          </w:rPr>
          <w:t>3.8</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Incident reporting and internal investigation</w:t>
        </w:r>
        <w:r w:rsidR="00B4483D">
          <w:rPr>
            <w:noProof/>
            <w:webHidden/>
          </w:rPr>
          <w:tab/>
        </w:r>
        <w:r w:rsidR="00B4483D">
          <w:rPr>
            <w:noProof/>
            <w:webHidden/>
          </w:rPr>
          <w:fldChar w:fldCharType="begin"/>
        </w:r>
        <w:r w:rsidR="00B4483D">
          <w:rPr>
            <w:noProof/>
            <w:webHidden/>
          </w:rPr>
          <w:instrText xml:space="preserve"> PAGEREF _Toc196977265 \h </w:instrText>
        </w:r>
        <w:r w:rsidR="00B4483D">
          <w:rPr>
            <w:noProof/>
            <w:webHidden/>
          </w:rPr>
        </w:r>
        <w:r w:rsidR="00B4483D">
          <w:rPr>
            <w:noProof/>
            <w:webHidden/>
          </w:rPr>
          <w:fldChar w:fldCharType="separate"/>
        </w:r>
        <w:r w:rsidR="00B4483D">
          <w:rPr>
            <w:noProof/>
            <w:webHidden/>
          </w:rPr>
          <w:t>8</w:t>
        </w:r>
        <w:r w:rsidR="00B4483D">
          <w:rPr>
            <w:noProof/>
            <w:webHidden/>
          </w:rPr>
          <w:fldChar w:fldCharType="end"/>
        </w:r>
      </w:hyperlink>
    </w:p>
    <w:p w14:paraId="44C6411C" w14:textId="1834A811"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66" w:history="1">
        <w:r w:rsidR="00B4483D" w:rsidRPr="00DF7176">
          <w:rPr>
            <w:rStyle w:val="Hyperlink"/>
            <w:noProof/>
          </w:rPr>
          <w:t>3.9</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External investigation</w:t>
        </w:r>
        <w:r w:rsidR="00B4483D">
          <w:rPr>
            <w:noProof/>
            <w:webHidden/>
          </w:rPr>
          <w:tab/>
        </w:r>
        <w:r w:rsidR="00B4483D">
          <w:rPr>
            <w:noProof/>
            <w:webHidden/>
          </w:rPr>
          <w:fldChar w:fldCharType="begin"/>
        </w:r>
        <w:r w:rsidR="00B4483D">
          <w:rPr>
            <w:noProof/>
            <w:webHidden/>
          </w:rPr>
          <w:instrText xml:space="preserve"> PAGEREF _Toc196977266 \h </w:instrText>
        </w:r>
        <w:r w:rsidR="00B4483D">
          <w:rPr>
            <w:noProof/>
            <w:webHidden/>
          </w:rPr>
        </w:r>
        <w:r w:rsidR="00B4483D">
          <w:rPr>
            <w:noProof/>
            <w:webHidden/>
          </w:rPr>
          <w:fldChar w:fldCharType="separate"/>
        </w:r>
        <w:r w:rsidR="00B4483D">
          <w:rPr>
            <w:noProof/>
            <w:webHidden/>
          </w:rPr>
          <w:t>8</w:t>
        </w:r>
        <w:r w:rsidR="00B4483D">
          <w:rPr>
            <w:noProof/>
            <w:webHidden/>
          </w:rPr>
          <w:fldChar w:fldCharType="end"/>
        </w:r>
      </w:hyperlink>
    </w:p>
    <w:p w14:paraId="04BCB933" w14:textId="42DC2215" w:rsidR="00B4483D" w:rsidRDefault="00961B9B">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196977267" w:history="1">
        <w:r w:rsidR="00B4483D" w:rsidRPr="00DF7176">
          <w:rPr>
            <w:rStyle w:val="Hyperlink"/>
            <w:noProof/>
          </w:rPr>
          <w:t>4</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Procedure for allegations of child sexual abuse where the alleged offence has occurred in a custodial or community setting</w:t>
        </w:r>
        <w:r w:rsidR="00B4483D">
          <w:rPr>
            <w:noProof/>
            <w:webHidden/>
          </w:rPr>
          <w:tab/>
        </w:r>
        <w:r w:rsidR="00B4483D">
          <w:rPr>
            <w:noProof/>
            <w:webHidden/>
          </w:rPr>
          <w:fldChar w:fldCharType="begin"/>
        </w:r>
        <w:r w:rsidR="00B4483D">
          <w:rPr>
            <w:noProof/>
            <w:webHidden/>
          </w:rPr>
          <w:instrText xml:space="preserve"> PAGEREF _Toc196977267 \h </w:instrText>
        </w:r>
        <w:r w:rsidR="00B4483D">
          <w:rPr>
            <w:noProof/>
            <w:webHidden/>
          </w:rPr>
        </w:r>
        <w:r w:rsidR="00B4483D">
          <w:rPr>
            <w:noProof/>
            <w:webHidden/>
          </w:rPr>
          <w:fldChar w:fldCharType="separate"/>
        </w:r>
        <w:r w:rsidR="00B4483D">
          <w:rPr>
            <w:noProof/>
            <w:webHidden/>
          </w:rPr>
          <w:t>8</w:t>
        </w:r>
        <w:r w:rsidR="00B4483D">
          <w:rPr>
            <w:noProof/>
            <w:webHidden/>
          </w:rPr>
          <w:fldChar w:fldCharType="end"/>
        </w:r>
      </w:hyperlink>
    </w:p>
    <w:p w14:paraId="57198DD4" w14:textId="1897B338"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68" w:history="1">
        <w:r w:rsidR="00B4483D" w:rsidRPr="00DF7176">
          <w:rPr>
            <w:rStyle w:val="Hyperlink"/>
            <w:noProof/>
          </w:rPr>
          <w:t>4.1</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Mandatory reporting of child sexual abuse</w:t>
        </w:r>
        <w:r w:rsidR="00B4483D">
          <w:rPr>
            <w:noProof/>
            <w:webHidden/>
          </w:rPr>
          <w:tab/>
        </w:r>
        <w:r w:rsidR="00B4483D">
          <w:rPr>
            <w:noProof/>
            <w:webHidden/>
          </w:rPr>
          <w:fldChar w:fldCharType="begin"/>
        </w:r>
        <w:r w:rsidR="00B4483D">
          <w:rPr>
            <w:noProof/>
            <w:webHidden/>
          </w:rPr>
          <w:instrText xml:space="preserve"> PAGEREF _Toc196977268 \h </w:instrText>
        </w:r>
        <w:r w:rsidR="00B4483D">
          <w:rPr>
            <w:noProof/>
            <w:webHidden/>
          </w:rPr>
        </w:r>
        <w:r w:rsidR="00B4483D">
          <w:rPr>
            <w:noProof/>
            <w:webHidden/>
          </w:rPr>
          <w:fldChar w:fldCharType="separate"/>
        </w:r>
        <w:r w:rsidR="00B4483D">
          <w:rPr>
            <w:noProof/>
            <w:webHidden/>
          </w:rPr>
          <w:t>8</w:t>
        </w:r>
        <w:r w:rsidR="00B4483D">
          <w:rPr>
            <w:noProof/>
            <w:webHidden/>
          </w:rPr>
          <w:fldChar w:fldCharType="end"/>
        </w:r>
      </w:hyperlink>
    </w:p>
    <w:p w14:paraId="0A62CF9E" w14:textId="16A9005A"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69" w:history="1">
        <w:r w:rsidR="00B4483D" w:rsidRPr="00DF7176">
          <w:rPr>
            <w:rStyle w:val="Hyperlink"/>
            <w:noProof/>
          </w:rPr>
          <w:t>4.2</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Reporting sexual abuse for non-legislated mandatory reporters</w:t>
        </w:r>
        <w:r w:rsidR="00B4483D">
          <w:rPr>
            <w:noProof/>
            <w:webHidden/>
          </w:rPr>
          <w:tab/>
        </w:r>
        <w:r w:rsidR="00B4483D">
          <w:rPr>
            <w:noProof/>
            <w:webHidden/>
          </w:rPr>
          <w:fldChar w:fldCharType="begin"/>
        </w:r>
        <w:r w:rsidR="00B4483D">
          <w:rPr>
            <w:noProof/>
            <w:webHidden/>
          </w:rPr>
          <w:instrText xml:space="preserve"> PAGEREF _Toc196977269 \h </w:instrText>
        </w:r>
        <w:r w:rsidR="00B4483D">
          <w:rPr>
            <w:noProof/>
            <w:webHidden/>
          </w:rPr>
        </w:r>
        <w:r w:rsidR="00B4483D">
          <w:rPr>
            <w:noProof/>
            <w:webHidden/>
          </w:rPr>
          <w:fldChar w:fldCharType="separate"/>
        </w:r>
        <w:r w:rsidR="00B4483D">
          <w:rPr>
            <w:noProof/>
            <w:webHidden/>
          </w:rPr>
          <w:t>9</w:t>
        </w:r>
        <w:r w:rsidR="00B4483D">
          <w:rPr>
            <w:noProof/>
            <w:webHidden/>
          </w:rPr>
          <w:fldChar w:fldCharType="end"/>
        </w:r>
      </w:hyperlink>
    </w:p>
    <w:p w14:paraId="0BC38C76" w14:textId="3A804B35"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70" w:history="1">
        <w:r w:rsidR="00B4483D" w:rsidRPr="00DF7176">
          <w:rPr>
            <w:rStyle w:val="Hyperlink"/>
            <w:noProof/>
          </w:rPr>
          <w:t>4.3</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Immediate considerations for all staff</w:t>
        </w:r>
        <w:r w:rsidR="00B4483D">
          <w:rPr>
            <w:noProof/>
            <w:webHidden/>
          </w:rPr>
          <w:tab/>
        </w:r>
        <w:r w:rsidR="00B4483D">
          <w:rPr>
            <w:noProof/>
            <w:webHidden/>
          </w:rPr>
          <w:fldChar w:fldCharType="begin"/>
        </w:r>
        <w:r w:rsidR="00B4483D">
          <w:rPr>
            <w:noProof/>
            <w:webHidden/>
          </w:rPr>
          <w:instrText xml:space="preserve"> PAGEREF _Toc196977270 \h </w:instrText>
        </w:r>
        <w:r w:rsidR="00B4483D">
          <w:rPr>
            <w:noProof/>
            <w:webHidden/>
          </w:rPr>
        </w:r>
        <w:r w:rsidR="00B4483D">
          <w:rPr>
            <w:noProof/>
            <w:webHidden/>
          </w:rPr>
          <w:fldChar w:fldCharType="separate"/>
        </w:r>
        <w:r w:rsidR="00B4483D">
          <w:rPr>
            <w:noProof/>
            <w:webHidden/>
          </w:rPr>
          <w:t>9</w:t>
        </w:r>
        <w:r w:rsidR="00B4483D">
          <w:rPr>
            <w:noProof/>
            <w:webHidden/>
          </w:rPr>
          <w:fldChar w:fldCharType="end"/>
        </w:r>
      </w:hyperlink>
    </w:p>
    <w:p w14:paraId="67F036D9" w14:textId="5D39DA73"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71" w:history="1">
        <w:r w:rsidR="00B4483D" w:rsidRPr="00DF7176">
          <w:rPr>
            <w:rStyle w:val="Hyperlink"/>
            <w:noProof/>
          </w:rPr>
          <w:t>4.4</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Mandatory Reporting Process</w:t>
        </w:r>
        <w:r w:rsidR="00B4483D">
          <w:rPr>
            <w:noProof/>
            <w:webHidden/>
          </w:rPr>
          <w:tab/>
        </w:r>
        <w:r w:rsidR="00B4483D">
          <w:rPr>
            <w:noProof/>
            <w:webHidden/>
          </w:rPr>
          <w:fldChar w:fldCharType="begin"/>
        </w:r>
        <w:r w:rsidR="00B4483D">
          <w:rPr>
            <w:noProof/>
            <w:webHidden/>
          </w:rPr>
          <w:instrText xml:space="preserve"> PAGEREF _Toc196977271 \h </w:instrText>
        </w:r>
        <w:r w:rsidR="00B4483D">
          <w:rPr>
            <w:noProof/>
            <w:webHidden/>
          </w:rPr>
        </w:r>
        <w:r w:rsidR="00B4483D">
          <w:rPr>
            <w:noProof/>
            <w:webHidden/>
          </w:rPr>
          <w:fldChar w:fldCharType="separate"/>
        </w:r>
        <w:r w:rsidR="00B4483D">
          <w:rPr>
            <w:noProof/>
            <w:webHidden/>
          </w:rPr>
          <w:t>9</w:t>
        </w:r>
        <w:r w:rsidR="00B4483D">
          <w:rPr>
            <w:noProof/>
            <w:webHidden/>
          </w:rPr>
          <w:fldChar w:fldCharType="end"/>
        </w:r>
      </w:hyperlink>
    </w:p>
    <w:p w14:paraId="05751494" w14:textId="2F8C6490" w:rsidR="00B4483D" w:rsidRDefault="00961B9B">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196977272" w:history="1">
        <w:r w:rsidR="00B4483D" w:rsidRPr="00DF7176">
          <w:rPr>
            <w:rStyle w:val="Hyperlink"/>
            <w:noProof/>
          </w:rPr>
          <w:t>5</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Annexures</w:t>
        </w:r>
        <w:r w:rsidR="00B4483D">
          <w:rPr>
            <w:noProof/>
            <w:webHidden/>
          </w:rPr>
          <w:tab/>
        </w:r>
        <w:r w:rsidR="00B4483D">
          <w:rPr>
            <w:noProof/>
            <w:webHidden/>
          </w:rPr>
          <w:fldChar w:fldCharType="begin"/>
        </w:r>
        <w:r w:rsidR="00B4483D">
          <w:rPr>
            <w:noProof/>
            <w:webHidden/>
          </w:rPr>
          <w:instrText xml:space="preserve"> PAGEREF _Toc196977272 \h </w:instrText>
        </w:r>
        <w:r w:rsidR="00B4483D">
          <w:rPr>
            <w:noProof/>
            <w:webHidden/>
          </w:rPr>
        </w:r>
        <w:r w:rsidR="00B4483D">
          <w:rPr>
            <w:noProof/>
            <w:webHidden/>
          </w:rPr>
          <w:fldChar w:fldCharType="separate"/>
        </w:r>
        <w:r w:rsidR="00B4483D">
          <w:rPr>
            <w:noProof/>
            <w:webHidden/>
          </w:rPr>
          <w:t>12</w:t>
        </w:r>
        <w:r w:rsidR="00B4483D">
          <w:rPr>
            <w:noProof/>
            <w:webHidden/>
          </w:rPr>
          <w:fldChar w:fldCharType="end"/>
        </w:r>
      </w:hyperlink>
    </w:p>
    <w:p w14:paraId="77A31AE6" w14:textId="48335676"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73" w:history="1">
        <w:r w:rsidR="00B4483D" w:rsidRPr="00DF7176">
          <w:rPr>
            <w:rStyle w:val="Hyperlink"/>
            <w:noProof/>
          </w:rPr>
          <w:t>5.1</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Related COPPs and documents</w:t>
        </w:r>
        <w:r w:rsidR="00B4483D">
          <w:rPr>
            <w:noProof/>
            <w:webHidden/>
          </w:rPr>
          <w:tab/>
        </w:r>
        <w:r w:rsidR="00B4483D">
          <w:rPr>
            <w:noProof/>
            <w:webHidden/>
          </w:rPr>
          <w:fldChar w:fldCharType="begin"/>
        </w:r>
        <w:r w:rsidR="00B4483D">
          <w:rPr>
            <w:noProof/>
            <w:webHidden/>
          </w:rPr>
          <w:instrText xml:space="preserve"> PAGEREF _Toc196977273 \h </w:instrText>
        </w:r>
        <w:r w:rsidR="00B4483D">
          <w:rPr>
            <w:noProof/>
            <w:webHidden/>
          </w:rPr>
        </w:r>
        <w:r w:rsidR="00B4483D">
          <w:rPr>
            <w:noProof/>
            <w:webHidden/>
          </w:rPr>
          <w:fldChar w:fldCharType="separate"/>
        </w:r>
        <w:r w:rsidR="00B4483D">
          <w:rPr>
            <w:noProof/>
            <w:webHidden/>
          </w:rPr>
          <w:t>12</w:t>
        </w:r>
        <w:r w:rsidR="00B4483D">
          <w:rPr>
            <w:noProof/>
            <w:webHidden/>
          </w:rPr>
          <w:fldChar w:fldCharType="end"/>
        </w:r>
      </w:hyperlink>
    </w:p>
    <w:p w14:paraId="474BDF0B" w14:textId="1D67A2DF"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74" w:history="1">
        <w:r w:rsidR="00B4483D" w:rsidRPr="00DF7176">
          <w:rPr>
            <w:rStyle w:val="Hyperlink"/>
            <w:noProof/>
          </w:rPr>
          <w:t>5.2</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Definitions and acronyms</w:t>
        </w:r>
        <w:r w:rsidR="00B4483D">
          <w:rPr>
            <w:noProof/>
            <w:webHidden/>
          </w:rPr>
          <w:tab/>
        </w:r>
        <w:r w:rsidR="00B4483D">
          <w:rPr>
            <w:noProof/>
            <w:webHidden/>
          </w:rPr>
          <w:fldChar w:fldCharType="begin"/>
        </w:r>
        <w:r w:rsidR="00B4483D">
          <w:rPr>
            <w:noProof/>
            <w:webHidden/>
          </w:rPr>
          <w:instrText xml:space="preserve"> PAGEREF _Toc196977274 \h </w:instrText>
        </w:r>
        <w:r w:rsidR="00B4483D">
          <w:rPr>
            <w:noProof/>
            <w:webHidden/>
          </w:rPr>
        </w:r>
        <w:r w:rsidR="00B4483D">
          <w:rPr>
            <w:noProof/>
            <w:webHidden/>
          </w:rPr>
          <w:fldChar w:fldCharType="separate"/>
        </w:r>
        <w:r w:rsidR="00B4483D">
          <w:rPr>
            <w:noProof/>
            <w:webHidden/>
          </w:rPr>
          <w:t>12</w:t>
        </w:r>
        <w:r w:rsidR="00B4483D">
          <w:rPr>
            <w:noProof/>
            <w:webHidden/>
          </w:rPr>
          <w:fldChar w:fldCharType="end"/>
        </w:r>
      </w:hyperlink>
    </w:p>
    <w:p w14:paraId="44B87BA4" w14:textId="3BE2EECB" w:rsidR="00B4483D" w:rsidRDefault="00961B9B">
      <w:pPr>
        <w:pStyle w:val="TOC2"/>
        <w:rPr>
          <w:rFonts w:asciiTheme="minorHAnsi" w:eastAsiaTheme="minorEastAsia" w:hAnsiTheme="minorHAnsi" w:cstheme="minorBidi"/>
          <w:noProof/>
          <w:kern w:val="2"/>
          <w:lang w:eastAsia="en-AU"/>
          <w14:ligatures w14:val="standardContextual"/>
        </w:rPr>
      </w:pPr>
      <w:hyperlink w:anchor="_Toc196977275" w:history="1">
        <w:r w:rsidR="00B4483D" w:rsidRPr="00DF7176">
          <w:rPr>
            <w:rStyle w:val="Hyperlink"/>
            <w:noProof/>
          </w:rPr>
          <w:t>5.3</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Related legislation</w:t>
        </w:r>
        <w:r w:rsidR="00B4483D">
          <w:rPr>
            <w:noProof/>
            <w:webHidden/>
          </w:rPr>
          <w:tab/>
        </w:r>
        <w:r w:rsidR="00B4483D">
          <w:rPr>
            <w:noProof/>
            <w:webHidden/>
          </w:rPr>
          <w:fldChar w:fldCharType="begin"/>
        </w:r>
        <w:r w:rsidR="00B4483D">
          <w:rPr>
            <w:noProof/>
            <w:webHidden/>
          </w:rPr>
          <w:instrText xml:space="preserve"> PAGEREF _Toc196977275 \h </w:instrText>
        </w:r>
        <w:r w:rsidR="00B4483D">
          <w:rPr>
            <w:noProof/>
            <w:webHidden/>
          </w:rPr>
        </w:r>
        <w:r w:rsidR="00B4483D">
          <w:rPr>
            <w:noProof/>
            <w:webHidden/>
          </w:rPr>
          <w:fldChar w:fldCharType="separate"/>
        </w:r>
        <w:r w:rsidR="00B4483D">
          <w:rPr>
            <w:noProof/>
            <w:webHidden/>
          </w:rPr>
          <w:t>14</w:t>
        </w:r>
        <w:r w:rsidR="00B4483D">
          <w:rPr>
            <w:noProof/>
            <w:webHidden/>
          </w:rPr>
          <w:fldChar w:fldCharType="end"/>
        </w:r>
      </w:hyperlink>
    </w:p>
    <w:p w14:paraId="746C29D4" w14:textId="039DE06F" w:rsidR="00B4483D" w:rsidRDefault="00961B9B">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196977276" w:history="1">
        <w:r w:rsidR="00B4483D" w:rsidRPr="00DF7176">
          <w:rPr>
            <w:rStyle w:val="Hyperlink"/>
            <w:noProof/>
          </w:rPr>
          <w:t>6</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Assurance</w:t>
        </w:r>
        <w:r w:rsidR="00B4483D">
          <w:rPr>
            <w:noProof/>
            <w:webHidden/>
          </w:rPr>
          <w:tab/>
        </w:r>
        <w:r w:rsidR="00B4483D">
          <w:rPr>
            <w:noProof/>
            <w:webHidden/>
          </w:rPr>
          <w:fldChar w:fldCharType="begin"/>
        </w:r>
        <w:r w:rsidR="00B4483D">
          <w:rPr>
            <w:noProof/>
            <w:webHidden/>
          </w:rPr>
          <w:instrText xml:space="preserve"> PAGEREF _Toc196977276 \h </w:instrText>
        </w:r>
        <w:r w:rsidR="00B4483D">
          <w:rPr>
            <w:noProof/>
            <w:webHidden/>
          </w:rPr>
        </w:r>
        <w:r w:rsidR="00B4483D">
          <w:rPr>
            <w:noProof/>
            <w:webHidden/>
          </w:rPr>
          <w:fldChar w:fldCharType="separate"/>
        </w:r>
        <w:r w:rsidR="00B4483D">
          <w:rPr>
            <w:noProof/>
            <w:webHidden/>
          </w:rPr>
          <w:t>14</w:t>
        </w:r>
        <w:r w:rsidR="00B4483D">
          <w:rPr>
            <w:noProof/>
            <w:webHidden/>
          </w:rPr>
          <w:fldChar w:fldCharType="end"/>
        </w:r>
      </w:hyperlink>
    </w:p>
    <w:p w14:paraId="748D8F64" w14:textId="386006B3" w:rsidR="00B4483D" w:rsidRDefault="00961B9B">
      <w:pPr>
        <w:pStyle w:val="TOC1"/>
        <w:tabs>
          <w:tab w:val="left" w:pos="480"/>
          <w:tab w:val="right" w:leader="dot" w:pos="9168"/>
        </w:tabs>
        <w:rPr>
          <w:rFonts w:asciiTheme="minorHAnsi" w:eastAsiaTheme="minorEastAsia" w:hAnsiTheme="minorHAnsi" w:cstheme="minorBidi"/>
          <w:noProof/>
          <w:kern w:val="2"/>
          <w:lang w:eastAsia="en-AU"/>
          <w14:ligatures w14:val="standardContextual"/>
        </w:rPr>
      </w:pPr>
      <w:hyperlink w:anchor="_Toc196977277" w:history="1">
        <w:r w:rsidR="00B4483D" w:rsidRPr="00DF7176">
          <w:rPr>
            <w:rStyle w:val="Hyperlink"/>
            <w:noProof/>
          </w:rPr>
          <w:t>7</w:t>
        </w:r>
        <w:r w:rsidR="00B4483D">
          <w:rPr>
            <w:rFonts w:asciiTheme="minorHAnsi" w:eastAsiaTheme="minorEastAsia" w:hAnsiTheme="minorHAnsi" w:cstheme="minorBidi"/>
            <w:noProof/>
            <w:kern w:val="2"/>
            <w:lang w:eastAsia="en-AU"/>
            <w14:ligatures w14:val="standardContextual"/>
          </w:rPr>
          <w:tab/>
        </w:r>
        <w:r w:rsidR="00B4483D" w:rsidRPr="00DF7176">
          <w:rPr>
            <w:rStyle w:val="Hyperlink"/>
            <w:noProof/>
          </w:rPr>
          <w:t>Document Version History</w:t>
        </w:r>
        <w:r w:rsidR="00B4483D">
          <w:rPr>
            <w:noProof/>
            <w:webHidden/>
          </w:rPr>
          <w:tab/>
        </w:r>
        <w:r w:rsidR="00B4483D">
          <w:rPr>
            <w:noProof/>
            <w:webHidden/>
          </w:rPr>
          <w:fldChar w:fldCharType="begin"/>
        </w:r>
        <w:r w:rsidR="00B4483D">
          <w:rPr>
            <w:noProof/>
            <w:webHidden/>
          </w:rPr>
          <w:instrText xml:space="preserve"> PAGEREF _Toc196977277 \h </w:instrText>
        </w:r>
        <w:r w:rsidR="00B4483D">
          <w:rPr>
            <w:noProof/>
            <w:webHidden/>
          </w:rPr>
        </w:r>
        <w:r w:rsidR="00B4483D">
          <w:rPr>
            <w:noProof/>
            <w:webHidden/>
          </w:rPr>
          <w:fldChar w:fldCharType="separate"/>
        </w:r>
        <w:r w:rsidR="00B4483D">
          <w:rPr>
            <w:noProof/>
            <w:webHidden/>
          </w:rPr>
          <w:t>14</w:t>
        </w:r>
        <w:r w:rsidR="00B4483D">
          <w:rPr>
            <w:noProof/>
            <w:webHidden/>
          </w:rPr>
          <w:fldChar w:fldCharType="end"/>
        </w:r>
      </w:hyperlink>
    </w:p>
    <w:p w14:paraId="1507E6B0" w14:textId="75C2E663" w:rsidR="0039700A" w:rsidRDefault="00475046" w:rsidP="0039700A">
      <w:r>
        <w:fldChar w:fldCharType="end"/>
      </w:r>
    </w:p>
    <w:p w14:paraId="5738D64D" w14:textId="77777777" w:rsidR="006F08B3" w:rsidRDefault="006F08B3" w:rsidP="0039700A"/>
    <w:p w14:paraId="7BC5E9DD" w14:textId="77777777" w:rsidR="009C422C" w:rsidRDefault="009C422C" w:rsidP="0039700A"/>
    <w:p w14:paraId="7A0C67D0" w14:textId="77777777" w:rsidR="009C422C" w:rsidRDefault="009C422C" w:rsidP="0039700A"/>
    <w:p w14:paraId="48F77CFD" w14:textId="77777777" w:rsidR="009C422C" w:rsidRDefault="009C422C" w:rsidP="0039700A"/>
    <w:p w14:paraId="5982DB70" w14:textId="77777777" w:rsidR="009C422C" w:rsidRDefault="009C422C" w:rsidP="0039700A"/>
    <w:p w14:paraId="0C293640" w14:textId="77777777" w:rsidR="009C422C" w:rsidRDefault="009C422C" w:rsidP="0039700A"/>
    <w:p w14:paraId="2412F192" w14:textId="77777777" w:rsidR="009C422C" w:rsidRDefault="009C422C" w:rsidP="0039700A"/>
    <w:p w14:paraId="05CA29FC" w14:textId="77777777" w:rsidR="009C422C" w:rsidRDefault="009C422C" w:rsidP="0039700A"/>
    <w:p w14:paraId="37B96803" w14:textId="77777777" w:rsidR="009C422C" w:rsidRDefault="009C422C" w:rsidP="0039700A"/>
    <w:p w14:paraId="5ED80F28" w14:textId="77777777" w:rsidR="009C422C" w:rsidRDefault="009C422C" w:rsidP="0039700A"/>
    <w:p w14:paraId="21CA6A18" w14:textId="77777777" w:rsidR="009C422C" w:rsidRDefault="009C422C" w:rsidP="0039700A"/>
    <w:p w14:paraId="6D54D828" w14:textId="77777777" w:rsidR="009C422C" w:rsidRDefault="009C422C" w:rsidP="0039700A"/>
    <w:p w14:paraId="44C6200C" w14:textId="77777777" w:rsidR="00067B1A" w:rsidRDefault="00067B1A" w:rsidP="0039700A"/>
    <w:p w14:paraId="54253A2E" w14:textId="7FEB5D0C" w:rsidR="00CC450F" w:rsidRDefault="003102E0" w:rsidP="000A3969">
      <w:pPr>
        <w:pStyle w:val="Heading1"/>
      </w:pPr>
      <w:bookmarkStart w:id="2" w:name="_Toc25127849"/>
      <w:bookmarkStart w:id="3" w:name="_Toc26508822"/>
      <w:bookmarkStart w:id="4" w:name="_Toc149559189"/>
      <w:bookmarkStart w:id="5" w:name="_Toc196977255"/>
      <w:r>
        <w:lastRenderedPageBreak/>
        <w:t>S</w:t>
      </w:r>
      <w:r w:rsidR="00C8272F">
        <w:t>cope</w:t>
      </w:r>
      <w:bookmarkEnd w:id="2"/>
      <w:bookmarkEnd w:id="3"/>
      <w:bookmarkEnd w:id="4"/>
      <w:bookmarkEnd w:id="5"/>
    </w:p>
    <w:p w14:paraId="4A0DF93B" w14:textId="5BFC463C" w:rsidR="00B37932" w:rsidRDefault="00365BC2" w:rsidP="00B37932">
      <w:r w:rsidRPr="00365BC2">
        <w:t>This Commissioner’s Operating Polic</w:t>
      </w:r>
      <w:r w:rsidR="000C3E89">
        <w:t>y</w:t>
      </w:r>
      <w:r w:rsidRPr="00365BC2">
        <w:t xml:space="preserve"> and Procedure (COPP) applies to all </w:t>
      </w:r>
      <w:r w:rsidR="00866D61">
        <w:t>Youth</w:t>
      </w:r>
      <w:r w:rsidRPr="00365BC2">
        <w:t xml:space="preserve"> Detention Centre (</w:t>
      </w:r>
      <w:r w:rsidR="00866D61">
        <w:t>Y</w:t>
      </w:r>
      <w:r w:rsidRPr="00365BC2">
        <w:t xml:space="preserve">DC) </w:t>
      </w:r>
      <w:r w:rsidR="00B221AC">
        <w:t>staff (operational and non-operational)</w:t>
      </w:r>
      <w:r w:rsidR="004D0E82">
        <w:t xml:space="preserve">. </w:t>
      </w:r>
      <w:r w:rsidR="00B221AC">
        <w:t xml:space="preserve"> </w:t>
      </w:r>
    </w:p>
    <w:p w14:paraId="41F34C65" w14:textId="77777777" w:rsidR="00B221AC" w:rsidRDefault="00B221AC" w:rsidP="00B221AC"/>
    <w:p w14:paraId="6580910C" w14:textId="36F2931E" w:rsidR="00B221AC" w:rsidRPr="006A363E" w:rsidRDefault="00B221AC" w:rsidP="00B221AC">
      <w:pPr>
        <w:rPr>
          <w:rFonts w:cs="Arial"/>
        </w:rPr>
      </w:pPr>
      <w:r>
        <w:t>This COPP requires all staff to report concerns of child abuse and neglect</w:t>
      </w:r>
      <w:r w:rsidR="00ED090B">
        <w:t>,</w:t>
      </w:r>
      <w:r>
        <w:t xml:space="preserve"> even if those staff </w:t>
      </w:r>
      <w:r w:rsidRPr="006A363E">
        <w:rPr>
          <w:rFonts w:cs="Arial"/>
        </w:rPr>
        <w:t>members are not legally mandated to do so.</w:t>
      </w:r>
    </w:p>
    <w:p w14:paraId="151F3603" w14:textId="77777777" w:rsidR="00EC5AF1" w:rsidRDefault="00EC5AF1" w:rsidP="00B458BD">
      <w:pPr>
        <w:pStyle w:val="Heading1"/>
        <w:spacing w:before="360" w:after="240"/>
      </w:pPr>
      <w:bookmarkStart w:id="6" w:name="_Toc25127850"/>
      <w:bookmarkStart w:id="7" w:name="_Toc26508823"/>
      <w:bookmarkStart w:id="8" w:name="_Toc149559190"/>
      <w:bookmarkStart w:id="9" w:name="_Toc196977256"/>
      <w:r>
        <w:t>Policy</w:t>
      </w:r>
      <w:bookmarkEnd w:id="6"/>
      <w:bookmarkEnd w:id="7"/>
      <w:bookmarkEnd w:id="8"/>
      <w:bookmarkEnd w:id="9"/>
      <w:r>
        <w:t xml:space="preserve"> </w:t>
      </w:r>
    </w:p>
    <w:p w14:paraId="19F83E01" w14:textId="103D02FC" w:rsidR="00FA18B0" w:rsidRDefault="006E6D4C" w:rsidP="000614E6">
      <w:pPr>
        <w:spacing w:before="240" w:after="240"/>
      </w:pPr>
      <w:r>
        <w:t xml:space="preserve">The Department </w:t>
      </w:r>
      <w:r w:rsidR="004D0E82">
        <w:t xml:space="preserve">of Justice (the Department) </w:t>
      </w:r>
      <w:r>
        <w:t xml:space="preserve">is committed to protecting the safety and welfare of </w:t>
      </w:r>
      <w:r w:rsidR="001841AD">
        <w:t>young people.</w:t>
      </w:r>
      <w:r w:rsidR="008E7996" w:rsidRPr="008E7996">
        <w:t xml:space="preserve"> </w:t>
      </w:r>
    </w:p>
    <w:p w14:paraId="7C738B97" w14:textId="03C3A251" w:rsidR="00FA18B0" w:rsidRDefault="00FA18B0" w:rsidP="00FA18B0">
      <w:r>
        <w:t>This COPP provides the procedure for the appro</w:t>
      </w:r>
      <w:r w:rsidR="00B07030">
        <w:t>priate, immediate response to an</w:t>
      </w:r>
      <w:r>
        <w:t xml:space="preserve"> allegation from a </w:t>
      </w:r>
      <w:r w:rsidR="001841AD">
        <w:t>young person</w:t>
      </w:r>
      <w:r w:rsidR="00176F1D">
        <w:t>.</w:t>
      </w:r>
      <w:r>
        <w:t xml:space="preserve"> </w:t>
      </w:r>
      <w:r w:rsidRPr="00A356E7">
        <w:t xml:space="preserve">Where a </w:t>
      </w:r>
      <w:r w:rsidR="001841AD">
        <w:t>young person</w:t>
      </w:r>
      <w:r w:rsidR="001841AD" w:rsidRPr="00A356E7">
        <w:t xml:space="preserve"> </w:t>
      </w:r>
      <w:r w:rsidRPr="00A356E7">
        <w:t>makes an allegation against staff</w:t>
      </w:r>
      <w:r w:rsidR="00ED090B">
        <w:t>,</w:t>
      </w:r>
      <w:r w:rsidRPr="00A356E7">
        <w:t xml:space="preserve"> this shall be immediately reported to the Superintendent (</w:t>
      </w:r>
      <w:r w:rsidR="00C43FC6">
        <w:t xml:space="preserve">or </w:t>
      </w:r>
      <w:r w:rsidR="004D0E82">
        <w:t>their delegate</w:t>
      </w:r>
      <w:r w:rsidR="00C43FC6">
        <w:t xml:space="preserve">) </w:t>
      </w:r>
      <w:r w:rsidRPr="00A356E7">
        <w:t>and managed in accordance with Department</w:t>
      </w:r>
      <w:r w:rsidR="00ED090B">
        <w:t xml:space="preserve"> </w:t>
      </w:r>
      <w:r w:rsidR="001A5DB7">
        <w:t xml:space="preserve">policies. </w:t>
      </w:r>
      <w:r w:rsidRPr="00460321">
        <w:t>Additionally, this COPP outlines the</w:t>
      </w:r>
      <w:r w:rsidR="00BB31C2">
        <w:t xml:space="preserve"> requirements</w:t>
      </w:r>
      <w:r w:rsidRPr="00460321">
        <w:t xml:space="preserve"> for the mandatory reporting of child sexual abuse in accordance with legislation</w:t>
      </w:r>
      <w:r w:rsidRPr="00460321">
        <w:rPr>
          <w:vertAlign w:val="superscript"/>
        </w:rPr>
        <w:footnoteReference w:id="2"/>
      </w:r>
      <w:r w:rsidRPr="00460321">
        <w:t xml:space="preserve">. </w:t>
      </w:r>
    </w:p>
    <w:p w14:paraId="77BF13C4" w14:textId="77777777" w:rsidR="00FA18B0" w:rsidRDefault="00FA18B0" w:rsidP="00FA18B0"/>
    <w:p w14:paraId="698BEA90" w14:textId="1916C582" w:rsidR="00771415" w:rsidRDefault="00FA18B0" w:rsidP="00460321">
      <w:r w:rsidRPr="008E7996">
        <w:t xml:space="preserve">Staff at </w:t>
      </w:r>
      <w:r w:rsidR="00CC450F">
        <w:t xml:space="preserve">the </w:t>
      </w:r>
      <w:r w:rsidR="00866D61">
        <w:t>YDC</w:t>
      </w:r>
      <w:r w:rsidR="00CC450F">
        <w:t xml:space="preserve"> </w:t>
      </w:r>
      <w:r w:rsidRPr="008E7996">
        <w:t xml:space="preserve">shall take reasonable actions to prevent and protect </w:t>
      </w:r>
      <w:r w:rsidR="001841AD">
        <w:t>young people</w:t>
      </w:r>
      <w:r w:rsidR="001841AD" w:rsidRPr="008E7996">
        <w:t xml:space="preserve"> </w:t>
      </w:r>
      <w:r w:rsidRPr="008E7996">
        <w:t>from harm</w:t>
      </w:r>
      <w:r w:rsidR="00350C56">
        <w:t xml:space="preserve">. </w:t>
      </w:r>
      <w:r w:rsidR="00771415">
        <w:t xml:space="preserve">Effective </w:t>
      </w:r>
      <w:r w:rsidR="00B1108E">
        <w:t>supervision</w:t>
      </w:r>
      <w:r w:rsidR="00ED090B">
        <w:t>,</w:t>
      </w:r>
      <w:r w:rsidR="00B1108E">
        <w:t xml:space="preserve"> as well as positive </w:t>
      </w:r>
      <w:r w:rsidR="00771415">
        <w:t xml:space="preserve">staff and </w:t>
      </w:r>
      <w:r w:rsidR="001841AD">
        <w:t xml:space="preserve">young person </w:t>
      </w:r>
      <w:r w:rsidR="00771415">
        <w:t>relationships</w:t>
      </w:r>
      <w:r w:rsidR="00ED090B">
        <w:t>,</w:t>
      </w:r>
      <w:r w:rsidR="00771415">
        <w:t xml:space="preserve"> enable staff to promote a safe environment characterised by mutual respect, trust, </w:t>
      </w:r>
      <w:r w:rsidR="00A918FE">
        <w:t>humanity,</w:t>
      </w:r>
      <w:r w:rsidR="00771415">
        <w:t xml:space="preserve"> and good communication. </w:t>
      </w:r>
    </w:p>
    <w:p w14:paraId="2EF1A376" w14:textId="37B27639" w:rsidR="00771415" w:rsidRDefault="00771415" w:rsidP="00460321">
      <w:r>
        <w:t xml:space="preserve"> </w:t>
      </w:r>
    </w:p>
    <w:p w14:paraId="40811ECD" w14:textId="3F338F2D" w:rsidR="00B458BD" w:rsidRDefault="002756C5" w:rsidP="009F6262">
      <w:r>
        <w:t xml:space="preserve">Good communication </w:t>
      </w:r>
      <w:r w:rsidR="001501A8">
        <w:t xml:space="preserve">promotes </w:t>
      </w:r>
      <w:r w:rsidR="001841AD">
        <w:t xml:space="preserve">young people having </w:t>
      </w:r>
      <w:r w:rsidR="00771415">
        <w:t xml:space="preserve">trust </w:t>
      </w:r>
      <w:r w:rsidR="001501A8">
        <w:t xml:space="preserve">in </w:t>
      </w:r>
      <w:r w:rsidR="00771415">
        <w:t>staff</w:t>
      </w:r>
      <w:r>
        <w:t xml:space="preserve"> and</w:t>
      </w:r>
      <w:r w:rsidR="00ED090B">
        <w:t>,</w:t>
      </w:r>
      <w:r w:rsidR="001501A8">
        <w:t xml:space="preserve"> therefore enables effective problem-solving.</w:t>
      </w:r>
      <w:r>
        <w:t xml:space="preserve"> </w:t>
      </w:r>
      <w:r w:rsidR="00A40B3B">
        <w:t>All Departmental</w:t>
      </w:r>
      <w:r w:rsidR="00460321" w:rsidRPr="00460321">
        <w:t xml:space="preserve"> staff have a responsibility to respond to </w:t>
      </w:r>
      <w:r w:rsidR="001841AD">
        <w:t>a young person’s</w:t>
      </w:r>
      <w:r w:rsidR="001841AD" w:rsidRPr="00460321">
        <w:t xml:space="preserve"> </w:t>
      </w:r>
      <w:r w:rsidR="00460321" w:rsidRPr="00460321">
        <w:t>allegations</w:t>
      </w:r>
      <w:r w:rsidR="00ED090B">
        <w:t>,</w:t>
      </w:r>
      <w:r w:rsidR="00460321" w:rsidRPr="00460321">
        <w:t xml:space="preserve"> and ensure appropriate action is taken. </w:t>
      </w:r>
    </w:p>
    <w:p w14:paraId="454E7AD8" w14:textId="77777777" w:rsidR="00B458BD" w:rsidRDefault="00B458BD" w:rsidP="009F6262"/>
    <w:p w14:paraId="5FB46968" w14:textId="291203E1" w:rsidR="00D072E7" w:rsidRDefault="00460321" w:rsidP="009F6262">
      <w:r w:rsidRPr="00460321">
        <w:t xml:space="preserve">Allegations </w:t>
      </w:r>
      <w:r w:rsidR="00C04525">
        <w:t xml:space="preserve">by </w:t>
      </w:r>
      <w:r w:rsidR="001841AD">
        <w:t xml:space="preserve">young people </w:t>
      </w:r>
      <w:r w:rsidRPr="00460321">
        <w:t>may include (but are not limited to) allegations of assault</w:t>
      </w:r>
      <w:r w:rsidR="000136D0">
        <w:t xml:space="preserve">, </w:t>
      </w:r>
      <w:r w:rsidRPr="00460321">
        <w:t>abuse</w:t>
      </w:r>
      <w:r w:rsidR="006D3AF9">
        <w:t xml:space="preserve">, </w:t>
      </w:r>
      <w:r w:rsidR="00710D94">
        <w:t>theft, damage, neglect and family domestic violence</w:t>
      </w:r>
      <w:r w:rsidR="00C04525">
        <w:t xml:space="preserve">. </w:t>
      </w:r>
      <w:r w:rsidR="008212AF">
        <w:t>S</w:t>
      </w:r>
      <w:r w:rsidR="00235C0F">
        <w:t>ome allegations</w:t>
      </w:r>
      <w:r w:rsidR="000136D0">
        <w:t xml:space="preserve"> </w:t>
      </w:r>
      <w:r w:rsidRPr="00460321">
        <w:t xml:space="preserve">may result in </w:t>
      </w:r>
      <w:r w:rsidR="006D3AF9">
        <w:t>a</w:t>
      </w:r>
      <w:r w:rsidR="00C51F9B">
        <w:t>n</w:t>
      </w:r>
      <w:r w:rsidR="006D3AF9">
        <w:t xml:space="preserve"> </w:t>
      </w:r>
      <w:r w:rsidR="008212AF">
        <w:t xml:space="preserve">investigation </w:t>
      </w:r>
      <w:r w:rsidR="00E838D0">
        <w:t>by the W</w:t>
      </w:r>
      <w:r w:rsidR="008E7EC5">
        <w:t xml:space="preserve">estern </w:t>
      </w:r>
      <w:r w:rsidR="00E838D0">
        <w:t>A</w:t>
      </w:r>
      <w:r w:rsidR="008E7EC5">
        <w:t xml:space="preserve">ustralia </w:t>
      </w:r>
      <w:r w:rsidR="00E838D0">
        <w:t xml:space="preserve">Police </w:t>
      </w:r>
      <w:r w:rsidR="00A918FE">
        <w:t>Force</w:t>
      </w:r>
      <w:r w:rsidR="00067B1A">
        <w:t xml:space="preserve"> (WAPF)</w:t>
      </w:r>
      <w:r w:rsidR="00A918FE">
        <w:t>, a</w:t>
      </w:r>
      <w:r w:rsidR="008212AF">
        <w:t xml:space="preserve"> possible</w:t>
      </w:r>
      <w:r w:rsidRPr="00460321">
        <w:t xml:space="preserve"> charge</w:t>
      </w:r>
      <w:r w:rsidR="009E4F67">
        <w:t xml:space="preserve"> (charges may be criminal</w:t>
      </w:r>
      <w:r w:rsidR="009E4F67">
        <w:rPr>
          <w:rStyle w:val="FootnoteReference"/>
        </w:rPr>
        <w:footnoteReference w:id="3"/>
      </w:r>
      <w:r w:rsidR="009E4F67">
        <w:t xml:space="preserve"> or a YDC charge</w:t>
      </w:r>
      <w:r w:rsidR="009E4F67">
        <w:rPr>
          <w:rStyle w:val="FootnoteReference"/>
        </w:rPr>
        <w:footnoteReference w:id="4"/>
      </w:r>
      <w:r w:rsidR="009E4F67">
        <w:t>)</w:t>
      </w:r>
      <w:r w:rsidR="004D0E82">
        <w:t>, a referral to People</w:t>
      </w:r>
      <w:r w:rsidR="00067B1A">
        <w:t>,</w:t>
      </w:r>
      <w:r w:rsidR="004D0E82">
        <w:t xml:space="preserve"> Culture and Standards (allegations of staff misconduct) and the WA Ombudsman under the Reportable Conduct Scheme</w:t>
      </w:r>
      <w:r w:rsidR="009E4F67">
        <w:t xml:space="preserve"> </w:t>
      </w:r>
      <w:r w:rsidR="001841AD">
        <w:t xml:space="preserve">and a </w:t>
      </w:r>
      <w:r w:rsidR="003730C8">
        <w:t>M</w:t>
      </w:r>
      <w:r w:rsidR="001841AD">
        <w:t xml:space="preserve">andatory </w:t>
      </w:r>
      <w:r w:rsidR="003730C8">
        <w:t>R</w:t>
      </w:r>
      <w:r w:rsidR="001841AD">
        <w:t xml:space="preserve">eport </w:t>
      </w:r>
      <w:r w:rsidR="00DF65FD">
        <w:t xml:space="preserve">or a Child Protection Referral </w:t>
      </w:r>
      <w:r w:rsidR="001841AD">
        <w:t>to the Department of Communities, Child Protection and Family Support</w:t>
      </w:r>
      <w:r w:rsidR="00A918FE">
        <w:t xml:space="preserve"> (</w:t>
      </w:r>
      <w:r w:rsidR="00F32D36">
        <w:t>Communities</w:t>
      </w:r>
      <w:r w:rsidR="00A918FE">
        <w:t>)</w:t>
      </w:r>
      <w:r w:rsidRPr="00460321">
        <w:t xml:space="preserve">. </w:t>
      </w:r>
    </w:p>
    <w:p w14:paraId="3122CD09" w14:textId="77777777" w:rsidR="00016246" w:rsidRDefault="00016246" w:rsidP="009F6262"/>
    <w:p w14:paraId="37244D0E" w14:textId="37A5015E" w:rsidR="00016246" w:rsidRPr="00016246" w:rsidRDefault="00016246" w:rsidP="00016246">
      <w:r w:rsidRPr="00016246">
        <w:t xml:space="preserve">All communications with </w:t>
      </w:r>
      <w:r w:rsidR="001841AD">
        <w:t>young people</w:t>
      </w:r>
      <w:r w:rsidR="001841AD" w:rsidRPr="00016246">
        <w:t xml:space="preserve"> </w:t>
      </w:r>
      <w:r w:rsidRPr="00016246">
        <w:t xml:space="preserve">should be </w:t>
      </w:r>
      <w:r w:rsidR="004D0E82">
        <w:t>delivered</w:t>
      </w:r>
      <w:r w:rsidR="004D0E82" w:rsidRPr="00016246">
        <w:t xml:space="preserve"> </w:t>
      </w:r>
      <w:r w:rsidRPr="00016246">
        <w:t>in such a way that lan</w:t>
      </w:r>
      <w:r>
        <w:t>guage diversity is acknowledged and</w:t>
      </w:r>
      <w:r w:rsidRPr="00016246">
        <w:t xml:space="preserve"> understood.</w:t>
      </w:r>
      <w:r w:rsidR="004D0E82">
        <w:t xml:space="preserve"> </w:t>
      </w:r>
    </w:p>
    <w:p w14:paraId="1F20B195" w14:textId="77777777" w:rsidR="00016246" w:rsidRDefault="00016246" w:rsidP="009F6262"/>
    <w:p w14:paraId="5E5FD9A2" w14:textId="1CA6F65B" w:rsidR="003A7CA2" w:rsidRDefault="007A3DE8" w:rsidP="003A7CA2">
      <w:r w:rsidRPr="007C05D8">
        <w:t>Th</w:t>
      </w:r>
      <w:r w:rsidR="00C5329E" w:rsidRPr="003A7CA2">
        <w:t xml:space="preserve">e Department has a responsibility to ensure </w:t>
      </w:r>
      <w:r w:rsidR="001841AD" w:rsidRPr="003A7CA2">
        <w:t xml:space="preserve">young people </w:t>
      </w:r>
      <w:r w:rsidR="00C5329E" w:rsidRPr="003A7CA2">
        <w:t>are treated fairly</w:t>
      </w:r>
      <w:r w:rsidR="00ED090B" w:rsidRPr="003A7CA2">
        <w:t>,</w:t>
      </w:r>
      <w:r w:rsidR="00C5329E" w:rsidRPr="003A7CA2">
        <w:t xml:space="preserve"> and the</w:t>
      </w:r>
      <w:r>
        <w:t xml:space="preserve"> </w:t>
      </w:r>
      <w:r w:rsidR="00C5329E" w:rsidRPr="003A7CA2">
        <w:t xml:space="preserve">rights of </w:t>
      </w:r>
      <w:r w:rsidR="001841AD" w:rsidRPr="003A7CA2">
        <w:t xml:space="preserve">young people </w:t>
      </w:r>
      <w:r w:rsidR="00C5329E" w:rsidRPr="003A7CA2">
        <w:t xml:space="preserve">are respected during an investigation. </w:t>
      </w:r>
      <w:r w:rsidR="009F6262" w:rsidRPr="003A7CA2">
        <w:t xml:space="preserve">Procedures for identifying, </w:t>
      </w:r>
      <w:r w:rsidR="001258DD" w:rsidRPr="003A7CA2">
        <w:t>reporting,</w:t>
      </w:r>
      <w:r w:rsidR="009F6262" w:rsidRPr="003A7CA2">
        <w:t xml:space="preserve"> and managing allegations shall be transparent and dealt with in a timely, trauma informed</w:t>
      </w:r>
      <w:r w:rsidR="003D59DB" w:rsidRPr="003A7CA2">
        <w:t xml:space="preserve"> and</w:t>
      </w:r>
      <w:r w:rsidR="009F6262" w:rsidRPr="003A7CA2">
        <w:t xml:space="preserve"> culturally sensitive manner. </w:t>
      </w:r>
    </w:p>
    <w:p w14:paraId="12258405" w14:textId="25700301" w:rsidR="001258DD" w:rsidRPr="00AA47EA" w:rsidRDefault="008114B3" w:rsidP="00AA47EA">
      <w:pPr>
        <w:pStyle w:val="Heading1"/>
      </w:pPr>
      <w:bookmarkStart w:id="10" w:name="_Toc192101014"/>
      <w:bookmarkStart w:id="11" w:name="_Toc191990232"/>
      <w:bookmarkStart w:id="12" w:name="_Toc191990315"/>
      <w:bookmarkStart w:id="13" w:name="_Toc192083500"/>
      <w:bookmarkStart w:id="14" w:name="_Toc192101015"/>
      <w:bookmarkStart w:id="15" w:name="_Toc191990233"/>
      <w:bookmarkStart w:id="16" w:name="_Toc191990316"/>
      <w:bookmarkStart w:id="17" w:name="_Toc192083501"/>
      <w:bookmarkStart w:id="18" w:name="_Toc192101016"/>
      <w:bookmarkStart w:id="19" w:name="_Toc191990234"/>
      <w:bookmarkStart w:id="20" w:name="_Toc191990317"/>
      <w:bookmarkStart w:id="21" w:name="_Toc192083502"/>
      <w:bookmarkStart w:id="22" w:name="_Toc192101017"/>
      <w:bookmarkStart w:id="23" w:name="_Toc191990235"/>
      <w:bookmarkStart w:id="24" w:name="_Toc191990318"/>
      <w:bookmarkStart w:id="25" w:name="_Toc192083503"/>
      <w:bookmarkStart w:id="26" w:name="_Toc192101018"/>
      <w:bookmarkStart w:id="27" w:name="_Toc191990236"/>
      <w:bookmarkStart w:id="28" w:name="_Toc191990319"/>
      <w:bookmarkStart w:id="29" w:name="_Toc192083504"/>
      <w:bookmarkStart w:id="30" w:name="_Toc192101019"/>
      <w:bookmarkStart w:id="31" w:name="_Toc25127851"/>
      <w:bookmarkStart w:id="32" w:name="_Toc26508824"/>
      <w:bookmarkStart w:id="33" w:name="_Toc149559191"/>
      <w:bookmarkStart w:id="34" w:name="_Toc1969772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721B2C">
        <w:lastRenderedPageBreak/>
        <w:t>Procedures</w:t>
      </w:r>
      <w:bookmarkEnd w:id="31"/>
      <w:bookmarkEnd w:id="32"/>
      <w:bookmarkEnd w:id="33"/>
      <w:r w:rsidR="00CB58EC" w:rsidRPr="003A7CA2">
        <w:t xml:space="preserve"> for all allegations</w:t>
      </w:r>
      <w:r w:rsidR="00D45945">
        <w:t xml:space="preserve"> where the </w:t>
      </w:r>
      <w:r w:rsidR="00660CCE">
        <w:t xml:space="preserve">alleged </w:t>
      </w:r>
      <w:r w:rsidR="00D45945">
        <w:t>offence occurred in</w:t>
      </w:r>
      <w:r w:rsidR="00A56580">
        <w:t xml:space="preserve"> community </w:t>
      </w:r>
      <w:r w:rsidR="00D45945">
        <w:t>or</w:t>
      </w:r>
      <w:r w:rsidR="00A56580">
        <w:t xml:space="preserve"> custody</w:t>
      </w:r>
      <w:r w:rsidR="00D45945">
        <w:t xml:space="preserve"> settings</w:t>
      </w:r>
      <w:r w:rsidR="00CB58EC" w:rsidRPr="003A7CA2">
        <w:t xml:space="preserve"> </w:t>
      </w:r>
      <w:r w:rsidR="004D0E82">
        <w:t>(</w:t>
      </w:r>
      <w:r w:rsidR="00CB58EC" w:rsidRPr="003A7CA2">
        <w:t>excluding child sexual abuse</w:t>
      </w:r>
      <w:r w:rsidR="004D0E82">
        <w:t>)</w:t>
      </w:r>
      <w:bookmarkEnd w:id="34"/>
    </w:p>
    <w:p w14:paraId="6342B7DB" w14:textId="778A3E1C" w:rsidR="00FF790F" w:rsidRDefault="001E753B" w:rsidP="00B458BD">
      <w:pPr>
        <w:pStyle w:val="Heading2"/>
      </w:pPr>
      <w:bookmarkStart w:id="35" w:name="_Toc191990238"/>
      <w:bookmarkStart w:id="36" w:name="_Toc191990321"/>
      <w:bookmarkStart w:id="37" w:name="_Toc192083506"/>
      <w:bookmarkStart w:id="38" w:name="_Toc192101021"/>
      <w:bookmarkStart w:id="39" w:name="_Toc25127852"/>
      <w:bookmarkStart w:id="40" w:name="_Toc26508825"/>
      <w:bookmarkStart w:id="41" w:name="_Toc149559192"/>
      <w:bookmarkStart w:id="42" w:name="_Toc196977258"/>
      <w:bookmarkEnd w:id="35"/>
      <w:bookmarkEnd w:id="36"/>
      <w:bookmarkEnd w:id="37"/>
      <w:bookmarkEnd w:id="38"/>
      <w:r>
        <w:t xml:space="preserve">Immediate </w:t>
      </w:r>
      <w:r w:rsidR="00FF790F">
        <w:t>considerations</w:t>
      </w:r>
      <w:bookmarkEnd w:id="39"/>
      <w:bookmarkEnd w:id="40"/>
      <w:bookmarkEnd w:id="41"/>
      <w:bookmarkEnd w:id="42"/>
    </w:p>
    <w:p w14:paraId="2BBD819C" w14:textId="4B07E951" w:rsidR="00B3693E" w:rsidRPr="00B3693E" w:rsidRDefault="00FF790F" w:rsidP="00B458BD">
      <w:pPr>
        <w:pStyle w:val="Heading3"/>
        <w:spacing w:before="240"/>
      </w:pPr>
      <w:bookmarkStart w:id="43" w:name="_Toc25127853"/>
      <w:r>
        <w:t xml:space="preserve">There are a number of immediate processes </w:t>
      </w:r>
      <w:r w:rsidR="00B221AC">
        <w:t xml:space="preserve">staff </w:t>
      </w:r>
      <w:r>
        <w:t xml:space="preserve">may need to consider </w:t>
      </w:r>
      <w:r w:rsidR="00E30645">
        <w:t xml:space="preserve">and act upon </w:t>
      </w:r>
      <w:r>
        <w:t xml:space="preserve">when </w:t>
      </w:r>
      <w:r w:rsidR="00184217">
        <w:t xml:space="preserve">receiving </w:t>
      </w:r>
      <w:r>
        <w:t>an allegation</w:t>
      </w:r>
      <w:r w:rsidR="00A73733">
        <w:t xml:space="preserve"> </w:t>
      </w:r>
      <w:r w:rsidR="00F32D36">
        <w:t>from</w:t>
      </w:r>
      <w:r w:rsidR="00DE7CD5">
        <w:t xml:space="preserve"> </w:t>
      </w:r>
      <w:r w:rsidR="00A73733">
        <w:t xml:space="preserve">a </w:t>
      </w:r>
      <w:r w:rsidR="007D11B8">
        <w:t>young person</w:t>
      </w:r>
      <w:r w:rsidR="00A81F84">
        <w:t>. Th</w:t>
      </w:r>
      <w:r w:rsidR="00F32D36">
        <w:t>ese</w:t>
      </w:r>
      <w:r w:rsidR="00A81F84">
        <w:t xml:space="preserve"> include</w:t>
      </w:r>
      <w:r w:rsidR="001B2407">
        <w:t>,</w:t>
      </w:r>
      <w:r w:rsidR="00A81F84">
        <w:t xml:space="preserve"> but </w:t>
      </w:r>
      <w:r w:rsidR="00F32D36">
        <w:t>are</w:t>
      </w:r>
      <w:r w:rsidR="00A81F84">
        <w:t xml:space="preserve"> not limited to</w:t>
      </w:r>
      <w:bookmarkEnd w:id="43"/>
      <w:r w:rsidR="00016246">
        <w:t>:</w:t>
      </w:r>
    </w:p>
    <w:p w14:paraId="7D9FF10E" w14:textId="7E625C38" w:rsidR="00457E6F" w:rsidRPr="00457E6F" w:rsidRDefault="00457E6F" w:rsidP="003D59DB">
      <w:pPr>
        <w:pStyle w:val="ListParagraph"/>
        <w:numPr>
          <w:ilvl w:val="0"/>
          <w:numId w:val="6"/>
        </w:numPr>
        <w:spacing w:before="120" w:after="120"/>
        <w:ind w:left="1134" w:hanging="425"/>
        <w:contextualSpacing w:val="0"/>
      </w:pPr>
      <w:r>
        <w:t xml:space="preserve">the immediate safety </w:t>
      </w:r>
      <w:r w:rsidR="00485EF8">
        <w:t xml:space="preserve">and welfare </w:t>
      </w:r>
      <w:r w:rsidR="001B7DF8">
        <w:t xml:space="preserve">of the </w:t>
      </w:r>
      <w:r w:rsidR="007D11B8">
        <w:t>young person</w:t>
      </w:r>
      <w:r w:rsidR="00A03512">
        <w:t xml:space="preserve">, including </w:t>
      </w:r>
      <w:r w:rsidR="00C62764">
        <w:t xml:space="preserve">calling for </w:t>
      </w:r>
      <w:r w:rsidR="00A03512">
        <w:t>assistance</w:t>
      </w:r>
      <w:r w:rsidR="00C36722">
        <w:t xml:space="preserve"> </w:t>
      </w:r>
      <w:r w:rsidR="007D11B8">
        <w:t xml:space="preserve">and support </w:t>
      </w:r>
      <w:r w:rsidR="00F32D36">
        <w:t>from</w:t>
      </w:r>
      <w:r w:rsidR="007D11B8">
        <w:t xml:space="preserve"> </w:t>
      </w:r>
      <w:r w:rsidR="004D0E82">
        <w:t>support services staff such as Health Services and Youth Justice Psychological Services (when available and appropriate)</w:t>
      </w:r>
      <w:r w:rsidR="007D11B8">
        <w:t xml:space="preserve"> or any staff member identified by the young person as having a positive relationship with </w:t>
      </w:r>
      <w:r w:rsidR="00FA59D1">
        <w:t>them</w:t>
      </w:r>
      <w:r w:rsidR="004D0E82">
        <w:t xml:space="preserve"> (such as an Aboriginal Youth Support Officer, Senior Case Manager, custodial staff member or Youth Justice Officer)</w:t>
      </w:r>
      <w:r w:rsidR="00A40B3B">
        <w:t xml:space="preserve">. </w:t>
      </w:r>
    </w:p>
    <w:p w14:paraId="1CB8D781" w14:textId="0A65D5C8" w:rsidR="00A40B3B" w:rsidRDefault="00E4277D" w:rsidP="00A40B3B">
      <w:pPr>
        <w:pStyle w:val="ListParagraph"/>
        <w:numPr>
          <w:ilvl w:val="0"/>
          <w:numId w:val="6"/>
        </w:numPr>
        <w:spacing w:before="120" w:after="120"/>
        <w:ind w:left="1134" w:hanging="425"/>
        <w:contextualSpacing w:val="0"/>
      </w:pPr>
      <w:bookmarkStart w:id="44" w:name="_Toc25127854"/>
      <w:r>
        <w:t>incident</w:t>
      </w:r>
      <w:r w:rsidR="00A40B3B">
        <w:t xml:space="preserve"> scene preservation </w:t>
      </w:r>
    </w:p>
    <w:p w14:paraId="5C26EFEA" w14:textId="7F15363D" w:rsidR="00300165" w:rsidRDefault="00300165" w:rsidP="003D59DB">
      <w:pPr>
        <w:pStyle w:val="ListParagraph"/>
        <w:numPr>
          <w:ilvl w:val="0"/>
          <w:numId w:val="6"/>
        </w:numPr>
        <w:spacing w:before="120" w:after="120"/>
        <w:ind w:left="1134" w:hanging="425"/>
        <w:contextualSpacing w:val="0"/>
      </w:pPr>
      <w:r>
        <w:t>the type and severity of the allegation, for example, the allegation</w:t>
      </w:r>
      <w:r w:rsidR="00FC6645">
        <w:t xml:space="preserve"> </w:t>
      </w:r>
      <w:r w:rsidR="002B253F">
        <w:t xml:space="preserve">may </w:t>
      </w:r>
      <w:r>
        <w:t>require reporting to the</w:t>
      </w:r>
      <w:r w:rsidR="00710D94">
        <w:t xml:space="preserve"> Communities</w:t>
      </w:r>
      <w:r w:rsidR="004D0E82">
        <w:t>,</w:t>
      </w:r>
      <w:r w:rsidR="00710D94">
        <w:t xml:space="preserve"> </w:t>
      </w:r>
      <w:r w:rsidR="00660CCE">
        <w:t>WAPF</w:t>
      </w:r>
      <w:r w:rsidR="007D11B8">
        <w:t>,</w:t>
      </w:r>
      <w:r w:rsidR="004D0E82">
        <w:t xml:space="preserve"> People, Culture and Standards</w:t>
      </w:r>
      <w:r>
        <w:t xml:space="preserve"> and/or </w:t>
      </w:r>
      <w:r w:rsidR="0072546F">
        <w:t xml:space="preserve">may </w:t>
      </w:r>
      <w:r>
        <w:t xml:space="preserve">relate to a potential charge </w:t>
      </w:r>
      <w:r w:rsidR="004C2ECF">
        <w:t xml:space="preserve">or </w:t>
      </w:r>
      <w:r w:rsidR="00FA59D1">
        <w:t>offence</w:t>
      </w:r>
    </w:p>
    <w:p w14:paraId="5E5C6F92" w14:textId="7B2D8670" w:rsidR="004325BF" w:rsidRDefault="00715045" w:rsidP="003D59DB">
      <w:pPr>
        <w:pStyle w:val="ListParagraph"/>
        <w:numPr>
          <w:ilvl w:val="0"/>
          <w:numId w:val="6"/>
        </w:numPr>
        <w:spacing w:before="120" w:after="120"/>
        <w:ind w:left="1134" w:hanging="425"/>
        <w:contextualSpacing w:val="0"/>
      </w:pPr>
      <w:r>
        <w:t>e</w:t>
      </w:r>
      <w:r w:rsidR="004325BF">
        <w:t>scalation</w:t>
      </w:r>
    </w:p>
    <w:p w14:paraId="35B100B3" w14:textId="3BD0B4AB" w:rsidR="00A81F84" w:rsidRDefault="00A81F84" w:rsidP="003D59DB">
      <w:pPr>
        <w:pStyle w:val="ListParagraph"/>
        <w:numPr>
          <w:ilvl w:val="0"/>
          <w:numId w:val="6"/>
        </w:numPr>
        <w:spacing w:before="120" w:after="120"/>
        <w:ind w:left="1134" w:hanging="425"/>
        <w:contextualSpacing w:val="0"/>
      </w:pPr>
      <w:bookmarkStart w:id="45" w:name="_Toc25127855"/>
      <w:bookmarkEnd w:id="44"/>
      <w:r>
        <w:t>the time</w:t>
      </w:r>
      <w:r w:rsidR="00E06F98">
        <w:t xml:space="preserve"> frame</w:t>
      </w:r>
      <w:r>
        <w:t xml:space="preserve"> of the allegation</w:t>
      </w:r>
      <w:bookmarkEnd w:id="45"/>
    </w:p>
    <w:p w14:paraId="7C4A4FB9" w14:textId="6C75AC7E" w:rsidR="004325BF" w:rsidRPr="004325BF" w:rsidRDefault="00BB31C2" w:rsidP="003D59DB">
      <w:pPr>
        <w:pStyle w:val="ListParagraph"/>
        <w:numPr>
          <w:ilvl w:val="0"/>
          <w:numId w:val="6"/>
        </w:numPr>
        <w:spacing w:before="120" w:after="120"/>
        <w:ind w:left="1134" w:hanging="425"/>
        <w:contextualSpacing w:val="0"/>
      </w:pPr>
      <w:r>
        <w:t xml:space="preserve">additional </w:t>
      </w:r>
      <w:r w:rsidR="004325BF">
        <w:t>reporting</w:t>
      </w:r>
    </w:p>
    <w:p w14:paraId="15C8BC96" w14:textId="2D1F70F8" w:rsidR="009D7E37" w:rsidRDefault="000C0133" w:rsidP="003102E0">
      <w:pPr>
        <w:pStyle w:val="Heading2"/>
        <w:keepNext w:val="0"/>
        <w:keepLines w:val="0"/>
        <w:widowControl w:val="0"/>
        <w:ind w:left="862" w:hanging="578"/>
      </w:pPr>
      <w:bookmarkStart w:id="46" w:name="_Toc26508826"/>
      <w:bookmarkStart w:id="47" w:name="_Toc149559193"/>
      <w:bookmarkStart w:id="48" w:name="_Toc196977259"/>
      <w:bookmarkStart w:id="49" w:name="_Toc25127858"/>
      <w:r>
        <w:t>Ongoing s</w:t>
      </w:r>
      <w:r w:rsidR="009D7E37">
        <w:t>afety and welfare</w:t>
      </w:r>
      <w:bookmarkEnd w:id="46"/>
      <w:bookmarkEnd w:id="47"/>
      <w:bookmarkEnd w:id="48"/>
    </w:p>
    <w:p w14:paraId="50F78A9B" w14:textId="12649A5F" w:rsidR="009D7E37" w:rsidRDefault="009D7E37" w:rsidP="003102E0">
      <w:pPr>
        <w:pStyle w:val="Heading3"/>
        <w:keepNext w:val="0"/>
        <w:keepLines w:val="0"/>
        <w:widowControl w:val="0"/>
        <w:spacing w:before="240"/>
      </w:pPr>
      <w:r>
        <w:t xml:space="preserve">The safety and welfare of the </w:t>
      </w:r>
      <w:r w:rsidR="007D11B8">
        <w:t xml:space="preserve">young person </w:t>
      </w:r>
      <w:r>
        <w:t>is paramount</w:t>
      </w:r>
      <w:r w:rsidR="00E34EA8">
        <w:t xml:space="preserve"> at all times</w:t>
      </w:r>
      <w:r w:rsidR="00F32D36">
        <w:t>. T</w:t>
      </w:r>
      <w:r w:rsidR="00DD2CD4">
        <w:t xml:space="preserve">he </w:t>
      </w:r>
      <w:r w:rsidR="00A72EAD">
        <w:t xml:space="preserve">staff member </w:t>
      </w:r>
      <w:r w:rsidR="00DD2CD4">
        <w:t xml:space="preserve">shall call for </w:t>
      </w:r>
      <w:r w:rsidR="000E07A1">
        <w:t xml:space="preserve">additional </w:t>
      </w:r>
      <w:r>
        <w:t>assistance as required</w:t>
      </w:r>
      <w:r w:rsidR="00E34EA8">
        <w:t xml:space="preserve"> at any stage during</w:t>
      </w:r>
      <w:r w:rsidR="00F32D36">
        <w:t>,</w:t>
      </w:r>
      <w:r w:rsidR="00E34EA8">
        <w:t xml:space="preserve"> or at the completion of</w:t>
      </w:r>
      <w:r w:rsidR="00F32D36">
        <w:t>,</w:t>
      </w:r>
      <w:r w:rsidR="00E34EA8">
        <w:t xml:space="preserve"> the</w:t>
      </w:r>
      <w:r w:rsidR="004D0E82">
        <w:t xml:space="preserve"> initial response and reporting</w:t>
      </w:r>
      <w:r w:rsidR="00E34EA8">
        <w:t xml:space="preserve"> process</w:t>
      </w:r>
      <w:r>
        <w:t>.</w:t>
      </w:r>
      <w:r w:rsidR="001924FA">
        <w:t xml:space="preserve"> </w:t>
      </w:r>
    </w:p>
    <w:p w14:paraId="30A2F155" w14:textId="16F1D24E" w:rsidR="00B470CC" w:rsidRPr="00B470CC" w:rsidRDefault="00B221AC" w:rsidP="003102E0">
      <w:pPr>
        <w:pStyle w:val="Heading3"/>
        <w:keepNext w:val="0"/>
        <w:keepLines w:val="0"/>
        <w:widowControl w:val="0"/>
      </w:pPr>
      <w:bookmarkStart w:id="50" w:name="_Toc25127861"/>
      <w:r>
        <w:t xml:space="preserve">Staff </w:t>
      </w:r>
      <w:r w:rsidR="00B470CC" w:rsidRPr="00C26397">
        <w:t xml:space="preserve">must be </w:t>
      </w:r>
      <w:r w:rsidR="000B2587">
        <w:t xml:space="preserve">mindful </w:t>
      </w:r>
      <w:r w:rsidR="00B470CC" w:rsidRPr="00C26397">
        <w:t xml:space="preserve">of the vulnerability of </w:t>
      </w:r>
      <w:r w:rsidR="007D11B8">
        <w:t xml:space="preserve">young people </w:t>
      </w:r>
      <w:r w:rsidR="00B470CC" w:rsidRPr="00C26397">
        <w:t xml:space="preserve">involved and </w:t>
      </w:r>
      <w:bookmarkEnd w:id="50"/>
      <w:r w:rsidR="004D0E82">
        <w:t xml:space="preserve">consider further supports the young person may need including but not limited </w:t>
      </w:r>
      <w:r w:rsidR="00660CCE">
        <w:t>to</w:t>
      </w:r>
      <w:r w:rsidR="004D0E82">
        <w:t xml:space="preserve"> contact with family, friends, access to support services staff, increased supervision and a different accommodation placement.</w:t>
      </w:r>
    </w:p>
    <w:p w14:paraId="4728C748" w14:textId="734EE720" w:rsidR="004325BF" w:rsidRDefault="004325BF" w:rsidP="003102E0">
      <w:pPr>
        <w:pStyle w:val="Heading2"/>
        <w:keepNext w:val="0"/>
        <w:keepLines w:val="0"/>
        <w:widowControl w:val="0"/>
        <w:ind w:left="862" w:hanging="578"/>
      </w:pPr>
      <w:bookmarkStart w:id="51" w:name="_Escalation,_evidence_preservation"/>
      <w:bookmarkStart w:id="52" w:name="_Toc26508827"/>
      <w:bookmarkStart w:id="53" w:name="_Toc149559194"/>
      <w:bookmarkStart w:id="54" w:name="_Toc196977260"/>
      <w:bookmarkEnd w:id="51"/>
      <w:r>
        <w:t>Escalation</w:t>
      </w:r>
      <w:r w:rsidR="00555112">
        <w:t xml:space="preserve">, </w:t>
      </w:r>
      <w:r w:rsidR="007D48FC">
        <w:t>evidence preservation</w:t>
      </w:r>
      <w:bookmarkEnd w:id="52"/>
      <w:r w:rsidR="009459A4">
        <w:t xml:space="preserve"> and initial notifications</w:t>
      </w:r>
      <w:bookmarkEnd w:id="53"/>
      <w:bookmarkEnd w:id="54"/>
    </w:p>
    <w:p w14:paraId="36605AD3" w14:textId="796E6678" w:rsidR="004D0E82" w:rsidRDefault="00B221AC" w:rsidP="003102E0">
      <w:pPr>
        <w:pStyle w:val="Heading3"/>
        <w:keepNext w:val="0"/>
        <w:keepLines w:val="0"/>
        <w:widowControl w:val="0"/>
        <w:spacing w:before="240"/>
      </w:pPr>
      <w:r>
        <w:t xml:space="preserve">Staff </w:t>
      </w:r>
      <w:r w:rsidR="00F320CB">
        <w:t>shall</w:t>
      </w:r>
      <w:r w:rsidR="00121F40">
        <w:t>, where possible,</w:t>
      </w:r>
      <w:r w:rsidR="00F320CB">
        <w:t xml:space="preserve"> </w:t>
      </w:r>
      <w:r w:rsidR="00F40C35">
        <w:t>determine</w:t>
      </w:r>
      <w:r w:rsidRPr="00B221AC">
        <w:t xml:space="preserve"> </w:t>
      </w:r>
      <w:r>
        <w:t xml:space="preserve">whether the allegation relates to </w:t>
      </w:r>
      <w:r w:rsidR="004D0E82">
        <w:t xml:space="preserve">a </w:t>
      </w:r>
      <w:r>
        <w:t>detention centre or community</w:t>
      </w:r>
      <w:r w:rsidR="004D0E82">
        <w:t xml:space="preserve"> setting</w:t>
      </w:r>
      <w:r w:rsidR="00F32D36">
        <w:t>,</w:t>
      </w:r>
      <w:r w:rsidR="00F40C35">
        <w:t xml:space="preserve"> and manage accordingly.</w:t>
      </w:r>
      <w:r>
        <w:t xml:space="preserve"> </w:t>
      </w:r>
      <w:r w:rsidR="00990D0F">
        <w:t xml:space="preserve">An </w:t>
      </w:r>
      <w:r>
        <w:t xml:space="preserve">allegation relating to </w:t>
      </w:r>
      <w:r w:rsidR="004D0E82">
        <w:t xml:space="preserve">a </w:t>
      </w:r>
      <w:r>
        <w:t xml:space="preserve">detention centre </w:t>
      </w:r>
      <w:r w:rsidR="00990D0F">
        <w:t xml:space="preserve">and occurring in a recent time period, </w:t>
      </w:r>
      <w:r>
        <w:t xml:space="preserve">will require immediate escalation and possible </w:t>
      </w:r>
      <w:r w:rsidR="00E4277D">
        <w:t>incident</w:t>
      </w:r>
      <w:r>
        <w:t xml:space="preserve"> scene preservation</w:t>
      </w:r>
      <w:r w:rsidR="00AF5FAB">
        <w:t xml:space="preserve"> in accordance with COPP 8.2 Use of Force and Restraints, section 14.4 Evidence and scene preservation</w:t>
      </w:r>
      <w:r w:rsidR="00990D0F">
        <w:t xml:space="preserve">.  </w:t>
      </w:r>
    </w:p>
    <w:p w14:paraId="4CB816E0" w14:textId="6F5FF6E8" w:rsidR="00F320CB" w:rsidRDefault="00990D0F" w:rsidP="003102E0">
      <w:pPr>
        <w:pStyle w:val="Heading3"/>
        <w:keepNext w:val="0"/>
        <w:keepLines w:val="0"/>
        <w:widowControl w:val="0"/>
        <w:spacing w:before="240"/>
      </w:pPr>
      <w:r>
        <w:t>A</w:t>
      </w:r>
      <w:r w:rsidR="00B221AC">
        <w:t xml:space="preserve">n allegation relating to the community will require immediate notification to relevant </w:t>
      </w:r>
      <w:r w:rsidR="00AF5FAB">
        <w:t>personnel and</w:t>
      </w:r>
      <w:r w:rsidR="002B4686">
        <w:t>,</w:t>
      </w:r>
      <w:r>
        <w:t xml:space="preserve"> depending on </w:t>
      </w:r>
      <w:r w:rsidR="00AF5FAB">
        <w:t>the allegation time period</w:t>
      </w:r>
      <w:r>
        <w:t xml:space="preserve"> and circumstances</w:t>
      </w:r>
      <w:r w:rsidR="002B4686">
        <w:t>,</w:t>
      </w:r>
      <w:r>
        <w:t xml:space="preserve"> may require preservation of the young person’s clothes and belongings</w:t>
      </w:r>
      <w:r w:rsidR="00DE41A7">
        <w:t>.</w:t>
      </w:r>
      <w:r w:rsidR="00F32D36">
        <w:t xml:space="preserve"> </w:t>
      </w:r>
      <w:r w:rsidR="00AF5FAB">
        <w:t>This will be pertinent if the allegation is made upon a young person’s admission</w:t>
      </w:r>
      <w:r w:rsidR="002B4686">
        <w:t>,</w:t>
      </w:r>
      <w:r w:rsidR="00AF5FAB">
        <w:t xml:space="preserve"> or if the alleged offence occurred immediately before the young person’s admission </w:t>
      </w:r>
      <w:r w:rsidR="00F32D36">
        <w:t>(</w:t>
      </w:r>
      <w:r w:rsidR="003730C8">
        <w:t xml:space="preserve">refer </w:t>
      </w:r>
      <w:r w:rsidR="003730C8" w:rsidRPr="002B4686">
        <w:rPr>
          <w:szCs w:val="24"/>
        </w:rPr>
        <w:t>to</w:t>
      </w:r>
      <w:r w:rsidR="003044D7" w:rsidRPr="003102E0">
        <w:rPr>
          <w:szCs w:val="24"/>
        </w:rPr>
        <w:t xml:space="preserve"> </w:t>
      </w:r>
      <w:hyperlink w:anchor="_Additional_Notifications" w:history="1">
        <w:r w:rsidR="003044D7" w:rsidRPr="003102E0">
          <w:rPr>
            <w:rStyle w:val="Hyperlink"/>
            <w:szCs w:val="24"/>
          </w:rPr>
          <w:t>Additional Notifications</w:t>
        </w:r>
      </w:hyperlink>
      <w:r w:rsidR="00F32D36">
        <w:t>)</w:t>
      </w:r>
      <w:r w:rsidR="002B4686">
        <w:t>.</w:t>
      </w:r>
    </w:p>
    <w:p w14:paraId="7791044C" w14:textId="6373CDF4" w:rsidR="009370B4" w:rsidRDefault="00AF5FAB" w:rsidP="0077394F">
      <w:pPr>
        <w:pStyle w:val="Heading3"/>
      </w:pPr>
      <w:r>
        <w:lastRenderedPageBreak/>
        <w:t>Depending on the nature of the allegation and confidentiality that may need to be applied (</w:t>
      </w:r>
      <w:r w:rsidR="002B4686">
        <w:t>i.e.</w:t>
      </w:r>
      <w:r>
        <w:t xml:space="preserve"> allegations against a staff member), t</w:t>
      </w:r>
      <w:r w:rsidR="00800BFA">
        <w:t xml:space="preserve">he </w:t>
      </w:r>
      <w:r w:rsidR="00B221AC">
        <w:t xml:space="preserve">staff member </w:t>
      </w:r>
      <w:r w:rsidR="003B4312">
        <w:t>shall</w:t>
      </w:r>
      <w:r w:rsidR="00C36722">
        <w:t xml:space="preserve"> </w:t>
      </w:r>
      <w:r w:rsidR="00B221AC">
        <w:t>inform</w:t>
      </w:r>
      <w:r w:rsidR="005963A0">
        <w:t xml:space="preserve"> the</w:t>
      </w:r>
      <w:r w:rsidR="00184217">
        <w:t xml:space="preserve"> </w:t>
      </w:r>
      <w:r w:rsidR="00B221AC">
        <w:t xml:space="preserve">relevant </w:t>
      </w:r>
      <w:r w:rsidR="00207E9F" w:rsidRPr="00207E9F">
        <w:t>Unit Manager</w:t>
      </w:r>
      <w:r w:rsidR="002B4686">
        <w:t>,</w:t>
      </w:r>
      <w:r>
        <w:t xml:space="preserve"> </w:t>
      </w:r>
      <w:r w:rsidR="00920922">
        <w:t>Senior</w:t>
      </w:r>
      <w:r w:rsidR="00B221AC">
        <w:t xml:space="preserve"> Officer, Assistant Superintendent Security and Manager Governance and Compliance via email (c</w:t>
      </w:r>
      <w:r w:rsidR="00F32D36">
        <w:t>opying</w:t>
      </w:r>
      <w:r w:rsidR="00B221AC">
        <w:t xml:space="preserve"> in their own </w:t>
      </w:r>
      <w:r>
        <w:t>direct line supervisor</w:t>
      </w:r>
      <w:r w:rsidR="00B221AC">
        <w:t>)</w:t>
      </w:r>
      <w:r w:rsidR="002A468A">
        <w:t xml:space="preserve">, </w:t>
      </w:r>
      <w:r w:rsidR="009370B4">
        <w:t>where they believe an allegation may result in</w:t>
      </w:r>
      <w:r w:rsidR="008C0C66">
        <w:t xml:space="preserve"> </w:t>
      </w:r>
      <w:r w:rsidR="00E7413E">
        <w:t xml:space="preserve">a </w:t>
      </w:r>
      <w:r w:rsidR="00067B1A">
        <w:t>WAPF</w:t>
      </w:r>
      <w:r w:rsidR="00E838D0">
        <w:t xml:space="preserve"> </w:t>
      </w:r>
      <w:r w:rsidR="00CD2433">
        <w:t xml:space="preserve">report </w:t>
      </w:r>
      <w:r w:rsidR="004B7B51">
        <w:t>and/</w:t>
      </w:r>
      <w:r w:rsidR="00363A60">
        <w:t xml:space="preserve">or </w:t>
      </w:r>
      <w:r w:rsidR="004B7B51">
        <w:t xml:space="preserve">a criminal charge or </w:t>
      </w:r>
      <w:r w:rsidR="009370B4">
        <w:t>off</w:t>
      </w:r>
      <w:r w:rsidR="00EC1C6D">
        <w:t xml:space="preserve">ence if proven to have occurred. </w:t>
      </w:r>
      <w:bookmarkStart w:id="55" w:name="_Hlk191989050"/>
      <w:r w:rsidR="00EC1C6D">
        <w:t>T</w:t>
      </w:r>
      <w:r w:rsidR="009370B4">
        <w:t>his includes</w:t>
      </w:r>
      <w:r w:rsidR="00297CAD">
        <w:t>,</w:t>
      </w:r>
      <w:r w:rsidR="009370B4">
        <w:t xml:space="preserve"> but is not limited to</w:t>
      </w:r>
      <w:r w:rsidR="00EC1C6D">
        <w:t xml:space="preserve"> allegations of</w:t>
      </w:r>
      <w:r w:rsidR="00016246">
        <w:t>:</w:t>
      </w:r>
      <w:bookmarkEnd w:id="55"/>
    </w:p>
    <w:p w14:paraId="4A82A6FC" w14:textId="407B8D9F" w:rsidR="009370B4" w:rsidRDefault="009370B4" w:rsidP="003D59DB">
      <w:pPr>
        <w:pStyle w:val="ListParagraph"/>
        <w:numPr>
          <w:ilvl w:val="0"/>
          <w:numId w:val="7"/>
        </w:numPr>
        <w:spacing w:before="120" w:after="120"/>
        <w:ind w:left="1134" w:hanging="425"/>
        <w:contextualSpacing w:val="0"/>
      </w:pPr>
      <w:r>
        <w:t>physical assault</w:t>
      </w:r>
    </w:p>
    <w:p w14:paraId="329610AC" w14:textId="420A769E" w:rsidR="00D87726" w:rsidRDefault="00D87726" w:rsidP="003D59DB">
      <w:pPr>
        <w:pStyle w:val="ListParagraph"/>
        <w:numPr>
          <w:ilvl w:val="0"/>
          <w:numId w:val="7"/>
        </w:numPr>
        <w:spacing w:before="120" w:after="120"/>
        <w:ind w:left="1134" w:hanging="425"/>
        <w:contextualSpacing w:val="0"/>
      </w:pPr>
      <w:r>
        <w:t>threatening behaviour</w:t>
      </w:r>
    </w:p>
    <w:p w14:paraId="619AADC1" w14:textId="37EA91F8" w:rsidR="00FB7211" w:rsidRDefault="00FB7211" w:rsidP="003D59DB">
      <w:pPr>
        <w:pStyle w:val="ListParagraph"/>
        <w:numPr>
          <w:ilvl w:val="0"/>
          <w:numId w:val="7"/>
        </w:numPr>
        <w:spacing w:before="120" w:after="120"/>
        <w:ind w:left="1134" w:hanging="425"/>
        <w:contextualSpacing w:val="0"/>
      </w:pPr>
      <w:r>
        <w:t xml:space="preserve">drug </w:t>
      </w:r>
      <w:r w:rsidR="00272FC9">
        <w:t>possession</w:t>
      </w:r>
    </w:p>
    <w:p w14:paraId="42C52B3A" w14:textId="6F903FCC" w:rsidR="000D7B78" w:rsidRDefault="00361DEC" w:rsidP="003D59DB">
      <w:pPr>
        <w:pStyle w:val="ListParagraph"/>
        <w:numPr>
          <w:ilvl w:val="0"/>
          <w:numId w:val="7"/>
        </w:numPr>
        <w:spacing w:before="120" w:after="120"/>
        <w:ind w:left="1134" w:hanging="425"/>
        <w:contextualSpacing w:val="0"/>
      </w:pPr>
      <w:r>
        <w:t>theft</w:t>
      </w:r>
      <w:r w:rsidR="004B7B51">
        <w:t>.</w:t>
      </w:r>
    </w:p>
    <w:p w14:paraId="4B496BD2" w14:textId="1A719302" w:rsidR="00FD58E2" w:rsidRPr="00E4277D" w:rsidRDefault="00FD58E2" w:rsidP="003102E0">
      <w:pPr>
        <w:pStyle w:val="ListParagraph"/>
        <w:numPr>
          <w:ilvl w:val="0"/>
          <w:numId w:val="7"/>
        </w:numPr>
        <w:spacing w:before="120" w:after="120"/>
        <w:contextualSpacing w:val="0"/>
        <w:rPr>
          <w:rFonts w:eastAsia="MS Gothic"/>
          <w:bCs/>
          <w:color w:val="000000" w:themeColor="text1"/>
          <w:szCs w:val="26"/>
        </w:rPr>
      </w:pPr>
      <w:r w:rsidRPr="00E4277D">
        <w:rPr>
          <w:rFonts w:eastAsia="MS Gothic"/>
          <w:bCs/>
          <w:color w:val="000000" w:themeColor="text1"/>
          <w:szCs w:val="26"/>
        </w:rPr>
        <w:t xml:space="preserve">If the allegations relate to potential staff misconduct, the information should only be communicated to the Superintendent and </w:t>
      </w:r>
      <w:r w:rsidR="001A2F64" w:rsidRPr="00E4277D">
        <w:rPr>
          <w:rFonts w:eastAsia="MS Gothic"/>
          <w:bCs/>
          <w:color w:val="000000" w:themeColor="text1"/>
          <w:szCs w:val="26"/>
        </w:rPr>
        <w:t xml:space="preserve">relevant </w:t>
      </w:r>
      <w:r w:rsidRPr="00E4277D">
        <w:rPr>
          <w:rFonts w:eastAsia="MS Gothic"/>
          <w:bCs/>
          <w:color w:val="000000" w:themeColor="text1"/>
          <w:szCs w:val="26"/>
        </w:rPr>
        <w:t xml:space="preserve">Deputy Superintendent, as well as a referral made </w:t>
      </w:r>
      <w:r w:rsidR="00067B1A" w:rsidRPr="00E4277D">
        <w:rPr>
          <w:rFonts w:eastAsia="MS Gothic"/>
          <w:bCs/>
          <w:color w:val="000000" w:themeColor="text1"/>
          <w:szCs w:val="26"/>
        </w:rPr>
        <w:t>to People, Culture and Standards</w:t>
      </w:r>
      <w:r w:rsidRPr="00E4277D">
        <w:rPr>
          <w:rFonts w:eastAsia="MS Gothic"/>
          <w:bCs/>
          <w:color w:val="000000" w:themeColor="text1"/>
          <w:szCs w:val="26"/>
        </w:rPr>
        <w:t>.  No other staff members are to be informed about these allegations, unless approved by the Superintendent.</w:t>
      </w:r>
    </w:p>
    <w:bookmarkEnd w:id="49"/>
    <w:p w14:paraId="5B2BD9EB" w14:textId="25CA0C0E" w:rsidR="009B18BC" w:rsidRDefault="00CA0602" w:rsidP="0077394F">
      <w:pPr>
        <w:pStyle w:val="Heading3"/>
      </w:pPr>
      <w:r>
        <w:t>T</w:t>
      </w:r>
      <w:r w:rsidR="00485FBD">
        <w:t xml:space="preserve">he </w:t>
      </w:r>
      <w:r w:rsidR="00E0059D" w:rsidRPr="00485FBD">
        <w:t>Assistant Superintendent Security</w:t>
      </w:r>
      <w:r w:rsidR="00485FBD">
        <w:t xml:space="preserve"> </w:t>
      </w:r>
      <w:r w:rsidR="00EA1E73" w:rsidRPr="00EA1E73">
        <w:t>(</w:t>
      </w:r>
      <w:r w:rsidR="00C43FC6">
        <w:t xml:space="preserve">or </w:t>
      </w:r>
      <w:r w:rsidR="00990D0F">
        <w:t>another staff member delegated by the Superintendent</w:t>
      </w:r>
      <w:r w:rsidR="00C43FC6">
        <w:t xml:space="preserve">) </w:t>
      </w:r>
      <w:r w:rsidR="00485FBD">
        <w:t xml:space="preserve">shall </w:t>
      </w:r>
      <w:r w:rsidR="009F5478">
        <w:t>seek guidance</w:t>
      </w:r>
      <w:r w:rsidR="002A468A">
        <w:t xml:space="preserve"> from </w:t>
      </w:r>
      <w:r w:rsidR="00067B1A">
        <w:t>WAPF</w:t>
      </w:r>
      <w:r w:rsidR="00E4277D">
        <w:t xml:space="preserve"> </w:t>
      </w:r>
      <w:r w:rsidR="002A468A">
        <w:t xml:space="preserve">on further management, </w:t>
      </w:r>
      <w:r>
        <w:t xml:space="preserve">where applicable, and communicate </w:t>
      </w:r>
      <w:r w:rsidR="005248FB">
        <w:t xml:space="preserve">to relevant staff. </w:t>
      </w:r>
    </w:p>
    <w:p w14:paraId="1913091B" w14:textId="191D1BE9" w:rsidR="00B46824" w:rsidRDefault="009B18BC" w:rsidP="0077394F">
      <w:pPr>
        <w:pStyle w:val="Heading3"/>
      </w:pPr>
      <w:r w:rsidRPr="009B18BC">
        <w:t xml:space="preserve">Staff are not to commence investigation where a </w:t>
      </w:r>
      <w:r w:rsidR="007D11B8">
        <w:t>young person</w:t>
      </w:r>
      <w:r w:rsidR="007D11B8" w:rsidRPr="009B18BC">
        <w:t xml:space="preserve"> </w:t>
      </w:r>
      <w:r w:rsidRPr="009B18BC">
        <w:t>alleges a criminal offence has been committed</w:t>
      </w:r>
      <w:r w:rsidR="002A468A">
        <w:t>,</w:t>
      </w:r>
      <w:r w:rsidRPr="009B18BC">
        <w:t xml:space="preserve"> and the offence has been reported to </w:t>
      </w:r>
      <w:r w:rsidR="002A468A">
        <w:br/>
      </w:r>
      <w:r w:rsidR="00067B1A">
        <w:t>WAPF</w:t>
      </w:r>
      <w:r w:rsidR="002A468A">
        <w:t>,</w:t>
      </w:r>
      <w:r w:rsidRPr="009B18BC">
        <w:t xml:space="preserve"> as this may jeopardise any subsequent investigations. </w:t>
      </w:r>
    </w:p>
    <w:p w14:paraId="7E4DC3E0" w14:textId="196CF163" w:rsidR="00952315" w:rsidRDefault="00952315" w:rsidP="0077394F">
      <w:pPr>
        <w:pStyle w:val="Heading3"/>
      </w:pPr>
      <w:r>
        <w:t>Staff discussing the allegation shall be mindful of the following:</w:t>
      </w:r>
    </w:p>
    <w:p w14:paraId="08606403" w14:textId="0CC46987" w:rsidR="00952315" w:rsidRDefault="00952315" w:rsidP="003D59DB">
      <w:pPr>
        <w:pStyle w:val="ListParagraph"/>
        <w:numPr>
          <w:ilvl w:val="0"/>
          <w:numId w:val="8"/>
        </w:numPr>
        <w:spacing w:before="120" w:after="120"/>
        <w:ind w:left="1134" w:hanging="425"/>
        <w:contextualSpacing w:val="0"/>
      </w:pPr>
      <w:r>
        <w:t xml:space="preserve">the amount of information obtained from the </w:t>
      </w:r>
      <w:r w:rsidR="00FA59D1">
        <w:t>young person</w:t>
      </w:r>
    </w:p>
    <w:p w14:paraId="74E96F79" w14:textId="77777777" w:rsidR="00952315" w:rsidRDefault="00952315" w:rsidP="003D59DB">
      <w:pPr>
        <w:pStyle w:val="ListParagraph"/>
        <w:numPr>
          <w:ilvl w:val="0"/>
          <w:numId w:val="8"/>
        </w:numPr>
        <w:spacing w:before="120" w:after="120"/>
        <w:ind w:left="1134" w:hanging="425"/>
        <w:contextualSpacing w:val="0"/>
      </w:pPr>
      <w:r>
        <w:t>establishing the facts of the allegation</w:t>
      </w:r>
    </w:p>
    <w:p w14:paraId="1DFE5AAD" w14:textId="0353F4D6" w:rsidR="00952315" w:rsidRPr="00952315" w:rsidRDefault="00952315" w:rsidP="003D59DB">
      <w:pPr>
        <w:pStyle w:val="ListParagraph"/>
        <w:numPr>
          <w:ilvl w:val="0"/>
          <w:numId w:val="8"/>
        </w:numPr>
        <w:spacing w:before="120" w:after="120"/>
        <w:ind w:left="1134" w:hanging="425"/>
        <w:contextualSpacing w:val="0"/>
      </w:pPr>
      <w:r>
        <w:t xml:space="preserve">where the allegation has the potential to result in a criminal charge, the method of collecting information, </w:t>
      </w:r>
      <w:r w:rsidRPr="00A97896">
        <w:t>for example, not using leading questions</w:t>
      </w:r>
    </w:p>
    <w:p w14:paraId="2F808C2C" w14:textId="388B4276" w:rsidR="003D59DB" w:rsidRDefault="00C500E6" w:rsidP="00AA47EA">
      <w:pPr>
        <w:pStyle w:val="Heading3"/>
        <w:keepNext w:val="0"/>
        <w:keepLines w:val="0"/>
        <w:widowControl w:val="0"/>
      </w:pPr>
      <w:bookmarkStart w:id="56" w:name="_Toc25127860"/>
      <w:bookmarkStart w:id="57" w:name="_Toc25127862"/>
      <w:r>
        <w:t xml:space="preserve">Where an allegation involves another </w:t>
      </w:r>
      <w:r w:rsidR="00FA59D1">
        <w:t>young person</w:t>
      </w:r>
      <w:r w:rsidR="00F509BE">
        <w:t>,</w:t>
      </w:r>
      <w:r>
        <w:t xml:space="preserve"> and w</w:t>
      </w:r>
      <w:r w:rsidR="004062A1">
        <w:t>here appropriate, the Unit Manager</w:t>
      </w:r>
      <w:r w:rsidR="002624C9">
        <w:t xml:space="preserve"> </w:t>
      </w:r>
      <w:r w:rsidR="004062A1">
        <w:t xml:space="preserve">shall ensure </w:t>
      </w:r>
      <w:r w:rsidR="00FA59D1">
        <w:t>young people</w:t>
      </w:r>
      <w:r w:rsidR="004062A1">
        <w:t xml:space="preserve"> allegedly involved in the incident have no contact with each other and are separated and managed appropriately.</w:t>
      </w:r>
      <w:bookmarkStart w:id="58" w:name="_Toc25127867"/>
      <w:bookmarkEnd w:id="56"/>
      <w:bookmarkEnd w:id="57"/>
      <w:r w:rsidR="00FD58E2">
        <w:t xml:space="preserve"> </w:t>
      </w:r>
    </w:p>
    <w:p w14:paraId="370AEF80" w14:textId="6528D699" w:rsidR="002624C9" w:rsidRPr="00AA47EA" w:rsidRDefault="002624C9" w:rsidP="00AA47EA">
      <w:pPr>
        <w:pStyle w:val="Heading3"/>
        <w:keepNext w:val="0"/>
        <w:keepLines w:val="0"/>
        <w:widowControl w:val="0"/>
      </w:pPr>
      <w:r w:rsidRPr="0077394F">
        <w:t>The Assista</w:t>
      </w:r>
      <w:r w:rsidR="001B768C" w:rsidRPr="0077394F">
        <w:t xml:space="preserve">nt Superintendent Security (or </w:t>
      </w:r>
      <w:r w:rsidR="00AF5FAB">
        <w:t>another staff member delegated by the Superintendent</w:t>
      </w:r>
      <w:r w:rsidRPr="0077394F">
        <w:t xml:space="preserve">) shall provide further advice on </w:t>
      </w:r>
      <w:r w:rsidR="00E4277D">
        <w:t>incident</w:t>
      </w:r>
      <w:r w:rsidRPr="0077394F">
        <w:t xml:space="preserve"> scene and evidence preservation following consultation with </w:t>
      </w:r>
      <w:r w:rsidR="00067B1A">
        <w:t>WAPF</w:t>
      </w:r>
      <w:r w:rsidR="00F509BE">
        <w:t>,</w:t>
      </w:r>
      <w:r w:rsidR="00E838D0" w:rsidRPr="0077394F">
        <w:t xml:space="preserve"> </w:t>
      </w:r>
      <w:r w:rsidR="0036017F" w:rsidRPr="0077394F">
        <w:t xml:space="preserve">and in accordance with </w:t>
      </w:r>
      <w:hyperlink r:id="rId21" w:history="1">
        <w:r w:rsidR="003D59DB">
          <w:rPr>
            <w:rStyle w:val="Hyperlink"/>
          </w:rPr>
          <w:t>SMF-DIR-003 Physical Evidence Management</w:t>
        </w:r>
      </w:hyperlink>
      <w:r w:rsidR="000F4A5C" w:rsidRPr="000F4A5C">
        <w:rPr>
          <w:rStyle w:val="Hyperlink"/>
          <w:color w:val="auto"/>
          <w:u w:val="none"/>
        </w:rPr>
        <w:t>.</w:t>
      </w:r>
    </w:p>
    <w:p w14:paraId="42FD15B9" w14:textId="35FE0EE0" w:rsidR="00952315" w:rsidRDefault="009F5478" w:rsidP="00AA47EA">
      <w:pPr>
        <w:pStyle w:val="Heading3"/>
        <w:keepNext w:val="0"/>
        <w:keepLines w:val="0"/>
        <w:widowControl w:val="0"/>
      </w:pPr>
      <w:r>
        <w:t xml:space="preserve">The Assistant </w:t>
      </w:r>
      <w:r w:rsidRPr="009F5478">
        <w:t>Superintendent Security (or</w:t>
      </w:r>
      <w:r w:rsidR="001B768C">
        <w:t xml:space="preserve"> </w:t>
      </w:r>
      <w:r w:rsidR="00AF5FAB">
        <w:t>another staff member delegated by the Superintendent</w:t>
      </w:r>
      <w:r w:rsidRPr="009F5478">
        <w:t>)</w:t>
      </w:r>
      <w:r>
        <w:t xml:space="preserve"> shall inform the Superintendent where the allegation has been reported to the </w:t>
      </w:r>
      <w:r w:rsidR="00AF5FAB">
        <w:t>WAPF</w:t>
      </w:r>
      <w:r w:rsidR="00067B1A">
        <w:t>.</w:t>
      </w:r>
    </w:p>
    <w:p w14:paraId="77342AA4" w14:textId="452A3216" w:rsidR="00F8507D" w:rsidRPr="00952315" w:rsidRDefault="00F8507D" w:rsidP="00AA47EA">
      <w:pPr>
        <w:pStyle w:val="Heading3"/>
        <w:keepNext w:val="0"/>
        <w:keepLines w:val="0"/>
        <w:widowControl w:val="0"/>
      </w:pPr>
      <w:bookmarkStart w:id="59" w:name="_Toc25127865"/>
      <w:bookmarkStart w:id="60" w:name="_Toc25127868"/>
      <w:bookmarkEnd w:id="58"/>
      <w:r>
        <w:t xml:space="preserve">The </w:t>
      </w:r>
      <w:r w:rsidR="00AF5FAB">
        <w:t>WAPF</w:t>
      </w:r>
      <w:r w:rsidR="001215ED">
        <w:t xml:space="preserve"> </w:t>
      </w:r>
      <w:r>
        <w:t>shall be informed if the victim intends to pursue a criminal charge.</w:t>
      </w:r>
    </w:p>
    <w:bookmarkEnd w:id="59"/>
    <w:p w14:paraId="58D5376F" w14:textId="0510F811" w:rsidR="00952315" w:rsidRDefault="00823815" w:rsidP="00AA47EA">
      <w:pPr>
        <w:pStyle w:val="Heading3"/>
        <w:keepNext w:val="0"/>
        <w:keepLines w:val="0"/>
        <w:widowControl w:val="0"/>
      </w:pPr>
      <w:r>
        <w:t xml:space="preserve">The Superintendent shall notify the </w:t>
      </w:r>
      <w:r w:rsidR="0034545B">
        <w:t xml:space="preserve">Assistant </w:t>
      </w:r>
      <w:r>
        <w:t>Commissioner Young Pe</w:t>
      </w:r>
      <w:r w:rsidR="00496C1F">
        <w:t>ople</w:t>
      </w:r>
      <w:r w:rsidR="001B2407">
        <w:t xml:space="preserve"> of allegations which may result in a criminal</w:t>
      </w:r>
      <w:r w:rsidR="00017A59">
        <w:t xml:space="preserve"> charge</w:t>
      </w:r>
      <w:bookmarkStart w:id="61" w:name="_Toc23752866"/>
      <w:bookmarkEnd w:id="60"/>
      <w:r w:rsidR="00555112">
        <w:t>.</w:t>
      </w:r>
    </w:p>
    <w:p w14:paraId="772BF3EF" w14:textId="77777777" w:rsidR="00A56580" w:rsidRDefault="00A56580" w:rsidP="00A56580">
      <w:pPr>
        <w:pStyle w:val="Heading3"/>
        <w:keepNext w:val="0"/>
        <w:keepLines w:val="0"/>
        <w:widowControl w:val="0"/>
      </w:pPr>
      <w:r>
        <w:lastRenderedPageBreak/>
        <w:t>There a</w:t>
      </w:r>
      <w:r w:rsidRPr="00710D94">
        <w:t>re additional considerations for staff when a young person makes an allegation of child abuse.</w:t>
      </w:r>
      <w:r>
        <w:t xml:space="preserve"> This includes, but is not limited to allegations of: </w:t>
      </w:r>
    </w:p>
    <w:p w14:paraId="6C3A09F0" w14:textId="77777777" w:rsidR="00A56580" w:rsidRDefault="00A56580" w:rsidP="00A56580">
      <w:pPr>
        <w:pStyle w:val="ListParagraph"/>
        <w:widowControl w:val="0"/>
        <w:numPr>
          <w:ilvl w:val="0"/>
          <w:numId w:val="48"/>
        </w:numPr>
        <w:spacing w:before="120" w:after="120"/>
        <w:contextualSpacing w:val="0"/>
      </w:pPr>
      <w:r>
        <w:t xml:space="preserve"> Neglect</w:t>
      </w:r>
    </w:p>
    <w:p w14:paraId="099C2E9B" w14:textId="77777777" w:rsidR="00A56580" w:rsidRDefault="00A56580" w:rsidP="00A56580">
      <w:pPr>
        <w:pStyle w:val="ListParagraph"/>
        <w:widowControl w:val="0"/>
        <w:numPr>
          <w:ilvl w:val="0"/>
          <w:numId w:val="48"/>
        </w:numPr>
        <w:spacing w:before="120" w:after="120"/>
        <w:ind w:left="1134" w:hanging="425"/>
        <w:contextualSpacing w:val="0"/>
      </w:pPr>
      <w:r>
        <w:t>Physical Abuse</w:t>
      </w:r>
    </w:p>
    <w:p w14:paraId="47B4B1DF" w14:textId="77777777" w:rsidR="00A56580" w:rsidRDefault="00A56580" w:rsidP="00A56580">
      <w:pPr>
        <w:pStyle w:val="ListParagraph"/>
        <w:widowControl w:val="0"/>
        <w:numPr>
          <w:ilvl w:val="0"/>
          <w:numId w:val="48"/>
        </w:numPr>
        <w:spacing w:before="120" w:after="120"/>
        <w:ind w:left="1134" w:hanging="425"/>
        <w:contextualSpacing w:val="0"/>
      </w:pPr>
      <w:r>
        <w:t>Emotional Abuse</w:t>
      </w:r>
    </w:p>
    <w:p w14:paraId="7A188F60" w14:textId="5C116E75" w:rsidR="00A56580" w:rsidRPr="00710D94" w:rsidRDefault="00A56580" w:rsidP="00A56580">
      <w:pPr>
        <w:pStyle w:val="ListParagraph"/>
        <w:widowControl w:val="0"/>
        <w:numPr>
          <w:ilvl w:val="0"/>
          <w:numId w:val="48"/>
        </w:numPr>
        <w:spacing w:before="120" w:after="120"/>
        <w:ind w:left="1134" w:hanging="425"/>
        <w:contextualSpacing w:val="0"/>
      </w:pPr>
      <w:r>
        <w:t xml:space="preserve">Family </w:t>
      </w:r>
      <w:r w:rsidR="000F4A5C">
        <w:t xml:space="preserve">and </w:t>
      </w:r>
      <w:r>
        <w:t>Domestic Violence</w:t>
      </w:r>
    </w:p>
    <w:p w14:paraId="1B414E23" w14:textId="16E7FA67" w:rsidR="00A56580" w:rsidRPr="00E449C8" w:rsidRDefault="00A56580" w:rsidP="00A56580">
      <w:r>
        <w:t xml:space="preserve">If staff have a concern about a young </w:t>
      </w:r>
      <w:r w:rsidR="00E4277D">
        <w:t>person but</w:t>
      </w:r>
      <w:r>
        <w:t xml:space="preserve"> have not formed a belief that the young person has been subject to child sexual abuse, staff are required to submit a Child Protection Referral</w:t>
      </w:r>
      <w:r w:rsidR="00067B1A">
        <w:t>.</w:t>
      </w:r>
      <w:r w:rsidRPr="00AA47EA">
        <w:rPr>
          <w:rFonts w:eastAsia="MS Gothic"/>
          <w:bCs/>
          <w:color w:val="000000" w:themeColor="text1"/>
          <w:szCs w:val="26"/>
          <w:highlight w:val="yellow"/>
        </w:rPr>
        <w:t xml:space="preserve"> </w:t>
      </w:r>
    </w:p>
    <w:p w14:paraId="335F5CB9" w14:textId="77777777" w:rsidR="00A56580" w:rsidRPr="00E449C8" w:rsidRDefault="00A56580" w:rsidP="00A56580">
      <w:pPr>
        <w:pStyle w:val="Heading2"/>
        <w:keepNext w:val="0"/>
        <w:keepLines w:val="0"/>
        <w:widowControl w:val="0"/>
        <w:ind w:left="862" w:hanging="578"/>
      </w:pPr>
      <w:bookmarkStart w:id="62" w:name="_Toc196977261"/>
      <w:r w:rsidRPr="00E449C8">
        <w:t>Professional Referral Process</w:t>
      </w:r>
      <w:bookmarkEnd w:id="62"/>
    </w:p>
    <w:p w14:paraId="6C74EE09" w14:textId="386CD66A" w:rsidR="00A56580" w:rsidRDefault="00A56580" w:rsidP="00A56580">
      <w:pPr>
        <w:pStyle w:val="Heading3"/>
        <w:keepNext w:val="0"/>
        <w:keepLines w:val="0"/>
        <w:widowControl w:val="0"/>
      </w:pPr>
      <w:r>
        <w:t xml:space="preserve">Staff are required to document on </w:t>
      </w:r>
      <w:r w:rsidR="002B4686">
        <w:t>the Total Offender Management Solution (</w:t>
      </w:r>
      <w:r>
        <w:t>TOMS</w:t>
      </w:r>
      <w:r w:rsidR="002B4686">
        <w:t>)</w:t>
      </w:r>
      <w:r>
        <w:t xml:space="preserve">, in offender </w:t>
      </w:r>
      <w:r w:rsidR="001215ED">
        <w:t>notes</w:t>
      </w:r>
      <w:r>
        <w:t>, that a Child Protection Referral has been made. Upon lodgement of the Referral Form, the staff member will be provided with a message of acknowledgement from Communities, including the original referral. The staff member is to record that a referral has been made utilising the “Mandatory Report/CPFS Referral” category tag, offender note confirming the date and time the referral was submitted, and acknowledgement received. No further information is to be recorded other than “Referral submitted</w:t>
      </w:r>
      <w:r w:rsidR="000F4A5C">
        <w:t>,</w:t>
      </w:r>
      <w:r>
        <w:t xml:space="preserve"> acknowledgement email received</w:t>
      </w:r>
      <w:r w:rsidR="000F4A5C">
        <w:t>,</w:t>
      </w:r>
      <w:r>
        <w:t xml:space="preserve"> date and time”</w:t>
      </w:r>
      <w:r w:rsidR="002B4686">
        <w:t>.</w:t>
      </w:r>
    </w:p>
    <w:p w14:paraId="5CDCBE63" w14:textId="1159A3EA" w:rsidR="00A56580" w:rsidRDefault="00A56580" w:rsidP="00A56580">
      <w:pPr>
        <w:pStyle w:val="Heading3"/>
        <w:keepNext w:val="0"/>
        <w:keepLines w:val="0"/>
        <w:widowControl w:val="0"/>
      </w:pPr>
      <w:r>
        <w:t xml:space="preserve">Following the Child Protection Referral being made, staff shall inform the relevant </w:t>
      </w:r>
      <w:r w:rsidRPr="00207E9F">
        <w:t>Unit Manager</w:t>
      </w:r>
      <w:r>
        <w:t xml:space="preserve">, Senior Officer, Assistant Superintendent Security and Manager Governance and Compliance via email (copying in their direct line supervisor). </w:t>
      </w:r>
    </w:p>
    <w:p w14:paraId="1B80C431" w14:textId="7AD16781" w:rsidR="00A56580" w:rsidRDefault="00A56580" w:rsidP="00A56580">
      <w:pPr>
        <w:pStyle w:val="Heading3"/>
        <w:keepNext w:val="0"/>
        <w:keepLines w:val="0"/>
        <w:widowControl w:val="0"/>
      </w:pPr>
      <w:r w:rsidRPr="008377D9">
        <w:t xml:space="preserve">In addition, the staff member must </w:t>
      </w:r>
      <w:r w:rsidRPr="00AA47EA">
        <w:t>forward the acknowledgement email received from the Communities</w:t>
      </w:r>
      <w:r w:rsidR="005963A0">
        <w:t xml:space="preserve"> to the Assistant Superintendent Security</w:t>
      </w:r>
      <w:r w:rsidRPr="008377D9">
        <w:t xml:space="preserve">. </w:t>
      </w:r>
      <w:r w:rsidRPr="007E6AA2">
        <w:t xml:space="preserve">This should also be case noted in the </w:t>
      </w:r>
      <w:r>
        <w:t>Offender Notes</w:t>
      </w:r>
      <w:r w:rsidRPr="007E6AA2">
        <w:t xml:space="preserve"> utilising the Mandatory Report/CPFS Referral category tag. No information is to be entered other than “Assistant Superintendent Security notified via email”</w:t>
      </w:r>
      <w:r w:rsidR="002B4686">
        <w:t>.</w:t>
      </w:r>
      <w:r w:rsidRPr="007E6AA2">
        <w:t xml:space="preserve"> </w:t>
      </w:r>
    </w:p>
    <w:p w14:paraId="14ECC17F" w14:textId="00D3F408" w:rsidR="00A56580" w:rsidRDefault="00A56580" w:rsidP="00A56580">
      <w:pPr>
        <w:pStyle w:val="Heading3"/>
        <w:keepNext w:val="0"/>
        <w:keepLines w:val="0"/>
        <w:widowControl w:val="0"/>
      </w:pPr>
      <w:r>
        <w:t xml:space="preserve">If deemed appropriate it is the responsibility of the Assistant Superintendent Security to notify </w:t>
      </w:r>
      <w:r w:rsidR="00067B1A">
        <w:t>WAPF</w:t>
      </w:r>
      <w:r>
        <w:t xml:space="preserve"> of the allegation and follow processes for any allegation of alleged criminal activity as outlined in </w:t>
      </w:r>
      <w:hyperlink w:anchor="_Escalation,_evidence_preservation" w:history="1">
        <w:r w:rsidR="00067B1A">
          <w:rPr>
            <w:rStyle w:val="Hyperlink"/>
          </w:rPr>
          <w:t>Section</w:t>
        </w:r>
      </w:hyperlink>
      <w:r w:rsidR="00067B1A">
        <w:rPr>
          <w:rStyle w:val="Hyperlink"/>
        </w:rPr>
        <w:t xml:space="preserve"> 3.3 of this COPP</w:t>
      </w:r>
      <w:r>
        <w:t xml:space="preserve">. If a report number is provided by </w:t>
      </w:r>
      <w:r w:rsidR="00067B1A">
        <w:t>WAPF</w:t>
      </w:r>
      <w:r>
        <w:t xml:space="preserve"> this is required to be entered in the Offender Notes module utilising the “Mandatory Report/CPFS Referral” tag. No further information is to be entered other than “</w:t>
      </w:r>
      <w:r w:rsidR="00067B1A">
        <w:t>WAPF</w:t>
      </w:r>
      <w:r>
        <w:t xml:space="preserve"> Report made reference number </w:t>
      </w:r>
      <w:r w:rsidR="00067B1A">
        <w:t>X</w:t>
      </w:r>
      <w:r>
        <w:t>”</w:t>
      </w:r>
    </w:p>
    <w:p w14:paraId="539DCC9F" w14:textId="3A4F9C03" w:rsidR="00A56580" w:rsidRPr="00A56580" w:rsidRDefault="00A56580" w:rsidP="003102E0">
      <w:pPr>
        <w:pStyle w:val="Heading3"/>
        <w:keepNext w:val="0"/>
        <w:keepLines w:val="0"/>
        <w:widowControl w:val="0"/>
      </w:pPr>
      <w:r>
        <w:t>If staff have concerns for the immediate safety or wellbeing of a young person outside of business hours</w:t>
      </w:r>
      <w:r w:rsidR="002B4686">
        <w:t>,</w:t>
      </w:r>
      <w:r>
        <w:t xml:space="preserve"> in addition to completing the referral</w:t>
      </w:r>
      <w:r w:rsidR="002B4686">
        <w:t>,</w:t>
      </w:r>
      <w:r>
        <w:t xml:space="preserve"> staff are to contact 1800 CPDUTY (1800 273 889). For all child protection concerns outside of business hours staff can call the Crisis Care Unit on 08 9223 1111</w:t>
      </w:r>
    </w:p>
    <w:p w14:paraId="659B03F3" w14:textId="7CB0DF3D" w:rsidR="00C36722" w:rsidRDefault="00555112" w:rsidP="00AA47EA">
      <w:pPr>
        <w:pStyle w:val="Heading2"/>
        <w:keepNext w:val="0"/>
        <w:keepLines w:val="0"/>
        <w:widowControl w:val="0"/>
        <w:ind w:left="862" w:hanging="578"/>
      </w:pPr>
      <w:bookmarkStart w:id="63" w:name="_Additional_Notifications"/>
      <w:bookmarkStart w:id="64" w:name="_Toc25127869"/>
      <w:bookmarkStart w:id="65" w:name="_Toc26508828"/>
      <w:bookmarkStart w:id="66" w:name="_Toc149559195"/>
      <w:bookmarkStart w:id="67" w:name="_Toc196977262"/>
      <w:bookmarkEnd w:id="61"/>
      <w:bookmarkEnd w:id="63"/>
      <w:r>
        <w:t>Additional N</w:t>
      </w:r>
      <w:r w:rsidR="00C36722">
        <w:t>otifications</w:t>
      </w:r>
      <w:bookmarkEnd w:id="64"/>
      <w:bookmarkEnd w:id="65"/>
      <w:bookmarkEnd w:id="66"/>
      <w:bookmarkEnd w:id="67"/>
      <w:r w:rsidR="00C36722">
        <w:t xml:space="preserve"> </w:t>
      </w:r>
    </w:p>
    <w:p w14:paraId="423BDBF9" w14:textId="38C2ED9E" w:rsidR="00F04DA8" w:rsidRDefault="00F04DA8" w:rsidP="00AA47EA">
      <w:pPr>
        <w:pStyle w:val="Heading3"/>
        <w:keepNext w:val="0"/>
        <w:keepLines w:val="0"/>
        <w:widowControl w:val="0"/>
      </w:pPr>
      <w:r>
        <w:t xml:space="preserve">Notification to a </w:t>
      </w:r>
      <w:r w:rsidR="0061690C">
        <w:t>r</w:t>
      </w:r>
      <w:r>
        <w:t xml:space="preserve">esponsible </w:t>
      </w:r>
      <w:r w:rsidR="0061690C">
        <w:t>a</w:t>
      </w:r>
      <w:r>
        <w:t>dult is required</w:t>
      </w:r>
      <w:r w:rsidR="00F509BE">
        <w:t>,</w:t>
      </w:r>
      <w:r>
        <w:t xml:space="preserve"> unless it is determined that this will increase the risk to the young person (</w:t>
      </w:r>
      <w:r w:rsidR="00F509BE">
        <w:t>i.e.</w:t>
      </w:r>
      <w:r>
        <w:t xml:space="preserve"> telling the family that an allegation has been made in relation to a family member residing within the </w:t>
      </w:r>
      <w:r>
        <w:lastRenderedPageBreak/>
        <w:t xml:space="preserve">household). </w:t>
      </w:r>
      <w:r w:rsidR="0093015B" w:rsidRPr="00E4277D">
        <w:t>During business hour</w:t>
      </w:r>
      <w:r w:rsidR="00067B1A" w:rsidRPr="00E4277D">
        <w:t>s</w:t>
      </w:r>
      <w:r w:rsidR="00CA55B8" w:rsidRPr="00E4277D">
        <w:t>,</w:t>
      </w:r>
      <w:r w:rsidR="00CA55B8">
        <w:t xml:space="preserve"> t</w:t>
      </w:r>
      <w:r>
        <w:t xml:space="preserve">he decision not to notify the </w:t>
      </w:r>
      <w:r w:rsidR="0061690C">
        <w:t>r</w:t>
      </w:r>
      <w:r>
        <w:t xml:space="preserve">esponsible </w:t>
      </w:r>
      <w:r w:rsidR="0061690C">
        <w:t>a</w:t>
      </w:r>
      <w:r>
        <w:t xml:space="preserve">dult is required to be discussed with the </w:t>
      </w:r>
      <w:r w:rsidR="0061690C">
        <w:t>Manager Case Planning and Programs</w:t>
      </w:r>
      <w:r w:rsidR="002B4686">
        <w:t>,</w:t>
      </w:r>
      <w:r w:rsidR="0061690C">
        <w:t xml:space="preserve"> in collaboration with the young person’s primary case manager in the community (where one is allocated) </w:t>
      </w:r>
      <w:r w:rsidR="00834810">
        <w:t>and</w:t>
      </w:r>
      <w:r>
        <w:t xml:space="preserve"> documented under </w:t>
      </w:r>
      <w:r w:rsidR="003A7CA2">
        <w:t>the c</w:t>
      </w:r>
      <w:r>
        <w:t xml:space="preserve">ase </w:t>
      </w:r>
      <w:r w:rsidR="0061690C">
        <w:t>n</w:t>
      </w:r>
      <w:r>
        <w:t>ote</w:t>
      </w:r>
      <w:r w:rsidR="003A7CA2">
        <w:t xml:space="preserve"> </w:t>
      </w:r>
      <w:r w:rsidR="0061690C">
        <w:t xml:space="preserve">section </w:t>
      </w:r>
      <w:r>
        <w:t>on TOMS.</w:t>
      </w:r>
      <w:r w:rsidR="0061690C">
        <w:t xml:space="preserve"> </w:t>
      </w:r>
      <w:r w:rsidR="0093015B" w:rsidRPr="00E4277D">
        <w:t>Out of business hours</w:t>
      </w:r>
      <w:r w:rsidR="0061690C" w:rsidRPr="00E4277D">
        <w:t>,</w:t>
      </w:r>
      <w:r w:rsidR="0061690C">
        <w:t xml:space="preserve"> the decision not to notify the responsible adult is required to be discussed with the </w:t>
      </w:r>
      <w:r w:rsidR="00E4277D">
        <w:t>on call</w:t>
      </w:r>
      <w:r w:rsidR="0061690C">
        <w:t xml:space="preserve"> member of the Senior Management Team in collaboration with the respective on call Y</w:t>
      </w:r>
      <w:r w:rsidR="002B4686">
        <w:t xml:space="preserve">outh </w:t>
      </w:r>
      <w:r w:rsidR="0061690C">
        <w:t>J</w:t>
      </w:r>
      <w:r w:rsidR="002B4686">
        <w:t xml:space="preserve">ustice </w:t>
      </w:r>
      <w:r w:rsidR="0061690C">
        <w:t>S</w:t>
      </w:r>
      <w:r w:rsidR="002B4686">
        <w:t>ervices (YJS)</w:t>
      </w:r>
      <w:r w:rsidR="0061690C">
        <w:t xml:space="preserve"> manager</w:t>
      </w:r>
      <w:r w:rsidR="00CA55B8">
        <w:t xml:space="preserve"> (where a young person is allocated to a community centre)</w:t>
      </w:r>
      <w:r w:rsidR="0061690C">
        <w:t xml:space="preserve"> and documented under the case note section on TOMS. </w:t>
      </w:r>
    </w:p>
    <w:p w14:paraId="7CE66515" w14:textId="14A31AC2" w:rsidR="003044D7" w:rsidRDefault="00F04DA8" w:rsidP="00AA47EA">
      <w:pPr>
        <w:pStyle w:val="Heading3"/>
        <w:keepNext w:val="0"/>
        <w:keepLines w:val="0"/>
        <w:widowControl w:val="0"/>
      </w:pPr>
      <w:r>
        <w:t xml:space="preserve">In addition to notifying the young person’s </w:t>
      </w:r>
      <w:r w:rsidR="00CC29F2">
        <w:t>r</w:t>
      </w:r>
      <w:r>
        <w:t xml:space="preserve">esponsible </w:t>
      </w:r>
      <w:r w:rsidR="00CC29F2">
        <w:t>a</w:t>
      </w:r>
      <w:r>
        <w:t>dult of allegations, the staff member is required to notify the Case Planning and Programs Unit</w:t>
      </w:r>
      <w:r w:rsidR="00CC29F2">
        <w:t xml:space="preserve"> if they have not already been consulted during the process</w:t>
      </w:r>
      <w:r w:rsidR="002B4686">
        <w:t>,</w:t>
      </w:r>
      <w:r w:rsidR="00CC29F2">
        <w:t xml:space="preserve"> to consider notifying the responsible adult</w:t>
      </w:r>
      <w:r>
        <w:t>. The young person’s relevant Senior Case Manager is responsible for notifying the young person’s relevant Youth Justice Officer via email or</w:t>
      </w:r>
      <w:r w:rsidR="00834810">
        <w:t>,</w:t>
      </w:r>
      <w:r>
        <w:t xml:space="preserve"> if by phone</w:t>
      </w:r>
      <w:r w:rsidR="00834810">
        <w:t>,</w:t>
      </w:r>
      <w:r>
        <w:t xml:space="preserve"> followed up in writing by the close of business the same day.</w:t>
      </w:r>
    </w:p>
    <w:p w14:paraId="1F94EEF8" w14:textId="3AA9DE27" w:rsidR="00F04DA8" w:rsidRPr="00EB5852" w:rsidRDefault="00A72EAD" w:rsidP="00AA47EA">
      <w:pPr>
        <w:pStyle w:val="Heading3"/>
        <w:keepNext w:val="0"/>
        <w:keepLines w:val="0"/>
        <w:widowControl w:val="0"/>
      </w:pPr>
      <w:r>
        <w:t>If the young person is in the care of the C</w:t>
      </w:r>
      <w:r w:rsidR="00834810">
        <w:t xml:space="preserve">hief </w:t>
      </w:r>
      <w:r>
        <w:t>E</w:t>
      </w:r>
      <w:r w:rsidR="00834810">
        <w:t xml:space="preserve">xecutive </w:t>
      </w:r>
      <w:r>
        <w:t>O</w:t>
      </w:r>
      <w:r w:rsidR="00834810">
        <w:t xml:space="preserve">fficer </w:t>
      </w:r>
      <w:r>
        <w:t xml:space="preserve">Communities, </w:t>
      </w:r>
      <w:r w:rsidRPr="007E6AA2">
        <w:t xml:space="preserve">the </w:t>
      </w:r>
      <w:r w:rsidR="008334CB">
        <w:t xml:space="preserve">Unit Manager </w:t>
      </w:r>
      <w:r w:rsidRPr="007E6AA2">
        <w:t>must notify the allocated Child Protection Worker via email</w:t>
      </w:r>
      <w:r w:rsidR="00834810" w:rsidRPr="00AA47EA">
        <w:t>, copying</w:t>
      </w:r>
      <w:r w:rsidRPr="007E6AA2">
        <w:t xml:space="preserve"> </w:t>
      </w:r>
      <w:r w:rsidR="00A03471" w:rsidRPr="00AA47EA">
        <w:t>i</w:t>
      </w:r>
      <w:r w:rsidR="007E6AA2">
        <w:t>n</w:t>
      </w:r>
      <w:r w:rsidR="009446EB">
        <w:t xml:space="preserve"> </w:t>
      </w:r>
      <w:hyperlink r:id="rId22" w:history="1">
        <w:r w:rsidR="009446EB" w:rsidRPr="00A82F20">
          <w:rPr>
            <w:rStyle w:val="Hyperlink"/>
          </w:rPr>
          <w:t>DOCBanksiahill@communities.wa.gov.au</w:t>
        </w:r>
      </w:hyperlink>
      <w:r w:rsidR="00A03471">
        <w:t xml:space="preserve">. </w:t>
      </w:r>
    </w:p>
    <w:p w14:paraId="446737C4" w14:textId="61C521B8" w:rsidR="004B6CAC" w:rsidRDefault="00DD6D67" w:rsidP="00AA47EA">
      <w:pPr>
        <w:pStyle w:val="Heading2"/>
        <w:keepNext w:val="0"/>
        <w:keepLines w:val="0"/>
        <w:widowControl w:val="0"/>
      </w:pPr>
      <w:bookmarkStart w:id="68" w:name="_Toc149559196"/>
      <w:bookmarkStart w:id="69" w:name="_Toc196977263"/>
      <w:r>
        <w:t>Ongoing s</w:t>
      </w:r>
      <w:r w:rsidR="004B6CAC">
        <w:t>upport</w:t>
      </w:r>
      <w:r w:rsidR="0014546F">
        <w:t xml:space="preserve"> and referrals</w:t>
      </w:r>
      <w:bookmarkEnd w:id="68"/>
      <w:bookmarkEnd w:id="69"/>
    </w:p>
    <w:p w14:paraId="3DFAB61A" w14:textId="39AD27C1" w:rsidR="003537D6" w:rsidRDefault="002E222E" w:rsidP="0077394F">
      <w:pPr>
        <w:pStyle w:val="Heading3"/>
      </w:pPr>
      <w:r>
        <w:t>Where appropriate, t</w:t>
      </w:r>
      <w:r w:rsidR="004B6CAC">
        <w:t>he</w:t>
      </w:r>
      <w:r w:rsidR="003730C8">
        <w:t xml:space="preserve"> staff member</w:t>
      </w:r>
      <w:r w:rsidR="004B6CAC">
        <w:t xml:space="preserve"> shall provide initial support to the </w:t>
      </w:r>
      <w:r w:rsidR="00FA59D1">
        <w:t>young person</w:t>
      </w:r>
      <w:r w:rsidR="004B6CAC">
        <w:t xml:space="preserve"> involved in the allegation. </w:t>
      </w:r>
    </w:p>
    <w:p w14:paraId="5F0F97D1" w14:textId="42DAE171" w:rsidR="003537D6" w:rsidRDefault="004B6CAC" w:rsidP="0077394F">
      <w:pPr>
        <w:pStyle w:val="Heading3"/>
      </w:pPr>
      <w:r>
        <w:t>Further support and/or referrals shall be determined and actioned as</w:t>
      </w:r>
      <w:r w:rsidR="003537D6">
        <w:t xml:space="preserve"> appropriate.</w:t>
      </w:r>
    </w:p>
    <w:p w14:paraId="487223FD" w14:textId="17DD9588" w:rsidR="004B6CAC" w:rsidRDefault="004B6CAC" w:rsidP="0077394F">
      <w:pPr>
        <w:pStyle w:val="Heading3"/>
      </w:pPr>
      <w:bookmarkStart w:id="70" w:name="_Hlk194404660"/>
      <w:r>
        <w:t>Additional ongoing support may include, but is not limited to</w:t>
      </w:r>
      <w:r w:rsidR="009B2853">
        <w:t>:</w:t>
      </w:r>
    </w:p>
    <w:p w14:paraId="217B3E2F" w14:textId="45CDD6FD" w:rsidR="00E4277D" w:rsidRPr="00AA3F12" w:rsidRDefault="00D24492" w:rsidP="00E4277D">
      <w:pPr>
        <w:pStyle w:val="ListParagraph"/>
        <w:numPr>
          <w:ilvl w:val="0"/>
          <w:numId w:val="10"/>
        </w:numPr>
        <w:spacing w:before="120" w:after="120"/>
        <w:ind w:left="1134" w:hanging="425"/>
        <w:contextualSpacing w:val="0"/>
      </w:pPr>
      <w:r w:rsidRPr="00AA3F12">
        <w:t>referral to</w:t>
      </w:r>
      <w:r w:rsidR="00AE6EB8" w:rsidRPr="00AA3F12">
        <w:t xml:space="preserve"> H</w:t>
      </w:r>
      <w:r w:rsidR="00BB4637" w:rsidRPr="00AA3F12">
        <w:t xml:space="preserve">ealth </w:t>
      </w:r>
      <w:r w:rsidR="00AE6EB8" w:rsidRPr="00AA3F12">
        <w:t>S</w:t>
      </w:r>
      <w:r w:rsidR="00BB4637" w:rsidRPr="00AA3F12">
        <w:t>ervices</w:t>
      </w:r>
      <w:r w:rsidR="00AE6EB8" w:rsidRPr="00AA3F12">
        <w:t xml:space="preserve"> </w:t>
      </w:r>
      <w:r w:rsidRPr="00AA3F12">
        <w:t xml:space="preserve">and/or </w:t>
      </w:r>
      <w:r w:rsidR="003D59DB" w:rsidRPr="00AA3F12">
        <w:t>Youth Justice Psychological Services</w:t>
      </w:r>
      <w:r w:rsidR="00E4277D">
        <w:t xml:space="preserve"> </w:t>
      </w:r>
      <w:hyperlink r:id="rId23" w:history="1">
        <w:r w:rsidR="00E4277D" w:rsidRPr="00E4277D">
          <w:rPr>
            <w:rStyle w:val="Hyperlink"/>
          </w:rPr>
          <w:t>COPP 3.1 – Access to Heath and Psychological Services</w:t>
        </w:r>
      </w:hyperlink>
    </w:p>
    <w:p w14:paraId="23444C02" w14:textId="57004EC5" w:rsidR="00CE03C7" w:rsidRPr="00AA3F12" w:rsidRDefault="00BB4637" w:rsidP="003D59DB">
      <w:pPr>
        <w:pStyle w:val="ListParagraph"/>
        <w:numPr>
          <w:ilvl w:val="0"/>
          <w:numId w:val="10"/>
        </w:numPr>
        <w:spacing w:before="120" w:after="120"/>
        <w:ind w:left="1134" w:hanging="425"/>
        <w:contextualSpacing w:val="0"/>
      </w:pPr>
      <w:r w:rsidRPr="00AA47EA">
        <w:t xml:space="preserve">referral to </w:t>
      </w:r>
      <w:r w:rsidR="00CE03C7" w:rsidRPr="00AA3F12">
        <w:t>external services</w:t>
      </w:r>
      <w:r w:rsidR="003D59DB" w:rsidRPr="00AA3F12">
        <w:t xml:space="preserve"> </w:t>
      </w:r>
      <w:r w:rsidRPr="00AA47EA">
        <w:t>i.e.</w:t>
      </w:r>
      <w:r w:rsidR="003D59DB" w:rsidRPr="00AA3F12">
        <w:t xml:space="preserve"> </w:t>
      </w:r>
      <w:r w:rsidRPr="00AA47EA">
        <w:rPr>
          <w:lang w:bidi="en-US"/>
        </w:rPr>
        <w:t>Communities</w:t>
      </w:r>
      <w:r w:rsidR="00990D0F">
        <w:rPr>
          <w:lang w:bidi="en-US"/>
        </w:rPr>
        <w:t xml:space="preserve">, </w:t>
      </w:r>
      <w:r w:rsidR="00CC29F2">
        <w:rPr>
          <w:lang w:bidi="en-US"/>
        </w:rPr>
        <w:t>Sexual Assault Resource Centre</w:t>
      </w:r>
    </w:p>
    <w:p w14:paraId="53C1164D" w14:textId="02D7A669" w:rsidR="008334CB" w:rsidRPr="00E4277D" w:rsidRDefault="00251F4C" w:rsidP="008334CB">
      <w:pPr>
        <w:pStyle w:val="ListParagraph"/>
        <w:numPr>
          <w:ilvl w:val="0"/>
          <w:numId w:val="10"/>
        </w:numPr>
        <w:spacing w:before="120" w:after="120"/>
        <w:ind w:left="1134" w:hanging="425"/>
        <w:contextualSpacing w:val="0"/>
      </w:pPr>
      <w:r>
        <w:t>consideration for</w:t>
      </w:r>
      <w:r w:rsidR="003D59DB">
        <w:t xml:space="preserve"> placement on</w:t>
      </w:r>
      <w:r>
        <w:t xml:space="preserve"> the At</w:t>
      </w:r>
      <w:r w:rsidR="003D59DB">
        <w:t xml:space="preserve"> </w:t>
      </w:r>
      <w:r>
        <w:t>Risk Management System (</w:t>
      </w:r>
      <w:r w:rsidR="00067B1A">
        <w:t>ARMS) COPP</w:t>
      </w:r>
      <w:r w:rsidR="008334CB" w:rsidRPr="00E4277D">
        <w:t xml:space="preserve"> 7.4 Detainees at Risk of Self-Harm Requiring Additional Support</w:t>
      </w:r>
    </w:p>
    <w:p w14:paraId="63A9C57C" w14:textId="4D60FE37" w:rsidR="00C533BE" w:rsidRDefault="00C533BE" w:rsidP="003D59DB">
      <w:pPr>
        <w:pStyle w:val="ListParagraph"/>
        <w:numPr>
          <w:ilvl w:val="0"/>
          <w:numId w:val="10"/>
        </w:numPr>
        <w:spacing w:before="120" w:after="120"/>
        <w:ind w:left="1134" w:hanging="425"/>
        <w:contextualSpacing w:val="0"/>
      </w:pPr>
      <w:r>
        <w:t xml:space="preserve">consideration for </w:t>
      </w:r>
      <w:r w:rsidR="003D59DB">
        <w:t>placement on</w:t>
      </w:r>
      <w:r>
        <w:t xml:space="preserve"> </w:t>
      </w:r>
      <w:r w:rsidR="00BB4637">
        <w:t xml:space="preserve">the </w:t>
      </w:r>
      <w:r>
        <w:t>Support and Monitoring System (SAMS)</w:t>
      </w:r>
      <w:r w:rsidR="008334CB">
        <w:t xml:space="preserve"> </w:t>
      </w:r>
      <w:hyperlink r:id="rId24" w:history="1">
        <w:r w:rsidR="00E4277D" w:rsidRPr="00E4277D">
          <w:rPr>
            <w:rStyle w:val="Hyperlink"/>
            <w:noProof/>
            <w:shd w:val="clear" w:color="auto" w:fill="F3F2F1"/>
          </w:rPr>
          <w:t>COPP 6.9 – Unit Management and Timetables (Restricted Access)</w:t>
        </w:r>
      </w:hyperlink>
    </w:p>
    <w:p w14:paraId="7CDB33A9" w14:textId="77777777" w:rsidR="00946EF9" w:rsidRDefault="00946EF9" w:rsidP="003102E0">
      <w:pPr>
        <w:pStyle w:val="Heading2"/>
        <w:keepNext w:val="0"/>
        <w:keepLines w:val="0"/>
        <w:widowControl w:val="0"/>
        <w:ind w:left="862" w:hanging="578"/>
      </w:pPr>
      <w:bookmarkStart w:id="71" w:name="_Toc191990245"/>
      <w:bookmarkStart w:id="72" w:name="_Toc191990328"/>
      <w:bookmarkStart w:id="73" w:name="_Toc192083513"/>
      <w:bookmarkStart w:id="74" w:name="_Toc192101028"/>
      <w:bookmarkStart w:id="75" w:name="_Toc25127872"/>
      <w:bookmarkStart w:id="76" w:name="_Toc26508829"/>
      <w:bookmarkStart w:id="77" w:name="_Toc149559197"/>
      <w:bookmarkStart w:id="78" w:name="_Toc196977264"/>
      <w:bookmarkEnd w:id="70"/>
      <w:bookmarkEnd w:id="71"/>
      <w:bookmarkEnd w:id="72"/>
      <w:bookmarkEnd w:id="73"/>
      <w:bookmarkEnd w:id="74"/>
      <w:r>
        <w:t>Documentation</w:t>
      </w:r>
      <w:bookmarkEnd w:id="75"/>
      <w:bookmarkEnd w:id="76"/>
      <w:bookmarkEnd w:id="77"/>
      <w:bookmarkEnd w:id="78"/>
    </w:p>
    <w:p w14:paraId="5FB1C126" w14:textId="2B868B7E" w:rsidR="00B46824" w:rsidRDefault="00F04DA8" w:rsidP="003102E0">
      <w:pPr>
        <w:pStyle w:val="Heading3"/>
        <w:keepNext w:val="0"/>
        <w:keepLines w:val="0"/>
        <w:widowControl w:val="0"/>
      </w:pPr>
      <w:bookmarkStart w:id="79" w:name="_Toc25127873"/>
      <w:r>
        <w:t xml:space="preserve">All staff </w:t>
      </w:r>
      <w:r w:rsidR="00946EF9">
        <w:t>shall document</w:t>
      </w:r>
      <w:r w:rsidR="00CC29F2">
        <w:t xml:space="preserve"> informati</w:t>
      </w:r>
      <w:r w:rsidR="0028247E">
        <w:t>on</w:t>
      </w:r>
      <w:r w:rsidR="00CC29F2">
        <w:t xml:space="preserve"> about allegations that occurred in the community setting</w:t>
      </w:r>
      <w:r w:rsidR="0028247E">
        <w:t>,</w:t>
      </w:r>
      <w:r w:rsidR="00CC29F2">
        <w:t xml:space="preserve"> and responses to those allegations,</w:t>
      </w:r>
      <w:r w:rsidR="00946EF9">
        <w:t xml:space="preserve"> in TOMS </w:t>
      </w:r>
      <w:r w:rsidR="00CC29F2">
        <w:t>via the young person’s case notes</w:t>
      </w:r>
      <w:r w:rsidR="00946EF9">
        <w:t>.</w:t>
      </w:r>
      <w:bookmarkEnd w:id="79"/>
      <w:r w:rsidR="00CC29F2">
        <w:t xml:space="preserve"> The case note needs to be written in a sensitive manner to ensure confidentiality is maintained</w:t>
      </w:r>
      <w:r w:rsidR="0028247E">
        <w:t>,</w:t>
      </w:r>
      <w:r w:rsidR="00CC29F2">
        <w:t xml:space="preserve"> and the young person’s privacy is respected. </w:t>
      </w:r>
    </w:p>
    <w:p w14:paraId="10B0C317" w14:textId="7EB6ED2D" w:rsidR="00CC29F2" w:rsidRPr="00CC29F2" w:rsidRDefault="00CC29F2" w:rsidP="003102E0">
      <w:pPr>
        <w:pStyle w:val="Heading3"/>
        <w:keepNext w:val="0"/>
        <w:keepLines w:val="0"/>
        <w:widowControl w:val="0"/>
      </w:pPr>
      <w:r>
        <w:t xml:space="preserve">Allegations that have arisen </w:t>
      </w:r>
      <w:r w:rsidR="009D531C">
        <w:t>because of</w:t>
      </w:r>
      <w:r>
        <w:t xml:space="preserve"> behaviours in a </w:t>
      </w:r>
      <w:r w:rsidR="0028247E">
        <w:t>YDC</w:t>
      </w:r>
      <w:r>
        <w:t xml:space="preserve"> must be recorded as an incident report. Access to incident reports will need to be considered to ensure confidentiality is maintained and the young person’s privacy is respected. For allegations relating to misconduct of staff, incident reports must </w:t>
      </w:r>
      <w:r>
        <w:lastRenderedPageBreak/>
        <w:t>be written to ensure the integrity of an assessment/investigation process is maintained.</w:t>
      </w:r>
    </w:p>
    <w:p w14:paraId="13B37F6E" w14:textId="0F33746C" w:rsidR="00946EF9" w:rsidRDefault="0018269C" w:rsidP="0077394F">
      <w:pPr>
        <w:pStyle w:val="Heading2"/>
      </w:pPr>
      <w:bookmarkStart w:id="80" w:name="_Toc25127874"/>
      <w:bookmarkStart w:id="81" w:name="_Toc26508830"/>
      <w:bookmarkStart w:id="82" w:name="_Toc149559198"/>
      <w:bookmarkStart w:id="83" w:name="_Toc196977265"/>
      <w:r>
        <w:t>Incident r</w:t>
      </w:r>
      <w:r w:rsidR="00946EF9">
        <w:t>eporting</w:t>
      </w:r>
      <w:r w:rsidR="00771DEA">
        <w:t xml:space="preserve"> and internal investigation</w:t>
      </w:r>
      <w:bookmarkEnd w:id="80"/>
      <w:bookmarkEnd w:id="81"/>
      <w:bookmarkEnd w:id="82"/>
      <w:bookmarkEnd w:id="83"/>
    </w:p>
    <w:p w14:paraId="72C942D4" w14:textId="41C0C4E2" w:rsidR="002A0167" w:rsidRPr="0058332A" w:rsidRDefault="0089541B" w:rsidP="0077394F">
      <w:pPr>
        <w:pStyle w:val="Heading3"/>
        <w:rPr>
          <w:rStyle w:val="Hyperlink"/>
        </w:rPr>
      </w:pPr>
      <w:bookmarkStart w:id="84" w:name="_Toc25127875"/>
      <w:r w:rsidRPr="0077394F">
        <w:t xml:space="preserve">Custodial </w:t>
      </w:r>
      <w:r w:rsidR="00F85143" w:rsidRPr="0077394F">
        <w:t xml:space="preserve">Officers </w:t>
      </w:r>
      <w:r w:rsidR="00946EF9" w:rsidRPr="0077394F">
        <w:t xml:space="preserve">shall report incidents in accordance with </w:t>
      </w:r>
      <w:r w:rsidR="0058332A">
        <w:fldChar w:fldCharType="begin"/>
      </w:r>
      <w:r w:rsidR="0058332A">
        <w:instrText>HYPERLINK "https://dojwa.sharepoint.com/sites/intranet/prison-operations/DCCOPPS/YDC-COPP-8.1.aspx"</w:instrText>
      </w:r>
      <w:r w:rsidR="0058332A">
        <w:fldChar w:fldCharType="separate"/>
      </w:r>
      <w:hyperlink r:id="rId25" w:history="1">
        <w:r w:rsidR="00CC450F" w:rsidRPr="0058332A">
          <w:rPr>
            <w:rStyle w:val="Hyperlink"/>
          </w:rPr>
          <w:t>COPP 8.1 – Incident Reporting</w:t>
        </w:r>
      </w:hyperlink>
      <w:r w:rsidR="00946EF9" w:rsidRPr="0058332A">
        <w:rPr>
          <w:rStyle w:val="Hyperlink"/>
        </w:rPr>
        <w:t>.</w:t>
      </w:r>
      <w:bookmarkEnd w:id="84"/>
    </w:p>
    <w:p w14:paraId="38995DDF" w14:textId="38CC41C8" w:rsidR="004F111C" w:rsidRPr="00952462" w:rsidRDefault="0058332A" w:rsidP="0077394F">
      <w:pPr>
        <w:pStyle w:val="Heading3"/>
      </w:pPr>
      <w:r>
        <w:fldChar w:fldCharType="end"/>
      </w:r>
      <w:r w:rsidR="004F111C">
        <w:t>Investigation into an allegation</w:t>
      </w:r>
      <w:r>
        <w:t>,</w:t>
      </w:r>
      <w:r w:rsidR="004F111C">
        <w:t xml:space="preserve"> which is not reported to </w:t>
      </w:r>
      <w:r w:rsidR="00384E07" w:rsidRPr="00384E07">
        <w:t>WAPF</w:t>
      </w:r>
      <w:r w:rsidR="004F111C">
        <w:t xml:space="preserve"> shall</w:t>
      </w:r>
      <w:r w:rsidR="00031AF8">
        <w:t xml:space="preserve"> </w:t>
      </w:r>
      <w:r w:rsidR="004F111C">
        <w:t xml:space="preserve">be in accordance with </w:t>
      </w:r>
      <w:hyperlink r:id="rId26" w:history="1">
        <w:r w:rsidR="00CC450F" w:rsidRPr="00BB608E">
          <w:rPr>
            <w:rStyle w:val="Hyperlink"/>
          </w:rPr>
          <w:t>COPP 8.1 – Incident Reporting</w:t>
        </w:r>
      </w:hyperlink>
      <w:r w:rsidR="004F111C">
        <w:t>.</w:t>
      </w:r>
    </w:p>
    <w:p w14:paraId="1D73C1E2" w14:textId="77777777" w:rsidR="004F111C" w:rsidRDefault="004F111C" w:rsidP="00AA47EA">
      <w:pPr>
        <w:pStyle w:val="Heading2"/>
        <w:keepNext w:val="0"/>
        <w:keepLines w:val="0"/>
        <w:widowControl w:val="0"/>
      </w:pPr>
      <w:bookmarkStart w:id="85" w:name="_Procedure_for_reporting"/>
      <w:bookmarkStart w:id="86" w:name="_Toc192101031"/>
      <w:bookmarkStart w:id="87" w:name="_Toc191990249"/>
      <w:bookmarkStart w:id="88" w:name="_Toc191990332"/>
      <w:bookmarkStart w:id="89" w:name="_Toc192083516"/>
      <w:bookmarkStart w:id="90" w:name="_Toc192101032"/>
      <w:bookmarkStart w:id="91" w:name="_Toc191990250"/>
      <w:bookmarkStart w:id="92" w:name="_Toc191990333"/>
      <w:bookmarkStart w:id="93" w:name="_Toc192083517"/>
      <w:bookmarkStart w:id="94" w:name="_Toc192101033"/>
      <w:bookmarkStart w:id="95" w:name="_Toc149559199"/>
      <w:bookmarkStart w:id="96" w:name="_Toc196977266"/>
      <w:bookmarkEnd w:id="85"/>
      <w:bookmarkEnd w:id="86"/>
      <w:bookmarkEnd w:id="87"/>
      <w:bookmarkEnd w:id="88"/>
      <w:bookmarkEnd w:id="89"/>
      <w:bookmarkEnd w:id="90"/>
      <w:bookmarkEnd w:id="91"/>
      <w:bookmarkEnd w:id="92"/>
      <w:bookmarkEnd w:id="93"/>
      <w:bookmarkEnd w:id="94"/>
      <w:r>
        <w:t>External investigation</w:t>
      </w:r>
      <w:bookmarkEnd w:id="95"/>
      <w:bookmarkEnd w:id="96"/>
    </w:p>
    <w:p w14:paraId="7CE1BBFC" w14:textId="162DCF8E" w:rsidR="004F111C" w:rsidRDefault="00F04DA8" w:rsidP="00AA47EA">
      <w:pPr>
        <w:pStyle w:val="Heading3"/>
        <w:keepNext w:val="0"/>
        <w:keepLines w:val="0"/>
        <w:widowControl w:val="0"/>
      </w:pPr>
      <w:r>
        <w:t xml:space="preserve">The Superintendent </w:t>
      </w:r>
      <w:r w:rsidR="004F111C">
        <w:t xml:space="preserve">shall </w:t>
      </w:r>
      <w:r>
        <w:t xml:space="preserve">be </w:t>
      </w:r>
      <w:r w:rsidR="004F111C">
        <w:t>inform</w:t>
      </w:r>
      <w:r>
        <w:t>ed</w:t>
      </w:r>
      <w:r w:rsidR="004F111C">
        <w:t xml:space="preserve"> of any external agencies</w:t>
      </w:r>
      <w:r w:rsidR="00264DAA">
        <w:t xml:space="preserve"> </w:t>
      </w:r>
      <w:r w:rsidR="004F111C">
        <w:t>requesting information and/or requesting an i</w:t>
      </w:r>
      <w:r w:rsidR="00E44DF0">
        <w:t>nvestigation into an allegation (</w:t>
      </w:r>
      <w:r w:rsidR="009002BF">
        <w:t>i.e.</w:t>
      </w:r>
      <w:r w:rsidR="009002BF">
        <w:rPr>
          <w:rFonts w:ascii="Times New Roman" w:eastAsia="Times New Roman" w:hAnsi="Times New Roman"/>
          <w:bCs w:val="0"/>
          <w:snapToGrid w:val="0"/>
          <w:color w:val="000000"/>
          <w:w w:val="0"/>
          <w:sz w:val="0"/>
          <w:szCs w:val="0"/>
          <w:u w:color="000000"/>
          <w:bdr w:val="none" w:sz="0" w:space="0" w:color="000000"/>
          <w:shd w:val="clear" w:color="000000" w:fill="000000"/>
          <w:lang w:val="x-none" w:eastAsia="x-none" w:bidi="x-none"/>
        </w:rPr>
        <w:t>i.e.</w:t>
      </w:r>
      <w:r w:rsidR="00E44DF0" w:rsidRPr="0077394F">
        <w:t xml:space="preserve"> </w:t>
      </w:r>
      <w:r w:rsidR="00E44DF0" w:rsidRPr="00E44DF0">
        <w:t>the</w:t>
      </w:r>
      <w:r w:rsidR="00067B1A">
        <w:t xml:space="preserve"> </w:t>
      </w:r>
      <w:r w:rsidR="003D59DB">
        <w:t>WA</w:t>
      </w:r>
      <w:r w:rsidR="00067B1A">
        <w:t xml:space="preserve"> </w:t>
      </w:r>
      <w:r w:rsidR="00E44DF0" w:rsidRPr="00E44DF0">
        <w:t>Ombudsman</w:t>
      </w:r>
      <w:r w:rsidR="00E44DF0">
        <w:t>).</w:t>
      </w:r>
    </w:p>
    <w:p w14:paraId="4B4EDC30" w14:textId="3F75043B" w:rsidR="006159C7" w:rsidRPr="006159C7" w:rsidRDefault="00C36722" w:rsidP="00AA47EA">
      <w:pPr>
        <w:pStyle w:val="Heading3"/>
        <w:keepNext w:val="0"/>
        <w:keepLines w:val="0"/>
        <w:widowControl w:val="0"/>
      </w:pPr>
      <w:bookmarkStart w:id="97" w:name="_Toc25127883"/>
      <w:r>
        <w:t>Where an interview by an external agency is reque</w:t>
      </w:r>
      <w:r w:rsidR="001917A6">
        <w:t>sted as part of an investigation</w:t>
      </w:r>
      <w:r w:rsidR="004D5E30">
        <w:t>,</w:t>
      </w:r>
      <w:r>
        <w:t xml:space="preserve"> the Superintendent (</w:t>
      </w:r>
      <w:r w:rsidR="00C43FC6">
        <w:t xml:space="preserve">or </w:t>
      </w:r>
      <w:r w:rsidR="00CC29F2">
        <w:t>their delegate</w:t>
      </w:r>
      <w:r w:rsidR="00C43FC6">
        <w:t xml:space="preserve">) </w:t>
      </w:r>
      <w:r>
        <w:t xml:space="preserve">shall be notified prior to the interview being conducted. </w:t>
      </w:r>
      <w:bookmarkEnd w:id="97"/>
      <w:r w:rsidR="00CC29F2">
        <w:t xml:space="preserve">During </w:t>
      </w:r>
      <w:r w:rsidR="00067B1A">
        <w:t>weekdays</w:t>
      </w:r>
      <w:r w:rsidR="00CC29F2">
        <w:t xml:space="preserve"> the Manager Case Planning and Programs shall determine the appropriate action and support for the young person during the interview and investigation</w:t>
      </w:r>
      <w:r w:rsidR="0028247E">
        <w:t>,</w:t>
      </w:r>
      <w:r w:rsidR="00CC29F2">
        <w:t xml:space="preserve"> in consultation with the young person’s primary case manager (if allocated). On </w:t>
      </w:r>
      <w:r w:rsidR="00F13672">
        <w:t>weeknights</w:t>
      </w:r>
      <w:r w:rsidR="00CC29F2">
        <w:t xml:space="preserve"> and weekends the </w:t>
      </w:r>
      <w:r w:rsidR="00067B1A">
        <w:t>on</w:t>
      </w:r>
      <w:r w:rsidR="004D5E30">
        <w:t xml:space="preserve"> </w:t>
      </w:r>
      <w:r w:rsidR="00067B1A">
        <w:t>call</w:t>
      </w:r>
      <w:r w:rsidR="00CC29F2">
        <w:t xml:space="preserve"> member of the S</w:t>
      </w:r>
      <w:r w:rsidR="0028247E">
        <w:t xml:space="preserve">enior </w:t>
      </w:r>
      <w:r w:rsidR="00CC29F2">
        <w:t>M</w:t>
      </w:r>
      <w:r w:rsidR="0028247E">
        <w:t xml:space="preserve">anagement </w:t>
      </w:r>
      <w:r w:rsidR="00CC29F2">
        <w:t>T</w:t>
      </w:r>
      <w:r w:rsidR="0028247E">
        <w:t>eam</w:t>
      </w:r>
      <w:r w:rsidR="00CC29F2">
        <w:t xml:space="preserve"> shall determine the aforementioned in consultation with the on call YJS Manager (where a young person is allocated a community centre). </w:t>
      </w:r>
    </w:p>
    <w:p w14:paraId="4E50F021" w14:textId="40E974E3" w:rsidR="008377D9" w:rsidRDefault="00C36722">
      <w:pPr>
        <w:pStyle w:val="Heading3"/>
        <w:keepNext w:val="0"/>
        <w:keepLines w:val="0"/>
        <w:widowControl w:val="0"/>
      </w:pPr>
      <w:bookmarkStart w:id="98" w:name="_Toc25127884"/>
      <w:r>
        <w:t xml:space="preserve">Official visitors shall be managed in accordance with </w:t>
      </w:r>
      <w:bookmarkEnd w:id="98"/>
      <w:r w:rsidR="00BB608E">
        <w:fldChar w:fldCharType="begin"/>
      </w:r>
      <w:r w:rsidR="00AB749E">
        <w:instrText>HYPERLINK "https://dojwa.sharepoint.com/sites/intranet/prison-operations/Pages/bhdc-copps.aspx"</w:instrText>
      </w:r>
      <w:r w:rsidR="00BB608E">
        <w:fldChar w:fldCharType="separate"/>
      </w:r>
      <w:r w:rsidR="00124C53" w:rsidRPr="00BB608E">
        <w:rPr>
          <w:rStyle w:val="Hyperlink"/>
        </w:rPr>
        <w:t>COPP 11.3 – Official Visitors</w:t>
      </w:r>
      <w:r w:rsidR="00BB608E">
        <w:fldChar w:fldCharType="end"/>
      </w:r>
      <w:r w:rsidR="001B0981">
        <w:t>.</w:t>
      </w:r>
    </w:p>
    <w:p w14:paraId="6AA5D044" w14:textId="7ACDA1B3" w:rsidR="0034545B" w:rsidRDefault="00A56580" w:rsidP="003730C8">
      <w:pPr>
        <w:pStyle w:val="Heading1"/>
      </w:pPr>
      <w:bookmarkStart w:id="99" w:name="_Toc192101036"/>
      <w:bookmarkStart w:id="100" w:name="_Toc192101037"/>
      <w:bookmarkStart w:id="101" w:name="_Toc192101038"/>
      <w:bookmarkStart w:id="102" w:name="_Toc196977267"/>
      <w:bookmarkStart w:id="103" w:name="_Toc25127885"/>
      <w:bookmarkStart w:id="104" w:name="_Toc26508832"/>
      <w:bookmarkStart w:id="105" w:name="_Toc149559200"/>
      <w:bookmarkEnd w:id="99"/>
      <w:bookmarkEnd w:id="100"/>
      <w:bookmarkEnd w:id="101"/>
      <w:r>
        <w:t xml:space="preserve">Procedure for </w:t>
      </w:r>
      <w:r w:rsidR="004D5E30">
        <w:t>a</w:t>
      </w:r>
      <w:r>
        <w:t xml:space="preserve">llegations of </w:t>
      </w:r>
      <w:r w:rsidR="004D5E30">
        <w:t>c</w:t>
      </w:r>
      <w:r>
        <w:t xml:space="preserve">hild </w:t>
      </w:r>
      <w:r w:rsidR="004D5E30">
        <w:t>s</w:t>
      </w:r>
      <w:r>
        <w:t xml:space="preserve">exual </w:t>
      </w:r>
      <w:r w:rsidR="004D5E30">
        <w:t>a</w:t>
      </w:r>
      <w:r>
        <w:t>buse</w:t>
      </w:r>
      <w:r w:rsidR="004D5E30">
        <w:t xml:space="preserve"> where the alleged offence has occurred in a custodial or community setting</w:t>
      </w:r>
      <w:bookmarkEnd w:id="102"/>
    </w:p>
    <w:p w14:paraId="5C4057F2" w14:textId="6DB3FA22" w:rsidR="0034545B" w:rsidRPr="00710D94" w:rsidRDefault="004D76AA" w:rsidP="00AA47EA">
      <w:bookmarkStart w:id="106" w:name="_Hlk191988943"/>
      <w:r>
        <w:t>T</w:t>
      </w:r>
      <w:r w:rsidR="00710D94" w:rsidRPr="00710D94">
        <w:t>here are additional considerations and legislativ</w:t>
      </w:r>
      <w:r w:rsidR="00710D94" w:rsidRPr="00A72EAD">
        <w:rPr>
          <w:bCs/>
        </w:rPr>
        <w:t xml:space="preserve">e </w:t>
      </w:r>
      <w:r w:rsidR="00710D94" w:rsidRPr="00710D94">
        <w:t>responsibilities when a young person makes an allegation of child sexual abuse</w:t>
      </w:r>
      <w:r w:rsidR="00710D94">
        <w:rPr>
          <w:b/>
        </w:rPr>
        <w:t>.</w:t>
      </w:r>
    </w:p>
    <w:p w14:paraId="500619AA" w14:textId="60860259" w:rsidR="00016B5D" w:rsidRDefault="00016B5D" w:rsidP="00AA47EA">
      <w:pPr>
        <w:pStyle w:val="Heading2"/>
        <w:keepNext w:val="0"/>
        <w:keepLines w:val="0"/>
        <w:widowControl w:val="0"/>
      </w:pPr>
      <w:bookmarkStart w:id="107" w:name="_Toc196977268"/>
      <w:bookmarkEnd w:id="106"/>
      <w:r>
        <w:t>Mandatory reporting of child sexual abuse</w:t>
      </w:r>
      <w:bookmarkEnd w:id="103"/>
      <w:bookmarkEnd w:id="104"/>
      <w:bookmarkEnd w:id="105"/>
      <w:bookmarkEnd w:id="107"/>
    </w:p>
    <w:p w14:paraId="3FB35F42" w14:textId="68343C4A" w:rsidR="00864696" w:rsidRDefault="00016B5D" w:rsidP="009E1B8E">
      <w:pPr>
        <w:pStyle w:val="Heading3"/>
        <w:keepNext w:val="0"/>
        <w:keepLines w:val="0"/>
        <w:widowControl w:val="0"/>
      </w:pPr>
      <w:bookmarkStart w:id="108" w:name="_Toc25127886"/>
      <w:r w:rsidRPr="00AA47EA">
        <w:rPr>
          <w:bCs w:val="0"/>
        </w:rPr>
        <w:t>It is a legal requirement</w:t>
      </w:r>
      <w:r w:rsidRPr="00AA47EA">
        <w:rPr>
          <w:rStyle w:val="FootnoteReference"/>
          <w:bCs w:val="0"/>
        </w:rPr>
        <w:footnoteReference w:id="5"/>
      </w:r>
      <w:r w:rsidRPr="00AA47EA">
        <w:rPr>
          <w:bCs w:val="0"/>
        </w:rPr>
        <w:t xml:space="preserve"> for WA Medical Practitioners</w:t>
      </w:r>
      <w:r w:rsidR="00FA59D1">
        <w:t>,</w:t>
      </w:r>
      <w:r w:rsidR="002D7F65" w:rsidRPr="00AA47EA">
        <w:rPr>
          <w:bCs w:val="0"/>
        </w:rPr>
        <w:t xml:space="preserve"> </w:t>
      </w:r>
      <w:r w:rsidR="007D5C40" w:rsidRPr="00AA47EA">
        <w:rPr>
          <w:bCs w:val="0"/>
        </w:rPr>
        <w:t xml:space="preserve">Registered Psychologists, </w:t>
      </w:r>
      <w:r w:rsidRPr="00AA47EA">
        <w:rPr>
          <w:bCs w:val="0"/>
        </w:rPr>
        <w:t>Nurses, Teachers</w:t>
      </w:r>
      <w:r w:rsidR="00476875" w:rsidRPr="00AA47EA">
        <w:rPr>
          <w:bCs w:val="0"/>
        </w:rPr>
        <w:t>,</w:t>
      </w:r>
      <w:r w:rsidR="002D7F65" w:rsidRPr="00AA47EA">
        <w:rPr>
          <w:bCs w:val="0"/>
        </w:rPr>
        <w:t xml:space="preserve"> Ministers of Religion, School Councillors, Police Officers, Early Childhood Workers, Out-of-Homecare Workers</w:t>
      </w:r>
      <w:r w:rsidRPr="00AA47EA">
        <w:rPr>
          <w:bCs w:val="0"/>
        </w:rPr>
        <w:t xml:space="preserve"> </w:t>
      </w:r>
      <w:r w:rsidR="002D7F65" w:rsidRPr="00AA47EA">
        <w:rPr>
          <w:bCs w:val="0"/>
        </w:rPr>
        <w:t>Assessors</w:t>
      </w:r>
      <w:r w:rsidR="002D7F65" w:rsidRPr="00AA47EA">
        <w:rPr>
          <w:rStyle w:val="FootnoteReference"/>
          <w:bCs w:val="0"/>
        </w:rPr>
        <w:footnoteReference w:id="6"/>
      </w:r>
      <w:r w:rsidR="002D7F65" w:rsidRPr="00AA47EA">
        <w:rPr>
          <w:bCs w:val="0"/>
        </w:rPr>
        <w:t xml:space="preserve"> and </w:t>
      </w:r>
      <w:r w:rsidR="003D59DB">
        <w:t>o</w:t>
      </w:r>
      <w:r w:rsidR="002D7F65" w:rsidRPr="00FA59D1">
        <w:t>fficers</w:t>
      </w:r>
      <w:r w:rsidR="002D7F65" w:rsidRPr="00AA47EA">
        <w:rPr>
          <w:bCs w:val="0"/>
        </w:rPr>
        <w:t xml:space="preserve"> of Communities </w:t>
      </w:r>
      <w:bookmarkEnd w:id="108"/>
      <w:r w:rsidR="009E1B8E">
        <w:t>and Y</w:t>
      </w:r>
      <w:r w:rsidR="003D59DB">
        <w:t xml:space="preserve">outh </w:t>
      </w:r>
      <w:r w:rsidR="009E1B8E">
        <w:t>J</w:t>
      </w:r>
      <w:r w:rsidR="003D59DB">
        <w:t xml:space="preserve">ustice </w:t>
      </w:r>
      <w:r w:rsidR="009E1B8E">
        <w:t>W</w:t>
      </w:r>
      <w:r w:rsidR="003D59DB">
        <w:t xml:space="preserve">orkers across </w:t>
      </w:r>
      <w:r w:rsidR="0028247E">
        <w:t>YDCs</w:t>
      </w:r>
      <w:r w:rsidR="003D59DB">
        <w:t>:</w:t>
      </w:r>
      <w:r w:rsidR="00863508">
        <w:t xml:space="preserve"> </w:t>
      </w:r>
      <w:r w:rsidR="003D59DB">
        <w:t xml:space="preserve">Senior Officers, Unit Managers, Youth Custodial Officers, and uniformed members of the </w:t>
      </w:r>
      <w:r w:rsidR="00710D94">
        <w:t>S</w:t>
      </w:r>
      <w:r w:rsidR="003D59DB">
        <w:t xml:space="preserve">enior </w:t>
      </w:r>
      <w:r w:rsidR="00710D94">
        <w:t>M</w:t>
      </w:r>
      <w:r w:rsidR="003D59DB">
        <w:t xml:space="preserve">anagement </w:t>
      </w:r>
      <w:r w:rsidR="00710D94">
        <w:t>T</w:t>
      </w:r>
      <w:r w:rsidR="003D59DB">
        <w:t>eam</w:t>
      </w:r>
      <w:r w:rsidR="00710D94">
        <w:t xml:space="preserve"> </w:t>
      </w:r>
      <w:r w:rsidR="00710D94" w:rsidRPr="00E23110">
        <w:t>to report all reasonable beliefs of child sexual abuse</w:t>
      </w:r>
      <w:r w:rsidR="00710D94" w:rsidRPr="00FA59D1">
        <w:t xml:space="preserve">. </w:t>
      </w:r>
    </w:p>
    <w:p w14:paraId="1341793B" w14:textId="28B40DE4" w:rsidR="00864696" w:rsidRDefault="00710D94" w:rsidP="00864696">
      <w:pPr>
        <w:pStyle w:val="Heading3"/>
        <w:keepNext w:val="0"/>
        <w:keepLines w:val="0"/>
        <w:widowControl w:val="0"/>
      </w:pPr>
      <w:r>
        <w:t xml:space="preserve">The process staff are required to follow is dependent on the time frame </w:t>
      </w:r>
      <w:r w:rsidR="00501142">
        <w:t xml:space="preserve">as to </w:t>
      </w:r>
      <w:r>
        <w:t xml:space="preserve">when the sexual abuse is alleged to have occurred. If staff form a reasonable belief that </w:t>
      </w:r>
      <w:r w:rsidR="003730C8">
        <w:t>a young person has been subject to</w:t>
      </w:r>
      <w:r>
        <w:t xml:space="preserve"> sexual abuse</w:t>
      </w:r>
      <w:r w:rsidR="004D5E30">
        <w:t xml:space="preserve"> on or</w:t>
      </w:r>
      <w:r>
        <w:t xml:space="preserve"> after 1 May 2025</w:t>
      </w:r>
      <w:r w:rsidR="00FB3E22">
        <w:t xml:space="preserve"> </w:t>
      </w:r>
      <w:r>
        <w:t xml:space="preserve">staff are to make a </w:t>
      </w:r>
      <w:r w:rsidR="00A72EAD">
        <w:t xml:space="preserve">Mandatory </w:t>
      </w:r>
      <w:r>
        <w:t xml:space="preserve">Report as </w:t>
      </w:r>
      <w:r w:rsidR="00B57633">
        <w:t>per the</w:t>
      </w:r>
      <w:r>
        <w:t xml:space="preserve"> </w:t>
      </w:r>
      <w:hyperlink w:anchor="_Mandatory_Report_Process" w:history="1">
        <w:r w:rsidR="00B57633" w:rsidRPr="00B57633">
          <w:rPr>
            <w:rStyle w:val="Hyperlink"/>
          </w:rPr>
          <w:t>Mandatory Report</w:t>
        </w:r>
        <w:r w:rsidR="00847CFC">
          <w:rPr>
            <w:rStyle w:val="Hyperlink"/>
          </w:rPr>
          <w:t>ing</w:t>
        </w:r>
        <w:r w:rsidR="00B57633" w:rsidRPr="00B57633">
          <w:rPr>
            <w:rStyle w:val="Hyperlink"/>
          </w:rPr>
          <w:t xml:space="preserve"> Process</w:t>
        </w:r>
      </w:hyperlink>
      <w:r w:rsidR="00B57633">
        <w:t>.</w:t>
      </w:r>
    </w:p>
    <w:p w14:paraId="70DDE680" w14:textId="4672A42A" w:rsidR="00710D94" w:rsidRDefault="003730C8" w:rsidP="00AA47EA">
      <w:pPr>
        <w:pStyle w:val="Heading2"/>
      </w:pPr>
      <w:bookmarkStart w:id="109" w:name="_Toc192101041"/>
      <w:bookmarkStart w:id="110" w:name="_Toc192101043"/>
      <w:bookmarkStart w:id="111" w:name="_Toc196977269"/>
      <w:bookmarkStart w:id="112" w:name="_Hlk192060214"/>
      <w:bookmarkEnd w:id="109"/>
      <w:bookmarkEnd w:id="110"/>
      <w:r>
        <w:lastRenderedPageBreak/>
        <w:t xml:space="preserve">Reporting </w:t>
      </w:r>
      <w:r w:rsidR="00850908">
        <w:t xml:space="preserve">sexual abuse </w:t>
      </w:r>
      <w:r>
        <w:t>for non-legislated mandatory reporters</w:t>
      </w:r>
      <w:bookmarkEnd w:id="111"/>
      <w:r w:rsidR="00803C99">
        <w:t xml:space="preserve"> </w:t>
      </w:r>
    </w:p>
    <w:p w14:paraId="0E891681" w14:textId="0F82FD33" w:rsidR="00803C99" w:rsidRDefault="003730C8" w:rsidP="00AA47EA">
      <w:pPr>
        <w:pStyle w:val="Heading3"/>
      </w:pPr>
      <w:r>
        <w:t xml:space="preserve">If staff </w:t>
      </w:r>
      <w:r w:rsidR="009E0748">
        <w:t xml:space="preserve">who </w:t>
      </w:r>
      <w:r>
        <w:t>are not legislated mandatory reporters</w:t>
      </w:r>
      <w:r w:rsidRPr="003730C8">
        <w:t xml:space="preserve"> </w:t>
      </w:r>
      <w:r>
        <w:t xml:space="preserve">form a reasonable belief that a young person has been subject to sexual abuse (historic or current) </w:t>
      </w:r>
      <w:r w:rsidR="00ED5AAF">
        <w:t xml:space="preserve">they </w:t>
      </w:r>
      <w:r>
        <w:t xml:space="preserve">are required to submit a Child Protection Referral via the Professional Referral Website as </w:t>
      </w:r>
      <w:r w:rsidR="00847CFC">
        <w:t xml:space="preserve">per the </w:t>
      </w:r>
      <w:hyperlink w:anchor="_Professional_Referral_Process" w:history="1">
        <w:r w:rsidR="00847CFC" w:rsidRPr="00B57633">
          <w:rPr>
            <w:rStyle w:val="Hyperlink"/>
          </w:rPr>
          <w:t>Professional Referral Process</w:t>
        </w:r>
      </w:hyperlink>
      <w:r w:rsidR="00067B1A" w:rsidRPr="00A44D47">
        <w:rPr>
          <w:rStyle w:val="Hyperlink"/>
          <w:color w:val="auto"/>
          <w:u w:val="none"/>
        </w:rPr>
        <w:t>.</w:t>
      </w:r>
    </w:p>
    <w:p w14:paraId="01C1B546" w14:textId="120C0D51" w:rsidR="003D59DB" w:rsidRDefault="003D59DB" w:rsidP="00AA47EA">
      <w:pPr>
        <w:pStyle w:val="Heading2"/>
        <w:keepNext w:val="0"/>
        <w:keepLines w:val="0"/>
        <w:widowControl w:val="0"/>
        <w:ind w:left="756" w:hanging="472"/>
      </w:pPr>
      <w:bookmarkStart w:id="113" w:name="_Toc192101045"/>
      <w:bookmarkStart w:id="114" w:name="_Toc192101046"/>
      <w:bookmarkStart w:id="115" w:name="_Toc192101047"/>
      <w:bookmarkStart w:id="116" w:name="_Toc192101048"/>
      <w:bookmarkStart w:id="117" w:name="_Toc196977270"/>
      <w:bookmarkEnd w:id="112"/>
      <w:bookmarkEnd w:id="113"/>
      <w:bookmarkEnd w:id="114"/>
      <w:bookmarkEnd w:id="115"/>
      <w:bookmarkEnd w:id="116"/>
      <w:r w:rsidRPr="003D59DB">
        <w:t xml:space="preserve">Immediate considerations for </w:t>
      </w:r>
      <w:r w:rsidR="00F04DA8">
        <w:t>all staff</w:t>
      </w:r>
      <w:bookmarkEnd w:id="117"/>
      <w:r w:rsidR="00F04DA8">
        <w:t xml:space="preserve"> </w:t>
      </w:r>
    </w:p>
    <w:p w14:paraId="4C9DA1FB" w14:textId="0A956A58" w:rsidR="00F04DA8" w:rsidRDefault="003D59DB" w:rsidP="00AA47EA">
      <w:pPr>
        <w:pStyle w:val="Heading3"/>
        <w:keepNext w:val="0"/>
        <w:keepLines w:val="0"/>
        <w:widowControl w:val="0"/>
      </w:pPr>
      <w:r>
        <w:t xml:space="preserve">In circumstances where a young person advises a </w:t>
      </w:r>
      <w:r w:rsidR="00F04DA8">
        <w:t xml:space="preserve">staff member </w:t>
      </w:r>
      <w:r>
        <w:t>about current experiences of child sexual abuse, the safety and wellbeing of the young person is the immediate priority.</w:t>
      </w:r>
    </w:p>
    <w:p w14:paraId="3F34F8D7" w14:textId="5EA6E832" w:rsidR="00F04DA8" w:rsidRPr="00F04DA8" w:rsidRDefault="004D5E30" w:rsidP="00AA47EA">
      <w:pPr>
        <w:pStyle w:val="Heading3"/>
        <w:keepNext w:val="0"/>
        <w:keepLines w:val="0"/>
        <w:widowControl w:val="0"/>
      </w:pPr>
      <w:r>
        <w:t>F</w:t>
      </w:r>
      <w:r w:rsidR="00F04DA8" w:rsidRPr="001B123B">
        <w:t xml:space="preserve">ollowing contact with </w:t>
      </w:r>
      <w:r w:rsidR="00067B1A">
        <w:t>WAPF</w:t>
      </w:r>
      <w:r w:rsidR="00A7206B">
        <w:t>,</w:t>
      </w:r>
      <w:r w:rsidR="00F04DA8" w:rsidRPr="00E838D0">
        <w:t xml:space="preserve"> </w:t>
      </w:r>
      <w:r w:rsidR="00F04DA8">
        <w:t xml:space="preserve">the Superintendent (or </w:t>
      </w:r>
      <w:r w:rsidR="00067B1A">
        <w:t>authorised delegate</w:t>
      </w:r>
      <w:r w:rsidR="00F04DA8">
        <w:t xml:space="preserve">) </w:t>
      </w:r>
      <w:r w:rsidR="00F04DA8" w:rsidRPr="001B123B">
        <w:t>shall discuss with</w:t>
      </w:r>
      <w:r w:rsidR="00F04DA8">
        <w:t xml:space="preserve"> the YDC Health Services staff in regards to contact with the</w:t>
      </w:r>
      <w:r w:rsidR="00F04DA8" w:rsidRPr="001B123B">
        <w:t xml:space="preserve"> </w:t>
      </w:r>
      <w:hyperlink r:id="rId27" w:history="1">
        <w:r w:rsidR="00F04DA8" w:rsidRPr="00D60BEB">
          <w:rPr>
            <w:rStyle w:val="Hyperlink"/>
          </w:rPr>
          <w:t>Sexual Assault Resource Centre</w:t>
        </w:r>
      </w:hyperlink>
      <w:r w:rsidR="00F04DA8">
        <w:t>.</w:t>
      </w:r>
    </w:p>
    <w:p w14:paraId="5E497CAF" w14:textId="3E44149E" w:rsidR="003D59DB" w:rsidRDefault="003D59DB" w:rsidP="00AA47EA">
      <w:pPr>
        <w:pStyle w:val="Heading3"/>
        <w:keepNext w:val="0"/>
        <w:keepLines w:val="0"/>
        <w:widowControl w:val="0"/>
      </w:pPr>
      <w:r>
        <w:t>Young people must be provided with a safe space to discuss experiences of child sexual abuse</w:t>
      </w:r>
      <w:r w:rsidR="00A7206B">
        <w:t>,</w:t>
      </w:r>
      <w:r>
        <w:t xml:space="preserve"> and their ongoing wellbeing must be considered due to the vulnerability and trauma that co-occurs with experiences of child sexual abuse. </w:t>
      </w:r>
      <w:r w:rsidR="00850908">
        <w:t>The staff member</w:t>
      </w:r>
      <w:r>
        <w:t xml:space="preserve"> should provide that space for</w:t>
      </w:r>
      <w:r w:rsidR="00850908">
        <w:t xml:space="preserve"> the</w:t>
      </w:r>
      <w:r>
        <w:t xml:space="preserve"> young pe</w:t>
      </w:r>
      <w:r w:rsidR="00850908">
        <w:t>rson</w:t>
      </w:r>
      <w:r>
        <w:t xml:space="preserve"> and then ensure ongoing supports are considered such as a referral to Youth Justice Psychological Services, further engagement with </w:t>
      </w:r>
      <w:r w:rsidR="004D5E30">
        <w:t xml:space="preserve">Aboriginal Youth Support Officers </w:t>
      </w:r>
      <w:r>
        <w:t>(if culturally appropriate)</w:t>
      </w:r>
      <w:r w:rsidR="0034545B">
        <w:t>, and</w:t>
      </w:r>
      <w:r>
        <w:t xml:space="preserve"> potential placement on ARMS or SAMS. </w:t>
      </w:r>
    </w:p>
    <w:p w14:paraId="6D505917" w14:textId="1914C462" w:rsidR="003D59DB" w:rsidRDefault="003D59DB">
      <w:pPr>
        <w:pStyle w:val="Heading3"/>
        <w:keepNext w:val="0"/>
        <w:keepLines w:val="0"/>
        <w:widowControl w:val="0"/>
      </w:pPr>
      <w:r>
        <w:t>Once the welfare of the young person has been considered</w:t>
      </w:r>
      <w:r w:rsidR="008853B5">
        <w:t>,</w:t>
      </w:r>
      <w:r>
        <w:t xml:space="preserve"> and all supports have been put in place, </w:t>
      </w:r>
      <w:r w:rsidR="00505993">
        <w:t xml:space="preserve">staff </w:t>
      </w:r>
      <w:r w:rsidRPr="00AA47EA">
        <w:t>must</w:t>
      </w:r>
      <w:r w:rsidRPr="0034545B">
        <w:t xml:space="preserve"> </w:t>
      </w:r>
      <w:r>
        <w:t xml:space="preserve">report the allegation of child sexual abuse to </w:t>
      </w:r>
      <w:r w:rsidR="008853B5">
        <w:t>Communities</w:t>
      </w:r>
      <w:r w:rsidR="00321106">
        <w:t xml:space="preserve"> by submitting a Mandatory Report</w:t>
      </w:r>
      <w:r w:rsidR="008334CB">
        <w:t xml:space="preserve"> or completing a Professional Referral</w:t>
      </w:r>
      <w:r w:rsidR="004D5E30">
        <w:t>.</w:t>
      </w:r>
    </w:p>
    <w:p w14:paraId="213A5184" w14:textId="7FED5424" w:rsidR="00E449C8" w:rsidRPr="00E449C8" w:rsidRDefault="00E449C8" w:rsidP="003102E0">
      <w:pPr>
        <w:pStyle w:val="Heading2"/>
        <w:keepNext w:val="0"/>
        <w:keepLines w:val="0"/>
        <w:widowControl w:val="0"/>
        <w:ind w:left="862" w:hanging="578"/>
      </w:pPr>
      <w:bookmarkStart w:id="118" w:name="_Mandatory_Report_Process"/>
      <w:bookmarkStart w:id="119" w:name="_Toc196977271"/>
      <w:bookmarkEnd w:id="118"/>
      <w:r w:rsidRPr="001106C0">
        <w:t>Mandatory Report</w:t>
      </w:r>
      <w:r w:rsidR="00B57633">
        <w:t>ing</w:t>
      </w:r>
      <w:r w:rsidRPr="001106C0">
        <w:t xml:space="preserve"> Process</w:t>
      </w:r>
      <w:bookmarkEnd w:id="119"/>
    </w:p>
    <w:p w14:paraId="6C5642ED" w14:textId="0D203364" w:rsidR="003D59DB" w:rsidRPr="003D59DB" w:rsidRDefault="003D59DB" w:rsidP="003102E0">
      <w:pPr>
        <w:pStyle w:val="Heading3"/>
        <w:keepNext w:val="0"/>
        <w:keepLines w:val="0"/>
        <w:widowControl w:val="0"/>
      </w:pPr>
      <w:bookmarkStart w:id="120" w:name="_Online:_Make_a"/>
      <w:bookmarkEnd w:id="120"/>
      <w:r w:rsidRPr="003D59DB">
        <w:rPr>
          <w:rFonts w:hint="cs"/>
        </w:rPr>
        <w:t xml:space="preserve">Online: </w:t>
      </w:r>
      <w:bookmarkStart w:id="121" w:name="_Hlk191989843"/>
      <w:r w:rsidRPr="003D59DB">
        <w:rPr>
          <w:rFonts w:hint="cs"/>
        </w:rPr>
        <w:t xml:space="preserve">Make a mandatory report </w:t>
      </w:r>
      <w:r>
        <w:t xml:space="preserve">via the </w:t>
      </w:r>
      <w:hyperlink r:id="rId28" w:history="1">
        <w:r w:rsidRPr="00516E11">
          <w:rPr>
            <w:rStyle w:val="Hyperlink"/>
            <w:rFonts w:eastAsia="MS Mincho"/>
            <w:bCs w:val="0"/>
            <w:szCs w:val="24"/>
          </w:rPr>
          <w:t>Mandatory Reporting Online Form</w:t>
        </w:r>
      </w:hyperlink>
      <w:r w:rsidRPr="00516E11">
        <w:rPr>
          <w:rFonts w:eastAsia="MS Mincho"/>
          <w:bCs w:val="0"/>
          <w:szCs w:val="24"/>
        </w:rPr>
        <w:t xml:space="preserve"> (</w:t>
      </w:r>
      <w:r w:rsidR="005D1EA8" w:rsidRPr="00516E11">
        <w:rPr>
          <w:rFonts w:eastAsia="MS Mincho"/>
          <w:bCs w:val="0"/>
          <w:szCs w:val="24"/>
        </w:rPr>
        <w:t>hyper-</w:t>
      </w:r>
      <w:r w:rsidRPr="00516E11">
        <w:rPr>
          <w:rFonts w:eastAsia="MS Mincho"/>
          <w:bCs w:val="0"/>
          <w:szCs w:val="24"/>
        </w:rPr>
        <w:t>link is external</w:t>
      </w:r>
      <w:r w:rsidR="00516E11">
        <w:rPr>
          <w:rFonts w:eastAsia="MS Mincho"/>
          <w:bCs w:val="0"/>
          <w:szCs w:val="24"/>
        </w:rPr>
        <w:t xml:space="preserve"> to the Department</w:t>
      </w:r>
      <w:r w:rsidRPr="00516E11">
        <w:rPr>
          <w:rFonts w:eastAsia="MS Mincho"/>
          <w:bCs w:val="0"/>
          <w:szCs w:val="24"/>
        </w:rPr>
        <w:t>)</w:t>
      </w:r>
      <w:r w:rsidR="004D5E30">
        <w:rPr>
          <w:rFonts w:eastAsia="MS Mincho"/>
          <w:bCs w:val="0"/>
          <w:szCs w:val="24"/>
        </w:rPr>
        <w:t>.</w:t>
      </w:r>
      <w:r w:rsidRPr="003D59DB">
        <w:rPr>
          <w:rFonts w:eastAsia="MS Mincho" w:hint="cs"/>
          <w:bCs w:val="0"/>
          <w:color w:val="auto"/>
          <w:szCs w:val="24"/>
        </w:rPr>
        <w:t> </w:t>
      </w:r>
    </w:p>
    <w:bookmarkEnd w:id="121"/>
    <w:p w14:paraId="4452669F" w14:textId="40173574" w:rsidR="003D59DB" w:rsidRPr="00AA47EA" w:rsidRDefault="008853B5" w:rsidP="003102E0">
      <w:pPr>
        <w:pStyle w:val="Heading3"/>
        <w:keepNext w:val="0"/>
        <w:keepLines w:val="0"/>
        <w:widowControl w:val="0"/>
        <w:numPr>
          <w:ilvl w:val="0"/>
          <w:numId w:val="0"/>
        </w:numPr>
        <w:ind w:left="720"/>
        <w:rPr>
          <w:strike/>
        </w:rPr>
      </w:pPr>
      <w:r>
        <w:t>By e</w:t>
      </w:r>
      <w:r w:rsidR="003D59DB" w:rsidRPr="003D59DB">
        <w:rPr>
          <w:rFonts w:hint="cs"/>
        </w:rPr>
        <w:t>mail: If you are experiencing technical difficulties lodging a mandatory report online, please email</w:t>
      </w:r>
      <w:r w:rsidR="003D59DB">
        <w:t xml:space="preserve"> </w:t>
      </w:r>
      <w:hyperlink r:id="rId29" w:history="1">
        <w:r w:rsidR="003D59DB" w:rsidRPr="0011181E">
          <w:rPr>
            <w:rStyle w:val="Hyperlink"/>
          </w:rPr>
          <w:t>mrs@communities.wa.gov.au</w:t>
        </w:r>
      </w:hyperlink>
      <w:r w:rsidR="003D59DB">
        <w:t xml:space="preserve"> </w:t>
      </w:r>
      <w:r w:rsidR="003D59DB" w:rsidRPr="003D59DB">
        <w:rPr>
          <w:rFonts w:hint="cs"/>
        </w:rPr>
        <w:t xml:space="preserve"> </w:t>
      </w:r>
      <w:r w:rsidR="003D59DB" w:rsidRPr="00E449C8">
        <w:rPr>
          <w:rFonts w:hint="cs"/>
        </w:rPr>
        <w:t>to request a hard copy for completion</w:t>
      </w:r>
      <w:r w:rsidR="004D5E30">
        <w:t>.</w:t>
      </w:r>
    </w:p>
    <w:p w14:paraId="2837CA97" w14:textId="4F533C78" w:rsidR="003D59DB" w:rsidRPr="003D59DB" w:rsidRDefault="008853B5" w:rsidP="003102E0">
      <w:pPr>
        <w:pStyle w:val="Heading3"/>
        <w:keepNext w:val="0"/>
        <w:keepLines w:val="0"/>
        <w:widowControl w:val="0"/>
        <w:numPr>
          <w:ilvl w:val="0"/>
          <w:numId w:val="0"/>
        </w:numPr>
        <w:ind w:left="720"/>
      </w:pPr>
      <w:r>
        <w:t>By t</w:t>
      </w:r>
      <w:r w:rsidR="003D59DB" w:rsidRPr="003D59DB">
        <w:rPr>
          <w:rFonts w:hint="cs"/>
        </w:rPr>
        <w:t>elephone: 1800 708 70</w:t>
      </w:r>
      <w:r w:rsidR="004D5E30">
        <w:t>4</w:t>
      </w:r>
    </w:p>
    <w:p w14:paraId="7F63BAC0" w14:textId="087E25E4" w:rsidR="003D59DB" w:rsidRPr="00E449C8" w:rsidRDefault="008853B5" w:rsidP="003102E0">
      <w:pPr>
        <w:pStyle w:val="Heading3"/>
        <w:keepNext w:val="0"/>
        <w:keepLines w:val="0"/>
        <w:widowControl w:val="0"/>
        <w:numPr>
          <w:ilvl w:val="0"/>
          <w:numId w:val="0"/>
        </w:numPr>
        <w:ind w:left="720"/>
      </w:pPr>
      <w:r w:rsidRPr="00E449C8">
        <w:t>By f</w:t>
      </w:r>
      <w:r w:rsidR="003D59DB" w:rsidRPr="00E449C8">
        <w:rPr>
          <w:rFonts w:hint="cs"/>
        </w:rPr>
        <w:t>ax: (08) 6414 7316</w:t>
      </w:r>
    </w:p>
    <w:p w14:paraId="300044EC" w14:textId="6A80421D" w:rsidR="003D59DB" w:rsidRPr="00E449C8" w:rsidRDefault="008853B5" w:rsidP="003102E0">
      <w:pPr>
        <w:pStyle w:val="Heading3"/>
        <w:keepNext w:val="0"/>
        <w:keepLines w:val="0"/>
        <w:widowControl w:val="0"/>
        <w:numPr>
          <w:ilvl w:val="0"/>
          <w:numId w:val="0"/>
        </w:numPr>
        <w:ind w:left="720"/>
      </w:pPr>
      <w:r w:rsidRPr="00E449C8">
        <w:t>By p</w:t>
      </w:r>
      <w:r w:rsidR="003D59DB" w:rsidRPr="00E449C8">
        <w:rPr>
          <w:rFonts w:hint="cs"/>
        </w:rPr>
        <w:t>ost: Mandatory Reporting Service, PO Box 8146, PERTH BC, WA  6849</w:t>
      </w:r>
    </w:p>
    <w:p w14:paraId="1560DE3D" w14:textId="77777777" w:rsidR="003D59DB" w:rsidRPr="003D59DB" w:rsidRDefault="003D59DB" w:rsidP="003D59DB">
      <w:pPr>
        <w:pStyle w:val="Heading3"/>
      </w:pPr>
      <w:r w:rsidRPr="003D59DB">
        <w:rPr>
          <w:rFonts w:hint="cs"/>
        </w:rPr>
        <w:t>A mandatory report can be made in writing or orally. If an oral report is made, it must be followed by a written report as soon as practicable after making the oral report (ideally within 24 hours).</w:t>
      </w:r>
    </w:p>
    <w:p w14:paraId="403A8F18" w14:textId="052E4CDE" w:rsidR="003D59DB" w:rsidRDefault="00321106" w:rsidP="003D59DB">
      <w:pPr>
        <w:pStyle w:val="Heading3"/>
      </w:pPr>
      <w:r>
        <w:t>When</w:t>
      </w:r>
      <w:r w:rsidR="007E6AA2">
        <w:t xml:space="preserve"> </w:t>
      </w:r>
      <w:r w:rsidR="003D59DB" w:rsidRPr="003D59DB">
        <w:rPr>
          <w:rFonts w:hint="cs"/>
        </w:rPr>
        <w:t>making a mandatory report online, you can refer to the Communities’ </w:t>
      </w:r>
      <w:hyperlink r:id="rId30" w:tooltip="Mandatory Reporting of Child Sexual Abuse in WA - Resources " w:history="1">
        <w:r w:rsidR="003D59DB" w:rsidRPr="003D59DB">
          <w:rPr>
            <w:rFonts w:hint="cs"/>
          </w:rPr>
          <w:t xml:space="preserve">Mandatory Reporting Information System </w:t>
        </w:r>
        <w:r w:rsidR="00516E11">
          <w:t>u</w:t>
        </w:r>
        <w:r w:rsidR="003D59DB" w:rsidRPr="003D59DB">
          <w:rPr>
            <w:rFonts w:hint="cs"/>
          </w:rPr>
          <w:t xml:space="preserve">ser </w:t>
        </w:r>
        <w:r w:rsidR="00516E11">
          <w:t>d</w:t>
        </w:r>
        <w:r w:rsidR="003D59DB" w:rsidRPr="003D59DB">
          <w:rPr>
            <w:rFonts w:hint="cs"/>
          </w:rPr>
          <w:t>ocument</w:t>
        </w:r>
      </w:hyperlink>
      <w:r w:rsidR="003D59DB">
        <w:t xml:space="preserve"> </w:t>
      </w:r>
      <w:hyperlink r:id="rId31" w:history="1">
        <w:r w:rsidR="00516E11">
          <w:rPr>
            <w:rStyle w:val="Hyperlink"/>
          </w:rPr>
          <w:t>Mandatory Reporting of Child Sexual Abuse in WA - Resources</w:t>
        </w:r>
      </w:hyperlink>
      <w:r w:rsidR="003D59DB">
        <w:t xml:space="preserve"> </w:t>
      </w:r>
      <w:r w:rsidR="003D59DB" w:rsidRPr="003D59DB">
        <w:rPr>
          <w:rFonts w:hint="cs"/>
        </w:rPr>
        <w:t>for further information.</w:t>
      </w:r>
    </w:p>
    <w:p w14:paraId="2CB274E0" w14:textId="2C09BA0E" w:rsidR="00321106" w:rsidRDefault="00321106" w:rsidP="00321106">
      <w:pPr>
        <w:pStyle w:val="Heading3"/>
        <w:keepNext w:val="0"/>
        <w:keepLines w:val="0"/>
        <w:widowControl w:val="0"/>
      </w:pPr>
      <w:r>
        <w:t>Staff are required to document that the Mandatory Report has been made.</w:t>
      </w:r>
      <w:r w:rsidR="00FB3E22">
        <w:t xml:space="preserve"> </w:t>
      </w:r>
      <w:r>
        <w:lastRenderedPageBreak/>
        <w:t xml:space="preserve">Upon lodgement of the </w:t>
      </w:r>
      <w:r w:rsidR="00FB3E22">
        <w:t xml:space="preserve">Mandatory </w:t>
      </w:r>
      <w:r>
        <w:t>Report</w:t>
      </w:r>
      <w:r w:rsidR="00FB3E22">
        <w:t>,</w:t>
      </w:r>
      <w:r>
        <w:t xml:space="preserve"> the staff member will be provided with a reference number by Communities. This number, as well as non-identifying and sensitively considered information, can be placed on TOMS</w:t>
      </w:r>
      <w:r w:rsidR="00803C99">
        <w:t xml:space="preserve"> under </w:t>
      </w:r>
      <w:r w:rsidR="007E6AA2">
        <w:t xml:space="preserve">the </w:t>
      </w:r>
      <w:r w:rsidR="00803C99">
        <w:t>Offender Notes</w:t>
      </w:r>
      <w:r w:rsidR="007E6AA2">
        <w:t xml:space="preserve"> module</w:t>
      </w:r>
      <w:r>
        <w:t xml:space="preserve"> by selecting the “Mandatory Report/CPFS Referral” category tag. No further information is to be recorded other than “Referral submitted</w:t>
      </w:r>
      <w:r w:rsidR="00A44D47">
        <w:t xml:space="preserve">, </w:t>
      </w:r>
      <w:r>
        <w:t>CPFS reference number X”</w:t>
      </w:r>
    </w:p>
    <w:p w14:paraId="58C20510" w14:textId="7A57A610" w:rsidR="00307416" w:rsidRPr="00307416" w:rsidRDefault="00B61FB6" w:rsidP="00AA47EA">
      <w:pPr>
        <w:pStyle w:val="Heading3"/>
        <w:keepNext w:val="0"/>
        <w:keepLines w:val="0"/>
        <w:widowControl w:val="0"/>
      </w:pPr>
      <w:r>
        <w:t xml:space="preserve">Upon completion of the Mandatory Report, the staff member is required to </w:t>
      </w:r>
      <w:r w:rsidRPr="00A72EAD">
        <w:t>inform the relevant Unit Manager (or authorised Custodial Officer), Senior Officer, Assistant Superintendent Security and Manager Governance and Compliance via email</w:t>
      </w:r>
      <w:r>
        <w:t>.</w:t>
      </w:r>
    </w:p>
    <w:p w14:paraId="049E7BF6" w14:textId="23EBED05" w:rsidR="00307416" w:rsidRPr="00307416" w:rsidRDefault="00307416" w:rsidP="00AA47EA">
      <w:pPr>
        <w:pStyle w:val="Heading3"/>
        <w:keepNext w:val="0"/>
        <w:keepLines w:val="0"/>
        <w:widowControl w:val="0"/>
      </w:pPr>
      <w:r w:rsidRPr="00307416">
        <w:rPr>
          <w:rFonts w:eastAsia="MS Mincho"/>
          <w:bCs w:val="0"/>
          <w:color w:val="auto"/>
          <w:szCs w:val="24"/>
        </w:rPr>
        <w:t xml:space="preserve">In addition, the staff member </w:t>
      </w:r>
      <w:r w:rsidR="000614E6">
        <w:rPr>
          <w:rFonts w:eastAsia="MS Mincho"/>
          <w:bCs w:val="0"/>
          <w:color w:val="auto"/>
          <w:szCs w:val="24"/>
        </w:rPr>
        <w:t xml:space="preserve">must </w:t>
      </w:r>
      <w:r w:rsidRPr="00307416">
        <w:rPr>
          <w:rFonts w:eastAsia="MS Mincho"/>
          <w:bCs w:val="0"/>
          <w:color w:val="auto"/>
          <w:szCs w:val="24"/>
        </w:rPr>
        <w:t>provide the Communities reference number in a separate email</w:t>
      </w:r>
      <w:r w:rsidR="00A44D47">
        <w:rPr>
          <w:rFonts w:eastAsia="MS Mincho"/>
          <w:bCs w:val="0"/>
          <w:color w:val="auto"/>
          <w:szCs w:val="24"/>
        </w:rPr>
        <w:t xml:space="preserve"> to the Assistant Superintendent Security</w:t>
      </w:r>
      <w:r w:rsidRPr="00307416">
        <w:rPr>
          <w:rFonts w:eastAsia="MS Mincho"/>
          <w:bCs w:val="0"/>
          <w:color w:val="auto"/>
          <w:szCs w:val="24"/>
        </w:rPr>
        <w:t>. This should also be case noted as “Assistant Superintendent Security notified via email” in the Offender Notes module of TOMS, utilising the Mandatory Report/CPFS Referral category tag. No information is to be entered other than “Assistant Superintendent Security notified via email”</w:t>
      </w:r>
    </w:p>
    <w:p w14:paraId="169465EB" w14:textId="66BD28B9" w:rsidR="003D59DB" w:rsidRDefault="003D59DB" w:rsidP="003D59DB">
      <w:pPr>
        <w:pStyle w:val="Heading3"/>
      </w:pPr>
      <w:r>
        <w:t xml:space="preserve">It is the responsibility of the Assistant Superintendent Security to notify </w:t>
      </w:r>
      <w:r w:rsidR="00067B1A">
        <w:t>WAPF</w:t>
      </w:r>
      <w:r>
        <w:t xml:space="preserve"> of the allegation immediately and follow processes for any allegation of alleged criminal activity</w:t>
      </w:r>
      <w:r w:rsidR="002161F7">
        <w:t xml:space="preserve"> as </w:t>
      </w:r>
      <w:r w:rsidR="00847CFC">
        <w:t xml:space="preserve">per the </w:t>
      </w:r>
      <w:hyperlink w:anchor="_Escalation,_evidence_preservation" w:history="1">
        <w:r w:rsidR="00847CFC" w:rsidRPr="00B57633">
          <w:rPr>
            <w:rStyle w:val="Hyperlink"/>
          </w:rPr>
          <w:t>Escalation, evidence preservation and initial notifications</w:t>
        </w:r>
      </w:hyperlink>
      <w:r>
        <w:t xml:space="preserve">. </w:t>
      </w:r>
      <w:r w:rsidR="00F04DA8">
        <w:t xml:space="preserve">The report number provided by </w:t>
      </w:r>
      <w:r w:rsidR="00A44D47">
        <w:t>WAPF</w:t>
      </w:r>
      <w:r w:rsidR="00F04DA8">
        <w:t xml:space="preserve"> is required to be entered in the Offender Notes module </w:t>
      </w:r>
      <w:r w:rsidR="00B61FB6">
        <w:t>utilising</w:t>
      </w:r>
      <w:r w:rsidR="00F04DA8">
        <w:t xml:space="preserve"> the </w:t>
      </w:r>
      <w:r w:rsidR="00850908">
        <w:t>“</w:t>
      </w:r>
      <w:r w:rsidR="00F04DA8">
        <w:t>Mandatory Report</w:t>
      </w:r>
      <w:r w:rsidR="00850908">
        <w:t>/CPFS Referral”</w:t>
      </w:r>
      <w:r w:rsidR="00F04DA8">
        <w:t xml:space="preserve"> tag. No further information is to be entered other than “</w:t>
      </w:r>
      <w:r w:rsidR="00A44D47">
        <w:t>WAPF</w:t>
      </w:r>
      <w:r w:rsidR="00F04DA8">
        <w:t xml:space="preserve"> Report made</w:t>
      </w:r>
      <w:r w:rsidR="00A44D47">
        <w:t>,</w:t>
      </w:r>
      <w:r w:rsidR="00F04DA8">
        <w:t xml:space="preserve"> reference number X”</w:t>
      </w:r>
      <w:r w:rsidR="00A44D47">
        <w:t>.</w:t>
      </w:r>
    </w:p>
    <w:p w14:paraId="1BC47E0D" w14:textId="77777777" w:rsidR="00430EB7" w:rsidRDefault="00430EB7" w:rsidP="0034545B"/>
    <w:p w14:paraId="64D220E6" w14:textId="77777777" w:rsidR="00430EB7" w:rsidRDefault="00430EB7" w:rsidP="0034545B"/>
    <w:p w14:paraId="4C238D72" w14:textId="77777777" w:rsidR="00847CFC" w:rsidRDefault="00847CFC" w:rsidP="0034545B"/>
    <w:p w14:paraId="07DD1DA3" w14:textId="77777777" w:rsidR="0088603F" w:rsidRDefault="0088603F" w:rsidP="003D59DB">
      <w:pPr>
        <w:rPr>
          <w:highlight w:val="magenta"/>
        </w:rPr>
      </w:pPr>
    </w:p>
    <w:p w14:paraId="287B8A9B" w14:textId="77777777" w:rsidR="003E5C23" w:rsidRDefault="003E5C23" w:rsidP="003E5C23">
      <w:bookmarkStart w:id="122" w:name="_Toc25127890"/>
      <w:bookmarkStart w:id="123" w:name="_Toc26508833"/>
    </w:p>
    <w:p w14:paraId="44FA2A30" w14:textId="4D1235C8" w:rsidR="003E5C23" w:rsidRDefault="003E5C23" w:rsidP="003E5C23">
      <w:pPr>
        <w:sectPr w:rsidR="003E5C23" w:rsidSect="009814BD">
          <w:headerReference w:type="even" r:id="rId32"/>
          <w:headerReference w:type="default" r:id="rId33"/>
          <w:footerReference w:type="default" r:id="rId34"/>
          <w:headerReference w:type="first" r:id="rId35"/>
          <w:type w:val="continuous"/>
          <w:pgSz w:w="11900" w:h="16840" w:code="9"/>
          <w:pgMar w:top="1418" w:right="1418" w:bottom="1134" w:left="1304" w:header="709" w:footer="590" w:gutter="0"/>
          <w:cols w:space="708"/>
          <w:docGrid w:linePitch="360"/>
        </w:sectPr>
      </w:pPr>
    </w:p>
    <w:p w14:paraId="6563C444" w14:textId="1826816D" w:rsidR="003E5C23" w:rsidRDefault="006E6D69">
      <w:r>
        <w:rPr>
          <w:noProof/>
        </w:rPr>
        <w:lastRenderedPageBreak/>
        <w:drawing>
          <wp:inline distT="0" distB="0" distL="0" distR="0" wp14:anchorId="183FED1F" wp14:editId="67786C6A">
            <wp:extent cx="8659495" cy="5828030"/>
            <wp:effectExtent l="0" t="0" r="8255" b="1270"/>
            <wp:docPr id="874446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46621" name=""/>
                    <pic:cNvPicPr/>
                  </pic:nvPicPr>
                  <pic:blipFill>
                    <a:blip r:embed="rId36"/>
                    <a:stretch>
                      <a:fillRect/>
                    </a:stretch>
                  </pic:blipFill>
                  <pic:spPr>
                    <a:xfrm>
                      <a:off x="0" y="0"/>
                      <a:ext cx="8659495" cy="5828030"/>
                    </a:xfrm>
                    <a:prstGeom prst="rect">
                      <a:avLst/>
                    </a:prstGeom>
                  </pic:spPr>
                </pic:pic>
              </a:graphicData>
            </a:graphic>
          </wp:inline>
        </w:drawing>
      </w:r>
    </w:p>
    <w:p w14:paraId="6DEEBF20" w14:textId="7258A6B5" w:rsidR="003E5C23" w:rsidRDefault="003E5C23" w:rsidP="003E5C23">
      <w:pPr>
        <w:sectPr w:rsidR="003E5C23" w:rsidSect="003E5C23">
          <w:footerReference w:type="default" r:id="rId37"/>
          <w:type w:val="continuous"/>
          <w:pgSz w:w="16840" w:h="11900" w:orient="landscape" w:code="9"/>
          <w:pgMar w:top="1304" w:right="1418" w:bottom="1418" w:left="1134" w:header="709" w:footer="590" w:gutter="0"/>
          <w:cols w:space="708"/>
          <w:docGrid w:linePitch="360"/>
        </w:sectPr>
      </w:pPr>
    </w:p>
    <w:p w14:paraId="07CE5066" w14:textId="60CD625A" w:rsidR="000755EE" w:rsidRDefault="003D708E" w:rsidP="00AA47EA">
      <w:pPr>
        <w:pStyle w:val="Heading1"/>
        <w:keepNext w:val="0"/>
        <w:keepLines w:val="0"/>
        <w:widowControl w:val="0"/>
      </w:pPr>
      <w:bookmarkStart w:id="124" w:name="_Toc149559201"/>
      <w:bookmarkStart w:id="125" w:name="_Toc196977272"/>
      <w:r>
        <w:lastRenderedPageBreak/>
        <w:t>Annexures</w:t>
      </w:r>
      <w:bookmarkEnd w:id="122"/>
      <w:bookmarkEnd w:id="123"/>
      <w:bookmarkEnd w:id="124"/>
      <w:bookmarkEnd w:id="125"/>
    </w:p>
    <w:p w14:paraId="1FB420D5" w14:textId="4CDAEE83" w:rsidR="003D708E" w:rsidRDefault="001917A6" w:rsidP="00AA47EA">
      <w:pPr>
        <w:pStyle w:val="Heading2"/>
        <w:keepNext w:val="0"/>
        <w:keepLines w:val="0"/>
        <w:widowControl w:val="0"/>
      </w:pPr>
      <w:bookmarkStart w:id="126" w:name="_Toc25127892"/>
      <w:bookmarkStart w:id="127" w:name="_Toc26508835"/>
      <w:bookmarkStart w:id="128" w:name="_Toc149559202"/>
      <w:bookmarkStart w:id="129" w:name="_Toc196977273"/>
      <w:r>
        <w:t>Related COPPs</w:t>
      </w:r>
      <w:r w:rsidR="003D708E">
        <w:t xml:space="preserve"> and documents</w:t>
      </w:r>
      <w:bookmarkEnd w:id="126"/>
      <w:bookmarkEnd w:id="127"/>
      <w:bookmarkEnd w:id="128"/>
      <w:bookmarkEnd w:id="129"/>
    </w:p>
    <w:p w14:paraId="3B3B4323" w14:textId="7E9F4EA7" w:rsidR="00D24EBE" w:rsidRDefault="00961B9B" w:rsidP="00AA47EA">
      <w:pPr>
        <w:pStyle w:val="ListBullet"/>
        <w:keepNext w:val="0"/>
        <w:keepLines w:val="0"/>
        <w:widowControl w:val="0"/>
      </w:pPr>
      <w:hyperlink r:id="rId38" w:history="1">
        <w:r w:rsidR="00124C53" w:rsidRPr="0038422B">
          <w:rPr>
            <w:rStyle w:val="Hyperlink"/>
          </w:rPr>
          <w:t>COPP 6.4 – Offences and Charges</w:t>
        </w:r>
      </w:hyperlink>
    </w:p>
    <w:p w14:paraId="5BE6B214" w14:textId="50D5968E" w:rsidR="003D708E" w:rsidRPr="008E7EC5" w:rsidRDefault="00961B9B" w:rsidP="00AA47EA">
      <w:pPr>
        <w:pStyle w:val="ListBullet"/>
        <w:keepNext w:val="0"/>
        <w:keepLines w:val="0"/>
        <w:widowControl w:val="0"/>
      </w:pPr>
      <w:hyperlink r:id="rId39" w:history="1">
        <w:r w:rsidR="00124C53" w:rsidRPr="0038422B">
          <w:rPr>
            <w:rStyle w:val="Hyperlink"/>
          </w:rPr>
          <w:t>COPP 8.1 – Incident Reporting</w:t>
        </w:r>
      </w:hyperlink>
    </w:p>
    <w:p w14:paraId="158C35EE" w14:textId="3B60E08D" w:rsidR="00FC5456" w:rsidRPr="007D0CD5" w:rsidRDefault="00961B9B" w:rsidP="00AA47EA">
      <w:pPr>
        <w:pStyle w:val="ListBullet"/>
        <w:keepNext w:val="0"/>
        <w:keepLines w:val="0"/>
        <w:widowControl w:val="0"/>
      </w:pPr>
      <w:hyperlink r:id="rId40" w:history="1">
        <w:r w:rsidR="00124C53" w:rsidRPr="007D0CD5">
          <w:rPr>
            <w:rStyle w:val="Hyperlink"/>
          </w:rPr>
          <w:t>COPP 11.3 – Official Visitors</w:t>
        </w:r>
      </w:hyperlink>
    </w:p>
    <w:p w14:paraId="4FCE1444" w14:textId="44DE7269" w:rsidR="00BB14E3" w:rsidRPr="007D0CD5" w:rsidRDefault="00961B9B" w:rsidP="00AA47EA">
      <w:pPr>
        <w:pStyle w:val="ListBullet"/>
        <w:keepNext w:val="0"/>
        <w:keepLines w:val="0"/>
        <w:widowControl w:val="0"/>
      </w:pPr>
      <w:hyperlink r:id="rId41" w:history="1">
        <w:r w:rsidR="00BB14E3" w:rsidRPr="007D0CD5">
          <w:rPr>
            <w:rStyle w:val="Hyperlink"/>
          </w:rPr>
          <w:t>Policy for Gathering and Preservation of Evidence, Continuity of Exhibits</w:t>
        </w:r>
      </w:hyperlink>
    </w:p>
    <w:p w14:paraId="11169D58" w14:textId="24DA1EF9" w:rsidR="002E7036" w:rsidRPr="007D0CD5" w:rsidRDefault="00961B9B" w:rsidP="00AA47EA">
      <w:pPr>
        <w:pStyle w:val="ListBullet"/>
        <w:keepNext w:val="0"/>
        <w:keepLines w:val="0"/>
        <w:widowControl w:val="0"/>
      </w:pPr>
      <w:hyperlink r:id="rId42" w:history="1">
        <w:r w:rsidR="00BB14E3" w:rsidRPr="007D0CD5">
          <w:rPr>
            <w:rStyle w:val="Hyperlink"/>
          </w:rPr>
          <w:t>Procedures for the Preservation of Evidence, Continuity of Exhibits, Drug Movements and Inventory Control</w:t>
        </w:r>
      </w:hyperlink>
    </w:p>
    <w:p w14:paraId="3C4AA041" w14:textId="514C69AA" w:rsidR="003D708E" w:rsidRPr="007D0CD5" w:rsidRDefault="003D708E" w:rsidP="00AA47EA">
      <w:pPr>
        <w:pStyle w:val="Heading2"/>
        <w:keepNext w:val="0"/>
        <w:keepLines w:val="0"/>
        <w:widowControl w:val="0"/>
      </w:pPr>
      <w:bookmarkStart w:id="130" w:name="_Toc25127893"/>
      <w:bookmarkStart w:id="131" w:name="_Toc26508836"/>
      <w:bookmarkStart w:id="132" w:name="_Toc149559203"/>
      <w:bookmarkStart w:id="133" w:name="_Toc196977274"/>
      <w:r w:rsidRPr="007D0CD5">
        <w:t>Definitions and acronyms</w:t>
      </w:r>
      <w:bookmarkEnd w:id="130"/>
      <w:bookmarkEnd w:id="131"/>
      <w:bookmarkEnd w:id="132"/>
      <w:bookmarkEnd w:id="133"/>
    </w:p>
    <w:p w14:paraId="15F2A22D" w14:textId="77777777" w:rsidR="003D708E" w:rsidRPr="003D708E" w:rsidRDefault="003D708E" w:rsidP="00AA47EA">
      <w:pPr>
        <w:widowControl w:val="0"/>
      </w:pPr>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5F307747" w14:textId="77777777" w:rsidTr="00360E31">
        <w:trPr>
          <w:cnfStyle w:val="100000000000" w:firstRow="1" w:lastRow="0" w:firstColumn="0" w:lastColumn="0" w:oddVBand="0" w:evenVBand="0" w:oddHBand="0" w:evenHBand="0" w:firstRowFirstColumn="0" w:firstRowLastColumn="0" w:lastRowFirstColumn="0" w:lastRowLastColumn="0"/>
        </w:trPr>
        <w:tc>
          <w:tcPr>
            <w:tcW w:w="2115" w:type="dxa"/>
          </w:tcPr>
          <w:p w14:paraId="1844538B" w14:textId="77777777" w:rsidR="003D708E" w:rsidRPr="00CF6125" w:rsidRDefault="003D708E" w:rsidP="00AA47EA">
            <w:pPr>
              <w:pStyle w:val="Tableheading"/>
              <w:widowControl w:val="0"/>
            </w:pPr>
            <w:r>
              <w:t>Term</w:t>
            </w:r>
          </w:p>
        </w:tc>
        <w:tc>
          <w:tcPr>
            <w:tcW w:w="7053" w:type="dxa"/>
          </w:tcPr>
          <w:p w14:paraId="1045C202" w14:textId="77777777" w:rsidR="003D708E" w:rsidRPr="00CF6125" w:rsidRDefault="003D708E" w:rsidP="00AA47EA">
            <w:pPr>
              <w:pStyle w:val="Tableheading"/>
              <w:widowControl w:val="0"/>
            </w:pPr>
            <w:r>
              <w:t xml:space="preserve">Definition </w:t>
            </w:r>
          </w:p>
        </w:tc>
      </w:tr>
      <w:tr w:rsidR="006E6D4C" w:rsidRPr="000E6F0A" w14:paraId="39D406B5" w14:textId="77777777" w:rsidTr="00360E31">
        <w:tc>
          <w:tcPr>
            <w:tcW w:w="2115" w:type="dxa"/>
          </w:tcPr>
          <w:p w14:paraId="615CD39B" w14:textId="77777777" w:rsidR="006E6D4C" w:rsidRPr="006E6D4C" w:rsidRDefault="006E6D4C" w:rsidP="00AA47EA">
            <w:pPr>
              <w:pStyle w:val="Tabledata"/>
              <w:widowControl w:val="0"/>
              <w:rPr>
                <w:b/>
              </w:rPr>
            </w:pPr>
            <w:r w:rsidRPr="006D6A67">
              <w:t>Allegation</w:t>
            </w:r>
            <w:r w:rsidRPr="006E6D4C">
              <w:t xml:space="preserve"> </w:t>
            </w:r>
          </w:p>
        </w:tc>
        <w:tc>
          <w:tcPr>
            <w:tcW w:w="7053" w:type="dxa"/>
          </w:tcPr>
          <w:p w14:paraId="412EC1F7" w14:textId="3D2F7DF6" w:rsidR="006E6D4C" w:rsidRPr="006E6D4C" w:rsidRDefault="006D6A67" w:rsidP="00AA47EA">
            <w:pPr>
              <w:pStyle w:val="Tabledata"/>
              <w:widowControl w:val="0"/>
              <w:rPr>
                <w:b/>
              </w:rPr>
            </w:pPr>
            <w:r>
              <w:t xml:space="preserve">A claim or assertion that someone has done something illegal or wrong, typically made without proof. </w:t>
            </w:r>
          </w:p>
        </w:tc>
      </w:tr>
      <w:tr w:rsidR="00AD4B43" w:rsidRPr="000E6F0A" w14:paraId="2ED09351" w14:textId="77777777" w:rsidTr="0038422B">
        <w:tc>
          <w:tcPr>
            <w:tcW w:w="2115" w:type="dxa"/>
            <w:tcBorders>
              <w:bottom w:val="single" w:sz="4" w:space="0" w:color="BBB69F"/>
            </w:tcBorders>
          </w:tcPr>
          <w:p w14:paraId="61B491B8" w14:textId="29B6A6BE" w:rsidR="00AD4B43" w:rsidRPr="006E6D4C" w:rsidRDefault="00AD4B43" w:rsidP="00AA47EA">
            <w:pPr>
              <w:pStyle w:val="Tabledata"/>
              <w:widowControl w:val="0"/>
              <w:rPr>
                <w:b/>
              </w:rPr>
            </w:pPr>
            <w:r>
              <w:t>Alleged Assault</w:t>
            </w:r>
          </w:p>
        </w:tc>
        <w:tc>
          <w:tcPr>
            <w:tcW w:w="7053" w:type="dxa"/>
            <w:tcBorders>
              <w:bottom w:val="single" w:sz="4" w:space="0" w:color="BBB69F"/>
            </w:tcBorders>
          </w:tcPr>
          <w:p w14:paraId="6747212C" w14:textId="06BBD275" w:rsidR="00AD4B43" w:rsidRPr="006E6D4C" w:rsidRDefault="00AD4B43" w:rsidP="00AA47EA">
            <w:pPr>
              <w:pStyle w:val="Tabledata"/>
              <w:widowControl w:val="0"/>
              <w:rPr>
                <w:b/>
              </w:rPr>
            </w:pPr>
            <w:r w:rsidRPr="00AD4B43">
              <w:t>A person has made an allegation of a physical and</w:t>
            </w:r>
            <w:r w:rsidR="000614E6">
              <w:t>/</w:t>
            </w:r>
            <w:r w:rsidRPr="00AD4B43">
              <w:t>or sexual assault.</w:t>
            </w:r>
          </w:p>
        </w:tc>
      </w:tr>
    </w:tbl>
    <w:tbl>
      <w:tblPr>
        <w:tblStyle w:val="DCStable1"/>
        <w:tblW w:w="0" w:type="auto"/>
        <w:tblLook w:val="04A0" w:firstRow="1" w:lastRow="0" w:firstColumn="1" w:lastColumn="0" w:noHBand="0" w:noVBand="1"/>
      </w:tblPr>
      <w:tblGrid>
        <w:gridCol w:w="2116"/>
        <w:gridCol w:w="7052"/>
      </w:tblGrid>
      <w:tr w:rsidR="0059369C" w:rsidRPr="0069226C" w14:paraId="2920D449" w14:textId="77777777" w:rsidTr="0038422B">
        <w:trPr>
          <w:cnfStyle w:val="100000000000" w:firstRow="1" w:lastRow="0" w:firstColumn="0" w:lastColumn="0" w:oddVBand="0" w:evenVBand="0" w:oddHBand="0" w:evenHBand="0" w:firstRowFirstColumn="0" w:firstRowLastColumn="0" w:lastRowFirstColumn="0" w:lastRowLastColumn="0"/>
        </w:trPr>
        <w:tc>
          <w:tcPr>
            <w:tcW w:w="2116" w:type="dxa"/>
            <w:shd w:val="clear" w:color="auto" w:fill="FFFFFF" w:themeFill="background1"/>
          </w:tcPr>
          <w:p w14:paraId="100CBC89" w14:textId="77777777" w:rsidR="0059369C" w:rsidRPr="00FD60B0" w:rsidRDefault="0059369C" w:rsidP="00AA47EA">
            <w:pPr>
              <w:pStyle w:val="Tabledata"/>
              <w:widowControl w:val="0"/>
            </w:pPr>
            <w:r>
              <w:t>Child Sexual Abuse</w:t>
            </w:r>
          </w:p>
        </w:tc>
        <w:tc>
          <w:tcPr>
            <w:tcW w:w="7052" w:type="dxa"/>
            <w:shd w:val="clear" w:color="auto" w:fill="FFFFFF" w:themeFill="background1"/>
          </w:tcPr>
          <w:p w14:paraId="5E5366EF" w14:textId="2BEF0C6F" w:rsidR="00E4611B" w:rsidRDefault="0059369C" w:rsidP="00AA47EA">
            <w:pPr>
              <w:pStyle w:val="Tabledata"/>
              <w:widowControl w:val="0"/>
              <w:rPr>
                <w:rFonts w:cs="Arial"/>
                <w:lang w:val="en"/>
              </w:rPr>
            </w:pPr>
            <w:r w:rsidRPr="0069226C">
              <w:rPr>
                <w:rFonts w:cs="Arial"/>
                <w:lang w:val="en"/>
              </w:rPr>
              <w:t xml:space="preserve">Child sexual abuse </w:t>
            </w:r>
            <w:r w:rsidR="00E4611B">
              <w:rPr>
                <w:rFonts w:cs="Arial"/>
                <w:lang w:val="en"/>
              </w:rPr>
              <w:t xml:space="preserve">includes sexual behavior in circumstances where – </w:t>
            </w:r>
          </w:p>
          <w:p w14:paraId="0AA59D9C" w14:textId="5173342E" w:rsidR="00E4611B" w:rsidRDefault="00E4611B" w:rsidP="00AA47EA">
            <w:pPr>
              <w:pStyle w:val="Tabledata"/>
              <w:widowControl w:val="0"/>
              <w:numPr>
                <w:ilvl w:val="0"/>
                <w:numId w:val="5"/>
              </w:numPr>
              <w:rPr>
                <w:rFonts w:cs="Arial"/>
                <w:lang w:val="en"/>
              </w:rPr>
            </w:pPr>
            <w:r>
              <w:rPr>
                <w:rFonts w:cs="Arial"/>
                <w:lang w:val="en"/>
              </w:rPr>
              <w:t xml:space="preserve">the child is the subject of </w:t>
            </w:r>
            <w:r w:rsidR="008829EB">
              <w:rPr>
                <w:rFonts w:cs="Arial"/>
                <w:lang w:val="en"/>
              </w:rPr>
              <w:t xml:space="preserve">bribery, coercion, a threat, </w:t>
            </w:r>
            <w:r w:rsidR="008453BB">
              <w:rPr>
                <w:rFonts w:cs="Arial"/>
                <w:lang w:val="en"/>
              </w:rPr>
              <w:t>exploitation,</w:t>
            </w:r>
            <w:r w:rsidR="008829EB">
              <w:rPr>
                <w:rFonts w:cs="Arial"/>
                <w:lang w:val="en"/>
              </w:rPr>
              <w:t xml:space="preserve"> or violence</w:t>
            </w:r>
            <w:r>
              <w:rPr>
                <w:rFonts w:cs="Arial"/>
                <w:lang w:val="en"/>
              </w:rPr>
              <w:t>;</w:t>
            </w:r>
            <w:r w:rsidR="008829EB">
              <w:rPr>
                <w:rFonts w:cs="Arial"/>
                <w:lang w:val="en"/>
              </w:rPr>
              <w:t xml:space="preserve"> or </w:t>
            </w:r>
          </w:p>
          <w:p w14:paraId="4FF33CFB" w14:textId="77777777" w:rsidR="00E4611B" w:rsidRDefault="008829EB" w:rsidP="00AA47EA">
            <w:pPr>
              <w:pStyle w:val="Tabledata"/>
              <w:widowControl w:val="0"/>
              <w:numPr>
                <w:ilvl w:val="0"/>
                <w:numId w:val="5"/>
              </w:numPr>
              <w:rPr>
                <w:rFonts w:cs="Arial"/>
                <w:lang w:val="en"/>
              </w:rPr>
            </w:pPr>
            <w:r>
              <w:rPr>
                <w:rFonts w:cs="Arial"/>
                <w:lang w:val="en"/>
              </w:rPr>
              <w:t>the child has less power than another person involved in the behavior</w:t>
            </w:r>
            <w:r w:rsidR="00E4611B">
              <w:rPr>
                <w:rFonts w:cs="Arial"/>
                <w:lang w:val="en"/>
              </w:rPr>
              <w:t>;</w:t>
            </w:r>
            <w:r>
              <w:rPr>
                <w:rFonts w:cs="Arial"/>
                <w:lang w:val="en"/>
              </w:rPr>
              <w:t xml:space="preserve"> or </w:t>
            </w:r>
          </w:p>
          <w:p w14:paraId="606C23BE" w14:textId="2E09BBE4" w:rsidR="0059369C" w:rsidRDefault="008829EB" w:rsidP="00AA47EA">
            <w:pPr>
              <w:pStyle w:val="Tabledata"/>
              <w:widowControl w:val="0"/>
              <w:numPr>
                <w:ilvl w:val="0"/>
                <w:numId w:val="5"/>
              </w:numPr>
              <w:rPr>
                <w:rFonts w:cs="Arial"/>
                <w:lang w:val="en"/>
              </w:rPr>
            </w:pPr>
            <w:r>
              <w:rPr>
                <w:rFonts w:cs="Arial"/>
                <w:lang w:val="en"/>
              </w:rPr>
              <w:t xml:space="preserve">there is significant disparity in the developmental function or maturity of the child </w:t>
            </w:r>
            <w:r w:rsidR="00E15230">
              <w:rPr>
                <w:rFonts w:cs="Arial"/>
                <w:lang w:val="en"/>
              </w:rPr>
              <w:t xml:space="preserve">and </w:t>
            </w:r>
            <w:r>
              <w:rPr>
                <w:rFonts w:cs="Arial"/>
                <w:lang w:val="en"/>
              </w:rPr>
              <w:t xml:space="preserve">another person involved in the </w:t>
            </w:r>
            <w:r w:rsidR="008C0F24">
              <w:rPr>
                <w:rFonts w:cs="Arial"/>
                <w:lang w:val="en"/>
              </w:rPr>
              <w:t>behavior</w:t>
            </w:r>
            <w:r w:rsidR="008453BB">
              <w:rPr>
                <w:rFonts w:cs="Arial"/>
                <w:lang w:val="en"/>
              </w:rPr>
              <w:t xml:space="preserve">. </w:t>
            </w:r>
          </w:p>
          <w:p w14:paraId="53A98359" w14:textId="37AB662B" w:rsidR="00E4611B" w:rsidRPr="0069226C" w:rsidRDefault="00E4611B" w:rsidP="00AA47EA">
            <w:pPr>
              <w:pStyle w:val="Tabledata"/>
              <w:widowControl w:val="0"/>
            </w:pPr>
            <w:r>
              <w:rPr>
                <w:rFonts w:cs="Arial"/>
                <w:lang w:val="en"/>
              </w:rPr>
              <w:t xml:space="preserve">A child is a person under the age </w:t>
            </w:r>
            <w:r w:rsidR="00E15230">
              <w:rPr>
                <w:rFonts w:cs="Arial"/>
                <w:lang w:val="en"/>
              </w:rPr>
              <w:t xml:space="preserve">of 18 years. </w:t>
            </w:r>
          </w:p>
        </w:tc>
      </w:tr>
      <w:tr w:rsidR="00360E31" w:rsidRPr="00344FBE" w14:paraId="7618B986" w14:textId="77777777" w:rsidTr="00360E31">
        <w:tblPrEx>
          <w:tblCellMar>
            <w:top w:w="57" w:type="dxa"/>
            <w:left w:w="85" w:type="dxa"/>
            <w:bottom w:w="57" w:type="dxa"/>
            <w:right w:w="85" w:type="dxa"/>
          </w:tblCellMar>
        </w:tblPrEx>
        <w:tc>
          <w:tcPr>
            <w:tcW w:w="2116" w:type="dxa"/>
          </w:tcPr>
          <w:p w14:paraId="1D3CE7AC" w14:textId="0CA4D47D" w:rsidR="00360E31" w:rsidRPr="005435AD" w:rsidRDefault="00360E31" w:rsidP="00AA47EA">
            <w:pPr>
              <w:pStyle w:val="Tabledata"/>
              <w:widowControl w:val="0"/>
              <w:rPr>
                <w:b/>
              </w:rPr>
            </w:pPr>
            <w:r w:rsidRPr="00AD59CD">
              <w:t>Commissioner’s Operati</w:t>
            </w:r>
            <w:r w:rsidR="00C51F9B">
              <w:t xml:space="preserve">ng </w:t>
            </w:r>
            <w:r w:rsidRPr="00AD59CD">
              <w:t>Policy and Procedure (COPP)</w:t>
            </w:r>
          </w:p>
        </w:tc>
        <w:tc>
          <w:tcPr>
            <w:tcW w:w="7052" w:type="dxa"/>
          </w:tcPr>
          <w:p w14:paraId="44907D03" w14:textId="0599E332" w:rsidR="0037078D" w:rsidRPr="00344FBE" w:rsidRDefault="0037078D" w:rsidP="00AA47EA">
            <w:pPr>
              <w:pStyle w:val="Tabledata"/>
              <w:widowControl w:val="0"/>
            </w:pPr>
            <w:r w:rsidRPr="0037078D">
              <w:t>COPPs are policy documents that provide instructions to staff as to how the relevant legislative requirements are implemented.</w:t>
            </w:r>
          </w:p>
        </w:tc>
      </w:tr>
      <w:tr w:rsidR="00BA5BE9" w:rsidRPr="00344FBE" w14:paraId="4A16B0A2" w14:textId="77777777" w:rsidTr="00360E31">
        <w:tblPrEx>
          <w:tblCellMar>
            <w:top w:w="57" w:type="dxa"/>
            <w:left w:w="85" w:type="dxa"/>
            <w:bottom w:w="57" w:type="dxa"/>
            <w:right w:w="85" w:type="dxa"/>
          </w:tblCellMar>
        </w:tblPrEx>
        <w:tc>
          <w:tcPr>
            <w:tcW w:w="2116" w:type="dxa"/>
          </w:tcPr>
          <w:p w14:paraId="15EC9198" w14:textId="638322BF" w:rsidR="00BA5BE9" w:rsidRPr="00AD59CD" w:rsidRDefault="00BA5BE9" w:rsidP="00AA47EA">
            <w:pPr>
              <w:pStyle w:val="Tabledata"/>
              <w:widowControl w:val="0"/>
            </w:pPr>
            <w:r w:rsidRPr="006E4EEF">
              <w:t>Crime Scene</w:t>
            </w:r>
          </w:p>
        </w:tc>
        <w:tc>
          <w:tcPr>
            <w:tcW w:w="7052" w:type="dxa"/>
          </w:tcPr>
          <w:p w14:paraId="2F9A3602" w14:textId="762A0428" w:rsidR="00BA5BE9" w:rsidRPr="00EE59D9" w:rsidRDefault="006E4EEF" w:rsidP="00AA47EA">
            <w:pPr>
              <w:pStyle w:val="Tabledata"/>
              <w:widowControl w:val="0"/>
            </w:pPr>
            <w:r>
              <w:t>The area associated with a suspected crime from/in which physical evidence may be obtained. This can include structures, rooms, open areas, vehicles and cells.</w:t>
            </w:r>
          </w:p>
        </w:tc>
      </w:tr>
      <w:tr w:rsidR="002E7036" w:rsidRPr="00344FBE" w14:paraId="2B3FCA1D" w14:textId="77777777" w:rsidTr="00360E31">
        <w:tblPrEx>
          <w:tblCellMar>
            <w:top w:w="57" w:type="dxa"/>
            <w:left w:w="85" w:type="dxa"/>
            <w:bottom w:w="57" w:type="dxa"/>
            <w:right w:w="85" w:type="dxa"/>
          </w:tblCellMar>
        </w:tblPrEx>
        <w:tc>
          <w:tcPr>
            <w:tcW w:w="2116" w:type="dxa"/>
          </w:tcPr>
          <w:p w14:paraId="0B0EAC43" w14:textId="3B1AE3EE" w:rsidR="002E7036" w:rsidRPr="006E4EEF" w:rsidRDefault="002E7036" w:rsidP="00AA47EA">
            <w:pPr>
              <w:pStyle w:val="Tabledata"/>
              <w:widowControl w:val="0"/>
            </w:pPr>
            <w:r w:rsidRPr="00B179DD">
              <w:t xml:space="preserve">Custodial Officer </w:t>
            </w:r>
          </w:p>
        </w:tc>
        <w:tc>
          <w:tcPr>
            <w:tcW w:w="7052" w:type="dxa"/>
          </w:tcPr>
          <w:p w14:paraId="4CF34235" w14:textId="4F3470C4" w:rsidR="002E7036" w:rsidRDefault="002E7036" w:rsidP="00AA47EA">
            <w:pPr>
              <w:pStyle w:val="Tabledata"/>
              <w:widowControl w:val="0"/>
            </w:pPr>
            <w:r>
              <w:t xml:space="preserve">An officer with custodial functions, appointed under section 11(1) of the </w:t>
            </w:r>
            <w:r>
              <w:rPr>
                <w:i/>
                <w:iCs/>
              </w:rPr>
              <w:t>Young Offenders Act 1994</w:t>
            </w:r>
            <w:r>
              <w:t>; or a person who is appointed under section 11(1</w:t>
            </w:r>
            <w:r w:rsidR="000614E6">
              <w:t>a)(</w:t>
            </w:r>
            <w:r>
              <w:t>a) as a custodial officer. This includes but is not limited to Youth Custodial Officers, Unit Managers and Senior Officers.</w:t>
            </w:r>
          </w:p>
        </w:tc>
      </w:tr>
    </w:tbl>
    <w:tbl>
      <w:tblPr>
        <w:tblStyle w:val="DCStable2"/>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CF288F" w:rsidRPr="00344FBE" w14:paraId="2C4982B9" w14:textId="77777777" w:rsidTr="00CF288F">
        <w:trPr>
          <w:cnfStyle w:val="100000000000" w:firstRow="1" w:lastRow="0" w:firstColumn="0" w:lastColumn="0" w:oddVBand="0" w:evenVBand="0" w:oddHBand="0" w:evenHBand="0" w:firstRowFirstColumn="0" w:firstRowLastColumn="0" w:lastRowFirstColumn="0" w:lastRowLastColumn="0"/>
        </w:trPr>
        <w:tc>
          <w:tcPr>
            <w:tcW w:w="2116" w:type="dxa"/>
            <w:shd w:val="clear" w:color="auto" w:fill="auto"/>
          </w:tcPr>
          <w:p w14:paraId="2D9236ED" w14:textId="1641706F" w:rsidR="00CF288F" w:rsidRPr="00720463" w:rsidRDefault="00CF288F" w:rsidP="00AA47EA">
            <w:pPr>
              <w:pStyle w:val="Tabledata"/>
              <w:widowControl w:val="0"/>
            </w:pPr>
            <w:r w:rsidRPr="00720463">
              <w:t>Detainee</w:t>
            </w:r>
          </w:p>
        </w:tc>
        <w:tc>
          <w:tcPr>
            <w:tcW w:w="7052" w:type="dxa"/>
            <w:shd w:val="clear" w:color="auto" w:fill="auto"/>
          </w:tcPr>
          <w:p w14:paraId="5D51F5A4" w14:textId="401B2817" w:rsidR="00BB7DDF" w:rsidRPr="00344FBE" w:rsidRDefault="00BB7DDF" w:rsidP="00AA47EA">
            <w:pPr>
              <w:pStyle w:val="Tabledata"/>
              <w:widowControl w:val="0"/>
            </w:pPr>
            <w:r w:rsidRPr="00911104">
              <w:t xml:space="preserve">Means a person who is detained in a </w:t>
            </w:r>
            <w:r>
              <w:t xml:space="preserve">YDC </w:t>
            </w:r>
            <w:r w:rsidRPr="00911104">
              <w:t xml:space="preserve">as defined in s.3 of the </w:t>
            </w:r>
            <w:r w:rsidRPr="00477DEF">
              <w:rPr>
                <w:i/>
                <w:iCs/>
              </w:rPr>
              <w:t>Young Offenders Act 1994</w:t>
            </w:r>
            <w:r w:rsidRPr="00911104">
              <w:t>.</w:t>
            </w:r>
          </w:p>
        </w:tc>
      </w:tr>
      <w:tr w:rsidR="009F4C78" w:rsidRPr="00720463" w14:paraId="1179C14D" w14:textId="77777777" w:rsidTr="00CF288F">
        <w:tc>
          <w:tcPr>
            <w:tcW w:w="2116" w:type="dxa"/>
          </w:tcPr>
          <w:p w14:paraId="328BD660" w14:textId="585A2D9F" w:rsidR="009F4C78" w:rsidRPr="00720463" w:rsidRDefault="009F4C78" w:rsidP="00AA47EA">
            <w:pPr>
              <w:pStyle w:val="Tabledata"/>
              <w:widowControl w:val="0"/>
            </w:pPr>
            <w:r>
              <w:t>Offence</w:t>
            </w:r>
          </w:p>
        </w:tc>
        <w:tc>
          <w:tcPr>
            <w:tcW w:w="7052" w:type="dxa"/>
          </w:tcPr>
          <w:p w14:paraId="39ABDE3E" w14:textId="66AB4874" w:rsidR="009F4C78" w:rsidRPr="00720463" w:rsidRDefault="009F4C78" w:rsidP="00AA47EA">
            <w:pPr>
              <w:pStyle w:val="Tabledata"/>
              <w:widowControl w:val="0"/>
            </w:pPr>
            <w:r w:rsidRPr="009F4C78">
              <w:t>An act or omission which renders the person doing the act or making the omission liable to punishment is called an offence.</w:t>
            </w:r>
          </w:p>
        </w:tc>
      </w:tr>
      <w:tr w:rsidR="00CF288F" w:rsidRPr="00720463" w14:paraId="467A1E21" w14:textId="77777777" w:rsidTr="00CF288F">
        <w:tc>
          <w:tcPr>
            <w:tcW w:w="2116" w:type="dxa"/>
          </w:tcPr>
          <w:p w14:paraId="62D87E0D" w14:textId="77777777" w:rsidR="00CF288F" w:rsidRPr="00720463" w:rsidRDefault="00CF288F" w:rsidP="004E3882">
            <w:pPr>
              <w:pStyle w:val="Tabledata"/>
            </w:pPr>
            <w:r w:rsidRPr="00B94888">
              <w:lastRenderedPageBreak/>
              <w:t>Officers and Employees of Particular Classes</w:t>
            </w:r>
          </w:p>
        </w:tc>
        <w:tc>
          <w:tcPr>
            <w:tcW w:w="7052" w:type="dxa"/>
          </w:tcPr>
          <w:p w14:paraId="1F5E56AE" w14:textId="0B09320E" w:rsidR="00B4556E" w:rsidRPr="00B4556E" w:rsidRDefault="00B4556E" w:rsidP="00B4556E">
            <w:pPr>
              <w:pStyle w:val="Tabledata"/>
            </w:pPr>
            <w:r w:rsidRPr="00B4556E">
              <w:t>The following descriptions of classes of officers and employees are prescribed for the purpose of s 11(1</w:t>
            </w:r>
            <w:r w:rsidR="000614E6" w:rsidRPr="00B4556E">
              <w:t>a) (</w:t>
            </w:r>
            <w:r w:rsidRPr="00B4556E">
              <w:t xml:space="preserve">b) of the </w:t>
            </w:r>
            <w:r w:rsidRPr="00B4556E">
              <w:rPr>
                <w:i/>
              </w:rPr>
              <w:t>Young Offenders Act 1994</w:t>
            </w:r>
            <w:r w:rsidRPr="00B4556E">
              <w:t xml:space="preserve">, in r 49(2) of the </w:t>
            </w:r>
            <w:r w:rsidRPr="00B4556E">
              <w:rPr>
                <w:i/>
              </w:rPr>
              <w:t>Young Offender</w:t>
            </w:r>
            <w:r w:rsidR="000614E6">
              <w:rPr>
                <w:i/>
              </w:rPr>
              <w:t>s</w:t>
            </w:r>
            <w:r w:rsidRPr="00B4556E">
              <w:rPr>
                <w:i/>
              </w:rPr>
              <w:t xml:space="preserve"> Regulations 1995</w:t>
            </w:r>
            <w:r w:rsidRPr="00B4556E">
              <w:t>:</w:t>
            </w:r>
          </w:p>
          <w:p w14:paraId="01300F68" w14:textId="77777777" w:rsidR="00B4556E" w:rsidRPr="00B4556E" w:rsidRDefault="00B4556E" w:rsidP="00B4556E">
            <w:pPr>
              <w:pStyle w:val="Tabledata"/>
            </w:pPr>
            <w:r w:rsidRPr="00B4556E">
              <w:t>(a) Medical staff persons who have undergone medical, nursing or health training and hold qualifications indicating successful completion of that training.</w:t>
            </w:r>
          </w:p>
          <w:p w14:paraId="2BCBB31E" w14:textId="77777777" w:rsidR="00B4556E" w:rsidRPr="00B4556E" w:rsidRDefault="00B4556E" w:rsidP="00B4556E">
            <w:pPr>
              <w:pStyle w:val="Tabledata"/>
            </w:pPr>
            <w:r w:rsidRPr="00B4556E">
              <w:t>(b) Teaching staff persons who provide recreation or sports supervision, teachers, vocational trainers and social trainers.</w:t>
            </w:r>
          </w:p>
          <w:p w14:paraId="40A3516D" w14:textId="77777777" w:rsidR="00B4556E" w:rsidRPr="00B4556E" w:rsidRDefault="00B4556E" w:rsidP="00B4556E">
            <w:pPr>
              <w:pStyle w:val="Tabledata"/>
            </w:pPr>
            <w:r w:rsidRPr="00B4556E">
              <w:t>(c) Program support staff counsellors, program facilitators and librarians.</w:t>
            </w:r>
          </w:p>
          <w:p w14:paraId="3F0F3BE9" w14:textId="5477AB89" w:rsidR="00CF288F" w:rsidRPr="00720463" w:rsidRDefault="00B4556E" w:rsidP="00B4556E">
            <w:pPr>
              <w:pStyle w:val="Tabledata"/>
            </w:pPr>
            <w:r w:rsidRPr="00B4556E">
              <w:t>(d) Centre support staff cleaning staff, laundry staff, gardening staff, vehicle driving staff, maintenance staff and hairdressers.</w:t>
            </w:r>
          </w:p>
        </w:tc>
      </w:tr>
      <w:tr w:rsidR="00CF1873" w:rsidRPr="00720463" w14:paraId="20B78445" w14:textId="77777777" w:rsidTr="00CF288F">
        <w:tc>
          <w:tcPr>
            <w:tcW w:w="2116" w:type="dxa"/>
          </w:tcPr>
          <w:p w14:paraId="3319BF76" w14:textId="3B5A20B6" w:rsidR="00CF1873" w:rsidRPr="00B94888" w:rsidRDefault="00CF1873" w:rsidP="004E3882">
            <w:pPr>
              <w:pStyle w:val="Tabledata"/>
            </w:pPr>
            <w:r>
              <w:t>Physical assault</w:t>
            </w:r>
          </w:p>
        </w:tc>
        <w:tc>
          <w:tcPr>
            <w:tcW w:w="7052" w:type="dxa"/>
          </w:tcPr>
          <w:p w14:paraId="0BA5B133" w14:textId="77777777" w:rsidR="00CF1873" w:rsidRPr="00CF1873" w:rsidRDefault="00CF1873" w:rsidP="00CF1873">
            <w:pPr>
              <w:pStyle w:val="Tabledata"/>
            </w:pPr>
            <w:r w:rsidRPr="00CF1873">
              <w:t xml:space="preserve">A person who strikes, touches, or moves, or otherwise applies force of any kind to another person, either directly or indirectly, without their consent, or with their consent if the consent is obtained by fraud. Assault may also arise from administering a drug(s) to another person with an intent to assault. </w:t>
            </w:r>
          </w:p>
          <w:p w14:paraId="7DD2F2BF" w14:textId="442D36BF" w:rsidR="00CF1873" w:rsidRPr="00B94888" w:rsidRDefault="00CF1873" w:rsidP="00CF1873">
            <w:pPr>
              <w:pStyle w:val="Tabledata"/>
            </w:pPr>
            <w:r w:rsidRPr="00CF1873">
              <w:t>An assault incident will be reported even when the victim receives no physical injuries.</w:t>
            </w:r>
          </w:p>
        </w:tc>
      </w:tr>
    </w:tbl>
    <w:tbl>
      <w:tblPr>
        <w:tblStyle w:val="DCStable3"/>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B53112" w:rsidRPr="00B94888" w14:paraId="4207D33C" w14:textId="77777777" w:rsidTr="00B53112">
        <w:trPr>
          <w:cnfStyle w:val="100000000000" w:firstRow="1" w:lastRow="0" w:firstColumn="0" w:lastColumn="0" w:oddVBand="0" w:evenVBand="0" w:oddHBand="0" w:evenHBand="0" w:firstRowFirstColumn="0" w:firstRowLastColumn="0" w:lastRowFirstColumn="0" w:lastRowLastColumn="0"/>
        </w:trPr>
        <w:tc>
          <w:tcPr>
            <w:tcW w:w="2116" w:type="dxa"/>
            <w:shd w:val="clear" w:color="auto" w:fill="auto"/>
          </w:tcPr>
          <w:p w14:paraId="55E2B293" w14:textId="77777777" w:rsidR="00B53112" w:rsidRPr="00B94888" w:rsidRDefault="00B53112" w:rsidP="004E3882">
            <w:pPr>
              <w:pStyle w:val="Tabledata"/>
            </w:pPr>
            <w:r w:rsidRPr="00DE4C17">
              <w:t>Public Service Officer</w:t>
            </w:r>
          </w:p>
        </w:tc>
        <w:tc>
          <w:tcPr>
            <w:tcW w:w="7052" w:type="dxa"/>
            <w:shd w:val="clear" w:color="auto" w:fill="auto"/>
          </w:tcPr>
          <w:p w14:paraId="74E9A264" w14:textId="77777777" w:rsidR="00B53112" w:rsidRPr="00B94888" w:rsidRDefault="00B53112" w:rsidP="004E3882">
            <w:pPr>
              <w:pStyle w:val="Tabledata"/>
            </w:pPr>
            <w:r w:rsidRPr="00DE4C17">
              <w:t xml:space="preserve">An officer employed in the State Government Public Service, subject to Part 3 of the </w:t>
            </w:r>
            <w:r w:rsidRPr="00DE4C17">
              <w:rPr>
                <w:i/>
              </w:rPr>
              <w:t>Public Sector Management Act 1994</w:t>
            </w:r>
            <w:r w:rsidRPr="00DE4C17">
              <w:t xml:space="preserve"> and includes such officers and other persons as are necessary to implement or administer this Act.</w:t>
            </w:r>
          </w:p>
        </w:tc>
      </w:tr>
      <w:tr w:rsidR="00B53112" w:rsidRPr="00DE4C17" w14:paraId="4F2F4D3A" w14:textId="77777777" w:rsidTr="00B53112">
        <w:tc>
          <w:tcPr>
            <w:tcW w:w="2116" w:type="dxa"/>
          </w:tcPr>
          <w:p w14:paraId="413F76D8" w14:textId="2621DDA2" w:rsidR="00B53112" w:rsidRPr="00DE4C17" w:rsidRDefault="00B53112" w:rsidP="009B4BD5">
            <w:pPr>
              <w:pStyle w:val="Tabledata"/>
            </w:pPr>
            <w:r w:rsidRPr="00FD60B0">
              <w:t xml:space="preserve">Senior Officer </w:t>
            </w:r>
          </w:p>
        </w:tc>
        <w:tc>
          <w:tcPr>
            <w:tcW w:w="7052" w:type="dxa"/>
          </w:tcPr>
          <w:p w14:paraId="3ABF1256" w14:textId="502180F1" w:rsidR="00B53112" w:rsidRPr="00DE4C17" w:rsidRDefault="00B53112" w:rsidP="00EF27B2">
            <w:pPr>
              <w:pStyle w:val="Tabledata"/>
            </w:pPr>
            <w:r w:rsidRPr="00FD60B0">
              <w:t>A Custodial Officer who is substantive to th</w:t>
            </w:r>
            <w:r w:rsidR="00EF27B2">
              <w:t xml:space="preserve">is rank, or a Unit Manager, or </w:t>
            </w:r>
            <w:r w:rsidRPr="00FD60B0">
              <w:t xml:space="preserve">Custodial Officer acting in the capacity of Senior Officer, appointed by the Chief Executive Officer with reference to s11 of the </w:t>
            </w:r>
            <w:r w:rsidRPr="00FD60B0">
              <w:rPr>
                <w:i/>
              </w:rPr>
              <w:t>Young Offenders Act 1994</w:t>
            </w:r>
          </w:p>
        </w:tc>
      </w:tr>
      <w:tr w:rsidR="000614E6" w:rsidRPr="00DE4C17" w14:paraId="086DEE30" w14:textId="77777777" w:rsidTr="00E876A2">
        <w:trPr>
          <w:trHeight w:val="3620"/>
        </w:trPr>
        <w:tc>
          <w:tcPr>
            <w:tcW w:w="2116" w:type="dxa"/>
          </w:tcPr>
          <w:p w14:paraId="34F23565" w14:textId="0DDEC1DB" w:rsidR="000614E6" w:rsidRPr="00FD60B0" w:rsidRDefault="000614E6" w:rsidP="004E3882">
            <w:pPr>
              <w:pStyle w:val="Tabledata"/>
            </w:pPr>
            <w:r>
              <w:t>Sexual Assault</w:t>
            </w:r>
          </w:p>
        </w:tc>
        <w:tc>
          <w:tcPr>
            <w:tcW w:w="7052" w:type="dxa"/>
          </w:tcPr>
          <w:p w14:paraId="59034915" w14:textId="77777777" w:rsidR="000614E6" w:rsidRPr="007B418D" w:rsidRDefault="000614E6" w:rsidP="007B418D">
            <w:pPr>
              <w:pStyle w:val="Tabledata"/>
              <w:rPr>
                <w:lang w:val="en"/>
              </w:rPr>
            </w:pPr>
            <w:r w:rsidRPr="007B418D">
              <w:rPr>
                <w:lang w:val="en"/>
              </w:rPr>
              <w:t>A sexual assault is any sexual act carried out:</w:t>
            </w:r>
          </w:p>
          <w:p w14:paraId="6E179CE4" w14:textId="77777777" w:rsidR="000614E6" w:rsidRPr="007B418D" w:rsidRDefault="000614E6" w:rsidP="003D59DB">
            <w:pPr>
              <w:pStyle w:val="Tabledata"/>
              <w:numPr>
                <w:ilvl w:val="0"/>
                <w:numId w:val="4"/>
              </w:numPr>
              <w:rPr>
                <w:lang w:val="en"/>
              </w:rPr>
            </w:pPr>
            <w:r w:rsidRPr="007B418D">
              <w:rPr>
                <w:lang w:val="en"/>
              </w:rPr>
              <w:t>without a person’s consent</w:t>
            </w:r>
          </w:p>
          <w:p w14:paraId="1AEAD71C" w14:textId="77777777" w:rsidR="000614E6" w:rsidRPr="007B418D" w:rsidRDefault="000614E6" w:rsidP="003D59DB">
            <w:pPr>
              <w:pStyle w:val="Tabledata"/>
              <w:numPr>
                <w:ilvl w:val="0"/>
                <w:numId w:val="4"/>
              </w:numPr>
              <w:rPr>
                <w:lang w:val="en"/>
              </w:rPr>
            </w:pPr>
            <w:r w:rsidRPr="007B418D">
              <w:rPr>
                <w:lang w:val="en"/>
              </w:rPr>
              <w:t>where consent is given as a result of intimidation or fraud</w:t>
            </w:r>
          </w:p>
          <w:p w14:paraId="3E4AFF73" w14:textId="77777777" w:rsidR="000614E6" w:rsidRPr="007B418D" w:rsidRDefault="000614E6" w:rsidP="003D59DB">
            <w:pPr>
              <w:pStyle w:val="Tabledata"/>
              <w:numPr>
                <w:ilvl w:val="0"/>
                <w:numId w:val="4"/>
              </w:numPr>
              <w:rPr>
                <w:lang w:val="en"/>
              </w:rPr>
            </w:pPr>
            <w:r w:rsidRPr="007B418D">
              <w:rPr>
                <w:lang w:val="en"/>
              </w:rPr>
              <w:t>where consent is unlawful, such as:</w:t>
            </w:r>
          </w:p>
          <w:p w14:paraId="5E36B40B" w14:textId="77777777" w:rsidR="000614E6" w:rsidRPr="0077394F" w:rsidRDefault="000614E6" w:rsidP="0077394F">
            <w:pPr>
              <w:pStyle w:val="ListBullet2"/>
            </w:pPr>
            <w:r w:rsidRPr="0077394F">
              <w:t>the person is legally deemed incapable of giving consent because of youth, mental incapacity, or</w:t>
            </w:r>
          </w:p>
          <w:p w14:paraId="7A9838F8" w14:textId="77777777" w:rsidR="000614E6" w:rsidRPr="0077394F" w:rsidRDefault="000614E6" w:rsidP="0077394F">
            <w:pPr>
              <w:pStyle w:val="ListBullet2"/>
            </w:pPr>
            <w:r w:rsidRPr="0077394F">
              <w:t>there is a familial relationship</w:t>
            </w:r>
          </w:p>
          <w:p w14:paraId="3CCE72DD" w14:textId="77777777" w:rsidR="000614E6" w:rsidRPr="00E71AF4" w:rsidRDefault="000614E6" w:rsidP="003D59DB">
            <w:pPr>
              <w:pStyle w:val="Tabledata"/>
              <w:numPr>
                <w:ilvl w:val="0"/>
                <w:numId w:val="4"/>
              </w:numPr>
              <w:rPr>
                <w:lang w:val="en"/>
              </w:rPr>
            </w:pPr>
            <w:r w:rsidRPr="00E71AF4">
              <w:rPr>
                <w:lang w:val="en"/>
              </w:rPr>
              <w:t>where consent could not be gi</w:t>
            </w:r>
            <w:r>
              <w:rPr>
                <w:lang w:val="en"/>
              </w:rPr>
              <w:t xml:space="preserve">ven freely and voluntarily (for </w:t>
            </w:r>
            <w:r w:rsidRPr="00E71AF4">
              <w:rPr>
                <w:lang w:val="en"/>
              </w:rPr>
              <w:t>example if the victim was unconscious or intoxicated)</w:t>
            </w:r>
          </w:p>
          <w:p w14:paraId="4BA4F17D" w14:textId="77777777" w:rsidR="000614E6" w:rsidRDefault="000614E6" w:rsidP="00E71AF4">
            <w:pPr>
              <w:pStyle w:val="Tabledata"/>
              <w:rPr>
                <w:lang w:val="en"/>
              </w:rPr>
            </w:pPr>
          </w:p>
          <w:p w14:paraId="4AF7330A" w14:textId="379AE08A" w:rsidR="000614E6" w:rsidRPr="0077394F" w:rsidRDefault="000614E6" w:rsidP="00E71AF4">
            <w:pPr>
              <w:pStyle w:val="Tabledata"/>
            </w:pPr>
            <w:r w:rsidRPr="00E71AF4">
              <w:rPr>
                <w:lang w:val="en"/>
              </w:rPr>
              <w:t>Sexual assaults include where the victim reports that any person in any manner has sexually assaulted him / her and there is no obvious reason to doubt this claim, or there is clear evidence of such an assault having occurred.</w:t>
            </w:r>
          </w:p>
        </w:tc>
      </w:tr>
      <w:tr w:rsidR="00B53112" w:rsidRPr="00FD60B0" w14:paraId="7262B7A2" w14:textId="77777777" w:rsidTr="00B53112">
        <w:tc>
          <w:tcPr>
            <w:tcW w:w="2116" w:type="dxa"/>
          </w:tcPr>
          <w:p w14:paraId="64B277B2" w14:textId="77777777" w:rsidR="00B53112" w:rsidRPr="00FD60B0" w:rsidRDefault="00B53112" w:rsidP="004E3882">
            <w:pPr>
              <w:pStyle w:val="Tabledata"/>
            </w:pPr>
            <w:r w:rsidRPr="00C81B34">
              <w:t>Staff</w:t>
            </w:r>
          </w:p>
        </w:tc>
        <w:tc>
          <w:tcPr>
            <w:tcW w:w="7052" w:type="dxa"/>
          </w:tcPr>
          <w:p w14:paraId="2DA6C866" w14:textId="5B018A7E" w:rsidR="00A5335D" w:rsidRPr="00FD60B0" w:rsidRDefault="00EA1188" w:rsidP="004E3882">
            <w:pPr>
              <w:pStyle w:val="Tabledata"/>
            </w:pPr>
            <w:r>
              <w:t xml:space="preserve">Any person or officer of the Department of Justice, Corrective Services Officer, Youth Custodial Officer or an employee of a particular class: and any contractor who provides services to the Department of Justice. </w:t>
            </w:r>
          </w:p>
        </w:tc>
      </w:tr>
      <w:tr w:rsidR="00B53112" w:rsidRPr="00C81B34" w14:paraId="67C375D5" w14:textId="77777777" w:rsidTr="00B53112">
        <w:tc>
          <w:tcPr>
            <w:tcW w:w="2116" w:type="dxa"/>
          </w:tcPr>
          <w:p w14:paraId="502BC619" w14:textId="77777777" w:rsidR="00B53112" w:rsidRPr="00C81B34" w:rsidRDefault="00B53112" w:rsidP="004E3882">
            <w:pPr>
              <w:pStyle w:val="Tabledata"/>
            </w:pPr>
            <w:r w:rsidRPr="00DB64E8">
              <w:t>Superintendent</w:t>
            </w:r>
          </w:p>
        </w:tc>
        <w:tc>
          <w:tcPr>
            <w:tcW w:w="7052" w:type="dxa"/>
          </w:tcPr>
          <w:p w14:paraId="3A5B9DDA" w14:textId="3820980A" w:rsidR="00B53112" w:rsidRPr="00C81B34" w:rsidRDefault="00B53112" w:rsidP="004E3882">
            <w:pPr>
              <w:pStyle w:val="Tabledata"/>
            </w:pPr>
            <w:r w:rsidRPr="00DB64E8">
              <w:t xml:space="preserve">In accordance with section 3 of the </w:t>
            </w:r>
            <w:r w:rsidRPr="00DB64E8">
              <w:rPr>
                <w:i/>
              </w:rPr>
              <w:t>Young Offenders Act 1994, ‘</w:t>
            </w:r>
            <w:r w:rsidRPr="00DB64E8">
              <w:t xml:space="preserve">The person in charge of a </w:t>
            </w:r>
            <w:r w:rsidR="00866D61">
              <w:t>YDC</w:t>
            </w:r>
            <w:r w:rsidR="000614E6">
              <w:t>’.</w:t>
            </w:r>
          </w:p>
        </w:tc>
      </w:tr>
      <w:tr w:rsidR="00B53112" w:rsidRPr="00DB64E8" w14:paraId="7817D847" w14:textId="77777777" w:rsidTr="00B53112">
        <w:tc>
          <w:tcPr>
            <w:tcW w:w="2116" w:type="dxa"/>
          </w:tcPr>
          <w:p w14:paraId="508C4AB7" w14:textId="77777777" w:rsidR="00B53112" w:rsidRPr="00DB64E8" w:rsidRDefault="00B53112" w:rsidP="004E3882">
            <w:pPr>
              <w:pStyle w:val="Tabledata"/>
            </w:pPr>
            <w:r w:rsidRPr="00B179DD">
              <w:lastRenderedPageBreak/>
              <w:t>The Department</w:t>
            </w:r>
          </w:p>
        </w:tc>
        <w:tc>
          <w:tcPr>
            <w:tcW w:w="7052" w:type="dxa"/>
          </w:tcPr>
          <w:p w14:paraId="311B1C42" w14:textId="6FBA2E51" w:rsidR="00B53112" w:rsidRPr="00DB64E8" w:rsidRDefault="00B53112" w:rsidP="004E3882">
            <w:pPr>
              <w:pStyle w:val="Tabledata"/>
            </w:pPr>
            <w:r w:rsidRPr="00A20E1E">
              <w:t xml:space="preserve">The department of the Public Service principally assisting the Minister in the administration of the </w:t>
            </w:r>
            <w:r w:rsidRPr="00A20E1E">
              <w:rPr>
                <w:i/>
              </w:rPr>
              <w:t>Young Offenders Act 199</w:t>
            </w:r>
            <w:r w:rsidR="000614E6">
              <w:rPr>
                <w:i/>
              </w:rPr>
              <w:t>5.</w:t>
            </w:r>
          </w:p>
        </w:tc>
      </w:tr>
      <w:tr w:rsidR="000B36D8" w:rsidRPr="00DB64E8" w14:paraId="6453D728" w14:textId="77777777" w:rsidTr="00B53112">
        <w:tc>
          <w:tcPr>
            <w:tcW w:w="2116" w:type="dxa"/>
          </w:tcPr>
          <w:p w14:paraId="4FD779C9" w14:textId="26DF061F" w:rsidR="000B36D8" w:rsidRPr="00B179DD" w:rsidRDefault="000B36D8" w:rsidP="004E3882">
            <w:pPr>
              <w:pStyle w:val="Tabledata"/>
            </w:pPr>
            <w:r>
              <w:t xml:space="preserve">Total Offender Management Solution (TOMS) </w:t>
            </w:r>
          </w:p>
        </w:tc>
        <w:tc>
          <w:tcPr>
            <w:tcW w:w="7052" w:type="dxa"/>
          </w:tcPr>
          <w:p w14:paraId="1867E1F3" w14:textId="6CDDC79B" w:rsidR="00D93472" w:rsidRPr="00A20E1E" w:rsidRDefault="00D93472" w:rsidP="004E3882">
            <w:pPr>
              <w:pStyle w:val="Tabledata"/>
            </w:pPr>
            <w:r w:rsidRPr="00D93472">
              <w:t xml:space="preserve">An electronic database used by the Department of Corrective Services to record and manage comprehensive information relating to prisoners and </w:t>
            </w:r>
            <w:r w:rsidR="00FA59D1">
              <w:t xml:space="preserve">young people. </w:t>
            </w:r>
          </w:p>
        </w:tc>
      </w:tr>
      <w:tr w:rsidR="00B53112" w:rsidRPr="00DB64E8" w14:paraId="5CD1C53C" w14:textId="77777777" w:rsidTr="00B53112">
        <w:tc>
          <w:tcPr>
            <w:tcW w:w="2116" w:type="dxa"/>
          </w:tcPr>
          <w:p w14:paraId="45D126DC" w14:textId="77777777" w:rsidR="00B53112" w:rsidRPr="00DB64E8" w:rsidRDefault="00B53112" w:rsidP="004E3882">
            <w:pPr>
              <w:pStyle w:val="Tabledata"/>
            </w:pPr>
            <w:r w:rsidRPr="00B179DD">
              <w:t>Unit Manager</w:t>
            </w:r>
          </w:p>
        </w:tc>
        <w:tc>
          <w:tcPr>
            <w:tcW w:w="7052" w:type="dxa"/>
          </w:tcPr>
          <w:p w14:paraId="03CCA48F" w14:textId="77777777" w:rsidR="00B53112" w:rsidRPr="00DB64E8" w:rsidRDefault="00B53112" w:rsidP="004E3882">
            <w:pPr>
              <w:pStyle w:val="Tabledata"/>
            </w:pPr>
            <w:r w:rsidRPr="00B179DD">
              <w:t xml:space="preserve">A Youth Custodial Officer substantive to this rank or Youth Custodial Officer acting in the capacity of Unit Manager, appointed by the Chief Executive Officer with reference to s11 of the </w:t>
            </w:r>
            <w:r w:rsidRPr="00B179DD">
              <w:rPr>
                <w:i/>
              </w:rPr>
              <w:t>Young Offenders Act 1994</w:t>
            </w:r>
            <w:r w:rsidRPr="00B179DD">
              <w:t>.</w:t>
            </w:r>
          </w:p>
        </w:tc>
      </w:tr>
      <w:tr w:rsidR="00233E7B" w:rsidRPr="00DB64E8" w14:paraId="05B8AACC" w14:textId="77777777" w:rsidTr="00B53112">
        <w:tc>
          <w:tcPr>
            <w:tcW w:w="2116" w:type="dxa"/>
          </w:tcPr>
          <w:p w14:paraId="0E60AAE8" w14:textId="22E2723E" w:rsidR="00233E7B" w:rsidRPr="00516E11" w:rsidRDefault="00233E7B" w:rsidP="004E3882">
            <w:pPr>
              <w:pStyle w:val="Tabledata"/>
            </w:pPr>
            <w:r w:rsidRPr="00516E11">
              <w:t>Young Person</w:t>
            </w:r>
          </w:p>
        </w:tc>
        <w:tc>
          <w:tcPr>
            <w:tcW w:w="7052" w:type="dxa"/>
          </w:tcPr>
          <w:p w14:paraId="2D894213" w14:textId="5247EB05" w:rsidR="00233E7B" w:rsidRPr="00516E11" w:rsidRDefault="00515785" w:rsidP="004E3882">
            <w:pPr>
              <w:pStyle w:val="Tabledata"/>
            </w:pPr>
            <w:r w:rsidRPr="00516E11">
              <w:t xml:space="preserve">Means a person who is detained in a YDC as defined in s.3 of the </w:t>
            </w:r>
            <w:r w:rsidRPr="00516E11">
              <w:rPr>
                <w:i/>
                <w:iCs/>
              </w:rPr>
              <w:t>Young Offenders Act 1994</w:t>
            </w:r>
            <w:r w:rsidRPr="00516E11">
              <w:t>.</w:t>
            </w:r>
          </w:p>
        </w:tc>
      </w:tr>
      <w:tr w:rsidR="0091452E" w:rsidRPr="00DB64E8" w14:paraId="0F6FB291" w14:textId="77777777" w:rsidTr="00B53112">
        <w:tc>
          <w:tcPr>
            <w:tcW w:w="2116" w:type="dxa"/>
          </w:tcPr>
          <w:p w14:paraId="7EACB38E" w14:textId="368CEF83" w:rsidR="0091452E" w:rsidRPr="00B179DD" w:rsidRDefault="0091452E" w:rsidP="004E3882">
            <w:pPr>
              <w:pStyle w:val="Tabledata"/>
            </w:pPr>
            <w:r>
              <w:t xml:space="preserve">Youth Detention Centre </w:t>
            </w:r>
            <w:r w:rsidR="00D22FCA">
              <w:t>(YDC)</w:t>
            </w:r>
          </w:p>
        </w:tc>
        <w:tc>
          <w:tcPr>
            <w:tcW w:w="7052" w:type="dxa"/>
          </w:tcPr>
          <w:p w14:paraId="42714BA4" w14:textId="728E0DB9" w:rsidR="0091452E" w:rsidRPr="00B179DD" w:rsidRDefault="00195E64" w:rsidP="004E3882">
            <w:pPr>
              <w:pStyle w:val="Tabledata"/>
            </w:pPr>
            <w:r>
              <w:rPr>
                <w:color w:val="000000"/>
              </w:rPr>
              <w:t xml:space="preserve">The gazetted facility declared by the Minister to be a detention centre to accommodate male and female, remanded or sentenced detainees, refer s. 13 </w:t>
            </w:r>
            <w:r>
              <w:rPr>
                <w:i/>
                <w:iCs/>
                <w:color w:val="000000"/>
              </w:rPr>
              <w:t>Young Offenders Act 1994.</w:t>
            </w:r>
          </w:p>
        </w:tc>
      </w:tr>
    </w:tbl>
    <w:p w14:paraId="5A39CA9E" w14:textId="77777777" w:rsidR="003D708E" w:rsidRDefault="003D708E" w:rsidP="0077394F">
      <w:pPr>
        <w:pStyle w:val="Heading2"/>
      </w:pPr>
      <w:bookmarkStart w:id="134" w:name="_Toc25127894"/>
      <w:bookmarkStart w:id="135" w:name="_Toc26508837"/>
      <w:bookmarkStart w:id="136" w:name="_Toc149559204"/>
      <w:bookmarkStart w:id="137" w:name="_Toc196977275"/>
      <w:r>
        <w:t>Related legislation</w:t>
      </w:r>
      <w:bookmarkEnd w:id="134"/>
      <w:bookmarkEnd w:id="135"/>
      <w:bookmarkEnd w:id="136"/>
      <w:bookmarkEnd w:id="137"/>
      <w:r>
        <w:t xml:space="preserve"> </w:t>
      </w:r>
    </w:p>
    <w:p w14:paraId="0C704260" w14:textId="77777777" w:rsidR="008956A1" w:rsidRPr="0077394F" w:rsidRDefault="008956A1" w:rsidP="0077394F">
      <w:pPr>
        <w:pStyle w:val="ListBullet"/>
        <w:rPr>
          <w:i/>
        </w:rPr>
      </w:pPr>
      <w:r w:rsidRPr="0077394F">
        <w:rPr>
          <w:i/>
        </w:rPr>
        <w:t>Children and Community Services Act 2004</w:t>
      </w:r>
    </w:p>
    <w:p w14:paraId="08131EDE" w14:textId="77777777" w:rsidR="008956A1" w:rsidRPr="0077394F" w:rsidRDefault="008956A1" w:rsidP="0077394F">
      <w:pPr>
        <w:pStyle w:val="ListBullet"/>
        <w:rPr>
          <w:i/>
        </w:rPr>
      </w:pPr>
      <w:r w:rsidRPr="0077394F">
        <w:rPr>
          <w:i/>
        </w:rPr>
        <w:t>Young Offenders Act 1994</w:t>
      </w:r>
    </w:p>
    <w:p w14:paraId="3E2F55A1" w14:textId="38F4D15D" w:rsidR="00362D66" w:rsidRPr="00830418" w:rsidRDefault="00362D66" w:rsidP="00830418">
      <w:pPr>
        <w:pStyle w:val="ListBullet"/>
        <w:rPr>
          <w:i/>
          <w:iCs/>
        </w:rPr>
      </w:pPr>
      <w:r w:rsidRPr="00830418">
        <w:rPr>
          <w:i/>
          <w:iCs/>
        </w:rPr>
        <w:t>Young Offender Regulations 1995</w:t>
      </w:r>
    </w:p>
    <w:p w14:paraId="1DB81A60" w14:textId="77777777" w:rsidR="00D978E7" w:rsidRDefault="002E5756" w:rsidP="0077394F">
      <w:pPr>
        <w:pStyle w:val="Heading1"/>
      </w:pPr>
      <w:bookmarkStart w:id="138" w:name="_Toc178286"/>
      <w:bookmarkStart w:id="139" w:name="_Toc25127895"/>
      <w:bookmarkStart w:id="140" w:name="_Toc26508838"/>
      <w:bookmarkStart w:id="141" w:name="_Toc149559205"/>
      <w:bookmarkStart w:id="142" w:name="_Toc196977276"/>
      <w:r w:rsidRPr="009D516D">
        <w:t>Assurance</w:t>
      </w:r>
      <w:bookmarkEnd w:id="138"/>
      <w:bookmarkEnd w:id="139"/>
      <w:bookmarkEnd w:id="140"/>
      <w:bookmarkEnd w:id="141"/>
      <w:bookmarkEnd w:id="142"/>
    </w:p>
    <w:p w14:paraId="2949BEB9" w14:textId="57DB3D28" w:rsidR="00E36F32" w:rsidRDefault="00E36F32" w:rsidP="000614E6">
      <w:r>
        <w:t xml:space="preserve">It is expected </w:t>
      </w:r>
      <w:r w:rsidR="000614E6">
        <w:t>that: The</w:t>
      </w:r>
      <w:r w:rsidR="00124C53">
        <w:t xml:space="preserve"> </w:t>
      </w:r>
      <w:r w:rsidR="00866D61">
        <w:t>YDC</w:t>
      </w:r>
      <w:r w:rsidR="00124C53">
        <w:t xml:space="preserve"> </w:t>
      </w:r>
      <w:r>
        <w:t xml:space="preserve">will undertake local compliance in accordance with the </w:t>
      </w:r>
      <w:hyperlink r:id="rId43" w:history="1">
        <w:r w:rsidRPr="00677C44">
          <w:rPr>
            <w:rStyle w:val="Hyperlink"/>
          </w:rPr>
          <w:t>Compliance Manual.</w:t>
        </w:r>
      </w:hyperlink>
    </w:p>
    <w:p w14:paraId="0D268CE9" w14:textId="6FE98D91" w:rsidR="00E36F32" w:rsidRDefault="00E36F32" w:rsidP="0077394F">
      <w:pPr>
        <w:pStyle w:val="ListBullet"/>
      </w:pPr>
      <w:r>
        <w:t xml:space="preserve">The </w:t>
      </w:r>
      <w:r w:rsidR="00BA02F9">
        <w:t>Young People Directorate</w:t>
      </w:r>
      <w:r>
        <w:t xml:space="preserve"> Head Office will undertake management oversight as required. </w:t>
      </w:r>
    </w:p>
    <w:p w14:paraId="1AF887FC" w14:textId="67AB042F" w:rsidR="00E36F32" w:rsidRDefault="00E36F32" w:rsidP="0077394F">
      <w:pPr>
        <w:pStyle w:val="ListBullet"/>
      </w:pPr>
      <w:r w:rsidRPr="003D624C">
        <w:t xml:space="preserve">Operational Compliance </w:t>
      </w:r>
      <w:r w:rsidR="00F456F7" w:rsidRPr="00F456F7">
        <w:t xml:space="preserve">Branch </w:t>
      </w:r>
      <w:r w:rsidRPr="003D624C">
        <w:t xml:space="preserve">will undertake checks in accordance with the </w:t>
      </w:r>
      <w:hyperlink r:id="rId44" w:history="1">
        <w:r w:rsidR="000E4907" w:rsidRPr="000E4907">
          <w:rPr>
            <w:rStyle w:val="Hyperlink"/>
          </w:rPr>
          <w:t xml:space="preserve">Operational Compliance </w:t>
        </w:r>
        <w:r w:rsidRPr="000E4907">
          <w:rPr>
            <w:rStyle w:val="Hyperlink"/>
          </w:rPr>
          <w:t>Framework</w:t>
        </w:r>
      </w:hyperlink>
    </w:p>
    <w:p w14:paraId="4B859102" w14:textId="449FEACB" w:rsidR="00E36F32" w:rsidRDefault="00E36F32" w:rsidP="0077394F">
      <w:pPr>
        <w:pStyle w:val="ListBullet"/>
      </w:pPr>
      <w:r>
        <w:t xml:space="preserve">Independent oversight will be undertaken as required. </w:t>
      </w:r>
    </w:p>
    <w:p w14:paraId="0035AEDA" w14:textId="76BAB277" w:rsidR="00245869" w:rsidRDefault="00245869" w:rsidP="0038422B">
      <w:pPr>
        <w:pStyle w:val="Heading1"/>
      </w:pPr>
      <w:bookmarkStart w:id="143" w:name="_Toc25127896"/>
      <w:bookmarkStart w:id="144" w:name="_Toc149559206"/>
      <w:bookmarkStart w:id="145" w:name="_Toc196977277"/>
      <w:r>
        <w:t xml:space="preserve">Document </w:t>
      </w:r>
      <w:r w:rsidR="0038422B">
        <w:t>V</w:t>
      </w:r>
      <w:r>
        <w:t xml:space="preserve">ersion </w:t>
      </w:r>
      <w:r w:rsidR="0038422B">
        <w:t>H</w:t>
      </w:r>
      <w:r>
        <w:t>istory</w:t>
      </w:r>
      <w:bookmarkEnd w:id="143"/>
      <w:bookmarkEnd w:id="144"/>
      <w:bookmarkEnd w:id="145"/>
    </w:p>
    <w:tbl>
      <w:tblPr>
        <w:tblStyle w:val="DCStable"/>
        <w:tblW w:w="9215" w:type="dxa"/>
        <w:tblCellMar>
          <w:top w:w="57" w:type="dxa"/>
          <w:left w:w="85" w:type="dxa"/>
          <w:bottom w:w="57" w:type="dxa"/>
          <w:right w:w="85" w:type="dxa"/>
        </w:tblCellMar>
        <w:tblLook w:val="0620" w:firstRow="1" w:lastRow="0" w:firstColumn="0" w:lastColumn="0" w:noHBand="1" w:noVBand="1"/>
      </w:tblPr>
      <w:tblGrid>
        <w:gridCol w:w="1051"/>
        <w:gridCol w:w="2182"/>
        <w:gridCol w:w="2747"/>
        <w:gridCol w:w="1812"/>
        <w:gridCol w:w="1423"/>
      </w:tblGrid>
      <w:tr w:rsidR="00AC0E70" w:rsidRPr="007D3C6F" w14:paraId="35BF9484" w14:textId="427E20A0" w:rsidTr="00830418">
        <w:trPr>
          <w:cnfStyle w:val="100000000000" w:firstRow="1" w:lastRow="0" w:firstColumn="0" w:lastColumn="0" w:oddVBand="0" w:evenVBand="0" w:oddHBand="0" w:evenHBand="0" w:firstRowFirstColumn="0" w:firstRowLastColumn="0" w:lastRowFirstColumn="0" w:lastRowLastColumn="0"/>
          <w:trHeight w:val="609"/>
        </w:trPr>
        <w:tc>
          <w:tcPr>
            <w:tcW w:w="1051" w:type="dxa"/>
          </w:tcPr>
          <w:p w14:paraId="56310523" w14:textId="77777777" w:rsidR="00AC0E70" w:rsidRPr="007D3C6F" w:rsidRDefault="00AC0E70" w:rsidP="00DF778C">
            <w:pPr>
              <w:pStyle w:val="Tableheading"/>
            </w:pPr>
            <w:r w:rsidRPr="007D3C6F">
              <w:t>Version no</w:t>
            </w:r>
          </w:p>
        </w:tc>
        <w:tc>
          <w:tcPr>
            <w:tcW w:w="2182" w:type="dxa"/>
          </w:tcPr>
          <w:p w14:paraId="319EF2D9" w14:textId="77777777" w:rsidR="00AC0E70" w:rsidRPr="007D3C6F" w:rsidRDefault="00AC0E70" w:rsidP="00DF778C">
            <w:pPr>
              <w:pStyle w:val="Tableheading"/>
            </w:pPr>
            <w:r w:rsidRPr="007D3C6F">
              <w:t>Primary author(s)</w:t>
            </w:r>
          </w:p>
        </w:tc>
        <w:tc>
          <w:tcPr>
            <w:tcW w:w="2747" w:type="dxa"/>
          </w:tcPr>
          <w:p w14:paraId="39D72E39" w14:textId="77777777" w:rsidR="00AC0E70" w:rsidRPr="007D3C6F" w:rsidRDefault="00AC0E70" w:rsidP="00DF778C">
            <w:pPr>
              <w:pStyle w:val="Tableheading"/>
            </w:pPr>
            <w:r w:rsidRPr="007D3C6F">
              <w:t>Description of version</w:t>
            </w:r>
          </w:p>
        </w:tc>
        <w:tc>
          <w:tcPr>
            <w:tcW w:w="1812" w:type="dxa"/>
          </w:tcPr>
          <w:p w14:paraId="0F150DD0" w14:textId="77777777" w:rsidR="00AC0E70" w:rsidRPr="007D3C6F" w:rsidRDefault="00AC0E70" w:rsidP="00DF778C">
            <w:pPr>
              <w:pStyle w:val="Tableheading"/>
            </w:pPr>
            <w:r w:rsidRPr="007D3C6F">
              <w:t>Date completed</w:t>
            </w:r>
          </w:p>
        </w:tc>
        <w:tc>
          <w:tcPr>
            <w:tcW w:w="1423" w:type="dxa"/>
          </w:tcPr>
          <w:p w14:paraId="7BB6687F" w14:textId="381E5CDF" w:rsidR="00AC0E70" w:rsidRPr="007D3C6F" w:rsidRDefault="00AC0E70" w:rsidP="00DF778C">
            <w:pPr>
              <w:pStyle w:val="Tableheading"/>
            </w:pPr>
            <w:r>
              <w:t>Effective date</w:t>
            </w:r>
          </w:p>
        </w:tc>
      </w:tr>
      <w:tr w:rsidR="00AC0E70" w:rsidRPr="007D3C6F" w14:paraId="788115C9" w14:textId="2E782E24" w:rsidTr="00830418">
        <w:trPr>
          <w:trHeight w:val="922"/>
        </w:trPr>
        <w:tc>
          <w:tcPr>
            <w:tcW w:w="1051" w:type="dxa"/>
          </w:tcPr>
          <w:p w14:paraId="6E545431" w14:textId="487840D7" w:rsidR="00AC0E70" w:rsidRDefault="00AC0E70" w:rsidP="0075666F">
            <w:pPr>
              <w:pStyle w:val="Tabledata"/>
            </w:pPr>
            <w:r>
              <w:t>1</w:t>
            </w:r>
            <w:r w:rsidRPr="00EF27B2">
              <w:t>.0</w:t>
            </w:r>
          </w:p>
        </w:tc>
        <w:tc>
          <w:tcPr>
            <w:tcW w:w="2182" w:type="dxa"/>
          </w:tcPr>
          <w:p w14:paraId="342EC2FA" w14:textId="23B83FC0" w:rsidR="00AC0E70" w:rsidRDefault="00AC0E70" w:rsidP="0075666F">
            <w:pPr>
              <w:pStyle w:val="Tabledata"/>
            </w:pPr>
            <w:r w:rsidRPr="00EF27B2">
              <w:t>Operational Policy</w:t>
            </w:r>
          </w:p>
        </w:tc>
        <w:tc>
          <w:tcPr>
            <w:tcW w:w="2747" w:type="dxa"/>
          </w:tcPr>
          <w:p w14:paraId="00FACF4F" w14:textId="30E008EB" w:rsidR="00AC0E70" w:rsidRDefault="00AC0E70" w:rsidP="0075666F">
            <w:pPr>
              <w:pStyle w:val="Tabledata"/>
            </w:pPr>
            <w:r w:rsidRPr="00EF27B2">
              <w:t>Approved by the A/Director Operational Policy, Compliance and Contracts</w:t>
            </w:r>
          </w:p>
        </w:tc>
        <w:tc>
          <w:tcPr>
            <w:tcW w:w="1812" w:type="dxa"/>
          </w:tcPr>
          <w:p w14:paraId="30EFBF0D" w14:textId="58C1BE32" w:rsidR="00AC0E70" w:rsidRDefault="00AC0E70" w:rsidP="0075666F">
            <w:pPr>
              <w:pStyle w:val="Tabledata"/>
            </w:pPr>
            <w:r>
              <w:t>12 June 2020</w:t>
            </w:r>
          </w:p>
        </w:tc>
        <w:tc>
          <w:tcPr>
            <w:tcW w:w="1423" w:type="dxa"/>
          </w:tcPr>
          <w:p w14:paraId="538ED838" w14:textId="444BB27B" w:rsidR="00AC0E70" w:rsidRDefault="00AC0E70" w:rsidP="0075666F">
            <w:pPr>
              <w:pStyle w:val="Tabledata"/>
            </w:pPr>
            <w:r>
              <w:t>03 August 2020</w:t>
            </w:r>
          </w:p>
        </w:tc>
      </w:tr>
      <w:tr w:rsidR="00E83E06" w:rsidRPr="007D3C6F" w14:paraId="2D13A6F1" w14:textId="77777777" w:rsidTr="00830418">
        <w:trPr>
          <w:trHeight w:val="922"/>
        </w:trPr>
        <w:tc>
          <w:tcPr>
            <w:tcW w:w="1051" w:type="dxa"/>
          </w:tcPr>
          <w:p w14:paraId="1C73910E" w14:textId="25CDEA0F" w:rsidR="00E83E06" w:rsidRDefault="00E83E06" w:rsidP="0075666F">
            <w:pPr>
              <w:pStyle w:val="Tabledata"/>
            </w:pPr>
            <w:r>
              <w:t>2.0</w:t>
            </w:r>
          </w:p>
        </w:tc>
        <w:tc>
          <w:tcPr>
            <w:tcW w:w="2182" w:type="dxa"/>
          </w:tcPr>
          <w:p w14:paraId="18907F09" w14:textId="1FC24DB7" w:rsidR="00E83E06" w:rsidRPr="00EF27B2" w:rsidRDefault="00E83E06" w:rsidP="0075666F">
            <w:pPr>
              <w:pStyle w:val="Tabledata"/>
            </w:pPr>
            <w:r w:rsidRPr="00EF27B2">
              <w:t>Operational Policy</w:t>
            </w:r>
          </w:p>
        </w:tc>
        <w:tc>
          <w:tcPr>
            <w:tcW w:w="2747" w:type="dxa"/>
          </w:tcPr>
          <w:p w14:paraId="7A66318A" w14:textId="25CE72F8" w:rsidR="00E83E06" w:rsidRPr="00EF27B2" w:rsidRDefault="00E83E06" w:rsidP="0075666F">
            <w:pPr>
              <w:pStyle w:val="Tabledata"/>
            </w:pPr>
            <w:r w:rsidRPr="00E83E06">
              <w:t>Approved by the A/Director Operational Policy, Compliance and Contracts</w:t>
            </w:r>
          </w:p>
        </w:tc>
        <w:tc>
          <w:tcPr>
            <w:tcW w:w="1812" w:type="dxa"/>
          </w:tcPr>
          <w:p w14:paraId="3D8780F5" w14:textId="171F7546" w:rsidR="00E83E06" w:rsidRDefault="00981F7D" w:rsidP="0075666F">
            <w:pPr>
              <w:pStyle w:val="Tabledata"/>
            </w:pPr>
            <w:r>
              <w:t>25 January 2022</w:t>
            </w:r>
          </w:p>
        </w:tc>
        <w:tc>
          <w:tcPr>
            <w:tcW w:w="1423" w:type="dxa"/>
          </w:tcPr>
          <w:p w14:paraId="126AFA5E" w14:textId="7CD2A72E" w:rsidR="00E83E06" w:rsidRDefault="00981F7D" w:rsidP="0075666F">
            <w:pPr>
              <w:pStyle w:val="Tabledata"/>
            </w:pPr>
            <w:r>
              <w:t xml:space="preserve">25 January 2022 </w:t>
            </w:r>
          </w:p>
        </w:tc>
      </w:tr>
      <w:tr w:rsidR="003959F9" w:rsidRPr="007D3C6F" w14:paraId="456C5F46" w14:textId="77777777" w:rsidTr="00830418">
        <w:trPr>
          <w:trHeight w:val="922"/>
        </w:trPr>
        <w:tc>
          <w:tcPr>
            <w:tcW w:w="1051" w:type="dxa"/>
            <w:vMerge w:val="restart"/>
          </w:tcPr>
          <w:p w14:paraId="6C09BCB2" w14:textId="7E905AF4" w:rsidR="003959F9" w:rsidRDefault="003959F9" w:rsidP="0075666F">
            <w:pPr>
              <w:pStyle w:val="Tabledata"/>
            </w:pPr>
            <w:r>
              <w:t>3.0</w:t>
            </w:r>
          </w:p>
        </w:tc>
        <w:tc>
          <w:tcPr>
            <w:tcW w:w="2182" w:type="dxa"/>
            <w:vMerge w:val="restart"/>
          </w:tcPr>
          <w:p w14:paraId="09FC76CA" w14:textId="77777777" w:rsidR="003959F9" w:rsidRDefault="003959F9" w:rsidP="0075666F">
            <w:pPr>
              <w:pStyle w:val="Tabledata"/>
            </w:pPr>
            <w:r>
              <w:t xml:space="preserve">Operational Policy </w:t>
            </w:r>
          </w:p>
          <w:p w14:paraId="7117B2F5" w14:textId="77777777" w:rsidR="00800093" w:rsidRDefault="00800093" w:rsidP="0075666F">
            <w:pPr>
              <w:pStyle w:val="Tabledata"/>
            </w:pPr>
          </w:p>
          <w:p w14:paraId="5FA98C16" w14:textId="628FEDA5" w:rsidR="00800093" w:rsidRDefault="00800093" w:rsidP="00800093">
            <w:pPr>
              <w:spacing w:after="60"/>
              <w:rPr>
                <w:rFonts w:eastAsia="Times New Roman"/>
                <w:lang w:eastAsia="en-AU"/>
              </w:rPr>
            </w:pPr>
            <w:r w:rsidRPr="009773F0">
              <w:rPr>
                <w:rFonts w:eastAsia="Times New Roman"/>
                <w:lang w:eastAsia="en-AU"/>
              </w:rPr>
              <w:t>Memo Reference:</w:t>
            </w:r>
          </w:p>
          <w:p w14:paraId="35A69E4F" w14:textId="77777777" w:rsidR="00B95139" w:rsidRDefault="00B95139" w:rsidP="00B95139">
            <w:pPr>
              <w:pStyle w:val="Tabledata"/>
            </w:pPr>
            <w:r>
              <w:lastRenderedPageBreak/>
              <w:t>D23/958935</w:t>
            </w:r>
          </w:p>
          <w:p w14:paraId="469CC296" w14:textId="77777777" w:rsidR="00B95139" w:rsidRPr="009773F0" w:rsidRDefault="00B95139" w:rsidP="00800093">
            <w:pPr>
              <w:spacing w:after="60"/>
              <w:rPr>
                <w:rFonts w:eastAsia="Times New Roman"/>
                <w:lang w:eastAsia="en-AU"/>
              </w:rPr>
            </w:pPr>
          </w:p>
          <w:p w14:paraId="1F5C91D1" w14:textId="451D2A03" w:rsidR="00800093" w:rsidRDefault="00800093" w:rsidP="00800093">
            <w:pPr>
              <w:spacing w:after="60"/>
              <w:rPr>
                <w:rFonts w:eastAsia="Times New Roman"/>
                <w:lang w:eastAsia="en-AU"/>
              </w:rPr>
            </w:pPr>
            <w:r w:rsidRPr="009773F0">
              <w:rPr>
                <w:rFonts w:eastAsia="Times New Roman"/>
                <w:lang w:eastAsia="en-AU"/>
              </w:rPr>
              <w:t>Content Manager Reference:</w:t>
            </w:r>
          </w:p>
          <w:p w14:paraId="0AE18737" w14:textId="1D17B671" w:rsidR="00276E9F" w:rsidRPr="009773F0" w:rsidRDefault="00276E9F" w:rsidP="00800093">
            <w:pPr>
              <w:spacing w:after="60"/>
              <w:rPr>
                <w:rFonts w:eastAsia="Times New Roman"/>
                <w:lang w:eastAsia="en-AU"/>
              </w:rPr>
            </w:pPr>
            <w:r>
              <w:rPr>
                <w:rFonts w:eastAsia="Times New Roman"/>
                <w:lang w:eastAsia="en-AU"/>
              </w:rPr>
              <w:t>S23/101088</w:t>
            </w:r>
          </w:p>
          <w:p w14:paraId="4C98E6A9" w14:textId="5EEE253E" w:rsidR="00800093" w:rsidRPr="00EF27B2" w:rsidRDefault="00800093" w:rsidP="0075666F">
            <w:pPr>
              <w:pStyle w:val="Tabledata"/>
            </w:pPr>
          </w:p>
        </w:tc>
        <w:tc>
          <w:tcPr>
            <w:tcW w:w="2747" w:type="dxa"/>
          </w:tcPr>
          <w:p w14:paraId="20D5ADC0" w14:textId="5A47414A" w:rsidR="003959F9" w:rsidRPr="00E83E06" w:rsidRDefault="003959F9" w:rsidP="0075666F">
            <w:pPr>
              <w:pStyle w:val="Tabledata"/>
            </w:pPr>
            <w:r>
              <w:lastRenderedPageBreak/>
              <w:t>Endorsed by the Assistant Commissioner Women and Young People</w:t>
            </w:r>
          </w:p>
        </w:tc>
        <w:tc>
          <w:tcPr>
            <w:tcW w:w="1812" w:type="dxa"/>
          </w:tcPr>
          <w:p w14:paraId="407755BF" w14:textId="2B907E68" w:rsidR="003959F9" w:rsidRDefault="00F46CC6" w:rsidP="0075666F">
            <w:pPr>
              <w:pStyle w:val="Tabledata"/>
            </w:pPr>
            <w:r>
              <w:t>9 November 2023</w:t>
            </w:r>
          </w:p>
        </w:tc>
        <w:tc>
          <w:tcPr>
            <w:tcW w:w="1423" w:type="dxa"/>
            <w:vMerge w:val="restart"/>
          </w:tcPr>
          <w:p w14:paraId="3D2166AA" w14:textId="1EEB7177" w:rsidR="003959F9" w:rsidRDefault="004028A6" w:rsidP="0075666F">
            <w:pPr>
              <w:pStyle w:val="Tabledata"/>
            </w:pPr>
            <w:r>
              <w:t>1</w:t>
            </w:r>
            <w:r w:rsidR="00E61593">
              <w:t>8</w:t>
            </w:r>
            <w:r>
              <w:t xml:space="preserve"> December 2023</w:t>
            </w:r>
          </w:p>
        </w:tc>
      </w:tr>
      <w:tr w:rsidR="003959F9" w:rsidRPr="007D3C6F" w14:paraId="1C648066" w14:textId="77777777" w:rsidTr="00830418">
        <w:trPr>
          <w:trHeight w:val="922"/>
        </w:trPr>
        <w:tc>
          <w:tcPr>
            <w:tcW w:w="1051" w:type="dxa"/>
            <w:vMerge/>
          </w:tcPr>
          <w:p w14:paraId="7C498313" w14:textId="77777777" w:rsidR="003959F9" w:rsidRDefault="003959F9" w:rsidP="0075666F">
            <w:pPr>
              <w:pStyle w:val="Tabledata"/>
            </w:pPr>
          </w:p>
        </w:tc>
        <w:tc>
          <w:tcPr>
            <w:tcW w:w="2182" w:type="dxa"/>
            <w:vMerge/>
          </w:tcPr>
          <w:p w14:paraId="2B3677E6" w14:textId="77777777" w:rsidR="003959F9" w:rsidRDefault="003959F9" w:rsidP="0075666F">
            <w:pPr>
              <w:pStyle w:val="Tabledata"/>
            </w:pPr>
          </w:p>
        </w:tc>
        <w:tc>
          <w:tcPr>
            <w:tcW w:w="2747" w:type="dxa"/>
          </w:tcPr>
          <w:p w14:paraId="63A2801B" w14:textId="2393B662" w:rsidR="003959F9" w:rsidRPr="00E83E06" w:rsidRDefault="003959F9" w:rsidP="0075666F">
            <w:pPr>
              <w:pStyle w:val="Tabledata"/>
            </w:pPr>
            <w:r w:rsidRPr="00120F36">
              <w:t xml:space="preserve">Approved by the </w:t>
            </w:r>
            <w:r w:rsidR="00800093">
              <w:t xml:space="preserve">Deputy Commissioner Operational Policy </w:t>
            </w:r>
          </w:p>
        </w:tc>
        <w:tc>
          <w:tcPr>
            <w:tcW w:w="1812" w:type="dxa"/>
          </w:tcPr>
          <w:p w14:paraId="6C196592" w14:textId="6E8EE3A0" w:rsidR="003959F9" w:rsidRDefault="00F46CC6" w:rsidP="0075666F">
            <w:pPr>
              <w:pStyle w:val="Tabledata"/>
            </w:pPr>
            <w:r>
              <w:t>15 November 2023</w:t>
            </w:r>
          </w:p>
        </w:tc>
        <w:tc>
          <w:tcPr>
            <w:tcW w:w="1423" w:type="dxa"/>
            <w:vMerge/>
          </w:tcPr>
          <w:p w14:paraId="255A831C" w14:textId="77777777" w:rsidR="003959F9" w:rsidRDefault="003959F9" w:rsidP="0075666F">
            <w:pPr>
              <w:pStyle w:val="Tabledata"/>
            </w:pPr>
          </w:p>
        </w:tc>
      </w:tr>
      <w:tr w:rsidR="00C24130" w:rsidRPr="007D3C6F" w14:paraId="38F8519F" w14:textId="77777777" w:rsidTr="00830418">
        <w:trPr>
          <w:trHeight w:val="922"/>
        </w:trPr>
        <w:tc>
          <w:tcPr>
            <w:tcW w:w="1051" w:type="dxa"/>
            <w:vMerge/>
          </w:tcPr>
          <w:p w14:paraId="5FFD865B" w14:textId="77777777" w:rsidR="00C24130" w:rsidRDefault="00C24130" w:rsidP="0075666F">
            <w:pPr>
              <w:pStyle w:val="Tabledata"/>
            </w:pPr>
          </w:p>
        </w:tc>
        <w:tc>
          <w:tcPr>
            <w:tcW w:w="2182" w:type="dxa"/>
            <w:vMerge/>
          </w:tcPr>
          <w:p w14:paraId="1C184520" w14:textId="77777777" w:rsidR="00C24130" w:rsidRDefault="00C24130" w:rsidP="00C24130">
            <w:pPr>
              <w:pStyle w:val="Tabledata"/>
            </w:pPr>
          </w:p>
        </w:tc>
        <w:tc>
          <w:tcPr>
            <w:tcW w:w="2747" w:type="dxa"/>
          </w:tcPr>
          <w:p w14:paraId="6A209DF6" w14:textId="1B083765" w:rsidR="00C24130" w:rsidRDefault="00C24130" w:rsidP="0075666F">
            <w:pPr>
              <w:pStyle w:val="Tabledata"/>
            </w:pPr>
            <w:r w:rsidRPr="00120F36">
              <w:t xml:space="preserve">Approved by the </w:t>
            </w:r>
            <w:r>
              <w:t>Deputy Commissioner Operational Support</w:t>
            </w:r>
          </w:p>
        </w:tc>
        <w:tc>
          <w:tcPr>
            <w:tcW w:w="1812" w:type="dxa"/>
          </w:tcPr>
          <w:p w14:paraId="0058CF32" w14:textId="0829EEF4" w:rsidR="00C24130" w:rsidRDefault="00C24130" w:rsidP="0075666F">
            <w:pPr>
              <w:pStyle w:val="Tabledata"/>
            </w:pPr>
            <w:r>
              <w:t>TBD</w:t>
            </w:r>
          </w:p>
        </w:tc>
        <w:tc>
          <w:tcPr>
            <w:tcW w:w="1423" w:type="dxa"/>
            <w:vMerge/>
          </w:tcPr>
          <w:p w14:paraId="6A11690F" w14:textId="77777777" w:rsidR="00C24130" w:rsidRDefault="00C24130" w:rsidP="0075666F">
            <w:pPr>
              <w:pStyle w:val="Tabledata"/>
            </w:pPr>
          </w:p>
        </w:tc>
      </w:tr>
      <w:tr w:rsidR="00677D06" w:rsidRPr="007D3C6F" w14:paraId="145339F6" w14:textId="77777777" w:rsidTr="00830418">
        <w:trPr>
          <w:trHeight w:val="922"/>
        </w:trPr>
        <w:tc>
          <w:tcPr>
            <w:tcW w:w="1051" w:type="dxa"/>
          </w:tcPr>
          <w:p w14:paraId="096B19B5" w14:textId="1E1F7E9B" w:rsidR="00677D06" w:rsidRDefault="00677D06" w:rsidP="0075666F">
            <w:pPr>
              <w:pStyle w:val="Tabledata"/>
            </w:pPr>
            <w:r>
              <w:t>4.0</w:t>
            </w:r>
          </w:p>
        </w:tc>
        <w:tc>
          <w:tcPr>
            <w:tcW w:w="2182" w:type="dxa"/>
          </w:tcPr>
          <w:p w14:paraId="6CC5F078" w14:textId="2BE1253D" w:rsidR="00677D06" w:rsidRDefault="00677D06" w:rsidP="00C24130">
            <w:pPr>
              <w:pStyle w:val="Tabledata"/>
            </w:pPr>
            <w:r>
              <w:t>Young People</w:t>
            </w:r>
          </w:p>
        </w:tc>
        <w:tc>
          <w:tcPr>
            <w:tcW w:w="2747" w:type="dxa"/>
          </w:tcPr>
          <w:p w14:paraId="58C31A0B" w14:textId="77777777" w:rsidR="00677D06" w:rsidRDefault="00677D06" w:rsidP="0075666F">
            <w:pPr>
              <w:pStyle w:val="Tabledata"/>
            </w:pPr>
            <w:r>
              <w:t>Approved by the Deputy Commissioner, Operational Support</w:t>
            </w:r>
          </w:p>
          <w:p w14:paraId="00A722E2" w14:textId="0DDE0602" w:rsidR="00677D06" w:rsidRPr="00120F36" w:rsidRDefault="00677D06" w:rsidP="0075666F">
            <w:pPr>
              <w:pStyle w:val="Tabledata"/>
            </w:pPr>
            <w:r>
              <w:t>CM Ref: S25/44452</w:t>
            </w:r>
          </w:p>
        </w:tc>
        <w:tc>
          <w:tcPr>
            <w:tcW w:w="1812" w:type="dxa"/>
          </w:tcPr>
          <w:p w14:paraId="26F1F22C" w14:textId="31BFF895" w:rsidR="00677D06" w:rsidRDefault="00677D06" w:rsidP="0075666F">
            <w:pPr>
              <w:pStyle w:val="Tabledata"/>
            </w:pPr>
            <w:r>
              <w:t>28 April 2025</w:t>
            </w:r>
          </w:p>
        </w:tc>
        <w:tc>
          <w:tcPr>
            <w:tcW w:w="1423" w:type="dxa"/>
          </w:tcPr>
          <w:p w14:paraId="2AE4530F" w14:textId="10960DC2" w:rsidR="00677D06" w:rsidRDefault="00677D06" w:rsidP="0075666F">
            <w:pPr>
              <w:pStyle w:val="Tabledata"/>
            </w:pPr>
            <w:r>
              <w:t>1 May 2025</w:t>
            </w:r>
          </w:p>
        </w:tc>
      </w:tr>
    </w:tbl>
    <w:p w14:paraId="32937E52" w14:textId="77777777" w:rsidR="0075666F" w:rsidRPr="0077394F" w:rsidRDefault="0075666F" w:rsidP="0077394F">
      <w:bookmarkStart w:id="146" w:name="_Toc25127897"/>
      <w:bookmarkEnd w:id="146"/>
    </w:p>
    <w:sectPr w:rsidR="0075666F" w:rsidRPr="0077394F" w:rsidSect="00AA47EA">
      <w:footerReference w:type="default" r:id="rId45"/>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A427" w14:textId="77777777" w:rsidR="001D1B11" w:rsidRDefault="001D1B11" w:rsidP="00D06E62">
      <w:r>
        <w:separator/>
      </w:r>
    </w:p>
  </w:endnote>
  <w:endnote w:type="continuationSeparator" w:id="0">
    <w:p w14:paraId="506890B9" w14:textId="77777777" w:rsidR="001D1B11" w:rsidRDefault="001D1B11" w:rsidP="00D06E62">
      <w:r>
        <w:continuationSeparator/>
      </w:r>
    </w:p>
  </w:endnote>
  <w:endnote w:type="continuationNotice" w:id="1">
    <w:p w14:paraId="46235135" w14:textId="77777777" w:rsidR="001D1B11" w:rsidRDefault="001D1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AB31" w14:textId="77777777" w:rsidR="005E2496" w:rsidRDefault="005E2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10D6" w14:textId="77777777" w:rsidR="00A05D47" w:rsidRDefault="00A05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0470" w14:textId="77777777" w:rsidR="005E2496" w:rsidRDefault="005E24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FCE1" w14:textId="5A5E1E8A" w:rsidR="00E34EA8" w:rsidRDefault="00E34EA8" w:rsidP="0077394F">
    <w:pPr>
      <w:pStyle w:val="Footer"/>
      <w:tabs>
        <w:tab w:val="clear" w:pos="9026"/>
        <w:tab w:val="left" w:pos="1095"/>
        <w:tab w:val="left" w:pos="7938"/>
      </w:tabs>
      <w:ind w:right="-320"/>
    </w:pPr>
    <w:r w:rsidRPr="00627992">
      <w:rPr>
        <w:color w:val="C00000"/>
      </w:rPr>
      <w:t xml:space="preserve">The current version of this document is maintained on the </w:t>
    </w:r>
    <w:r>
      <w:rPr>
        <w:color w:val="C00000"/>
      </w:rPr>
      <w:t xml:space="preserve">Custodial </w:t>
    </w:r>
    <w:r w:rsidRPr="00627992">
      <w:rPr>
        <w:color w:val="C00000"/>
      </w:rPr>
      <w:t>Ops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1758" w14:textId="77167050" w:rsidR="00961B9B" w:rsidRDefault="00961B9B" w:rsidP="00961B9B">
    <w:pPr>
      <w:pStyle w:val="Footer"/>
      <w:tabs>
        <w:tab w:val="clear" w:pos="9026"/>
        <w:tab w:val="left" w:pos="1095"/>
        <w:tab w:val="left" w:pos="12900"/>
      </w:tabs>
      <w:ind w:right="-320"/>
    </w:pPr>
    <w:r w:rsidRPr="00627992">
      <w:rPr>
        <w:color w:val="C00000"/>
      </w:rPr>
      <w:t xml:space="preserve">The current version of this document is maintained on the </w:t>
    </w:r>
    <w:r>
      <w:rPr>
        <w:color w:val="C00000"/>
      </w:rPr>
      <w:t xml:space="preserve">Custodial </w:t>
    </w:r>
    <w:r w:rsidRPr="00627992">
      <w:rPr>
        <w:color w:val="C00000"/>
      </w:rPr>
      <w:t>Ops intranet page</w:t>
    </w:r>
    <w:r>
      <w:tab/>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9D64" w14:textId="60BBDFEE" w:rsidR="00961B9B" w:rsidRDefault="00961B9B" w:rsidP="00961B9B">
    <w:pPr>
      <w:pStyle w:val="Footer"/>
      <w:tabs>
        <w:tab w:val="clear" w:pos="9026"/>
        <w:tab w:val="left" w:pos="1095"/>
        <w:tab w:val="left" w:pos="7938"/>
      </w:tabs>
      <w:ind w:right="-320"/>
    </w:pPr>
    <w:r w:rsidRPr="00627992">
      <w:rPr>
        <w:color w:val="C00000"/>
      </w:rPr>
      <w:t xml:space="preserve">The current version of this document is maintained on the </w:t>
    </w:r>
    <w:r>
      <w:rPr>
        <w:color w:val="C00000"/>
      </w:rPr>
      <w:t xml:space="preserve">Custodial </w:t>
    </w:r>
    <w:r w:rsidRPr="00627992">
      <w:rPr>
        <w:color w:val="C00000"/>
      </w:rPr>
      <w:t>Ops intranet</w:t>
    </w:r>
    <w:r>
      <w:tab/>
    </w:r>
    <w:r w:rsidRPr="00961B9B">
      <w:t>Page</w:t>
    </w:r>
    <w:r w:rsidRPr="00627992">
      <w:t xml:space="preserv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8269" w14:textId="77777777" w:rsidR="001D1B11" w:rsidRDefault="001D1B11" w:rsidP="00D06E62">
      <w:r>
        <w:separator/>
      </w:r>
    </w:p>
  </w:footnote>
  <w:footnote w:type="continuationSeparator" w:id="0">
    <w:p w14:paraId="692632D6" w14:textId="77777777" w:rsidR="001D1B11" w:rsidRDefault="001D1B11" w:rsidP="00D06E62">
      <w:r>
        <w:continuationSeparator/>
      </w:r>
    </w:p>
  </w:footnote>
  <w:footnote w:type="continuationNotice" w:id="1">
    <w:p w14:paraId="3AD26687" w14:textId="77777777" w:rsidR="001D1B11" w:rsidRDefault="001D1B11"/>
  </w:footnote>
  <w:footnote w:id="2">
    <w:p w14:paraId="6FB77C79" w14:textId="77777777" w:rsidR="00E34EA8" w:rsidRDefault="00E34EA8" w:rsidP="00FA18B0">
      <w:pPr>
        <w:pStyle w:val="FootnoteText"/>
      </w:pPr>
      <w:r w:rsidRPr="00646FBB">
        <w:rPr>
          <w:rStyle w:val="FootnoteReference"/>
        </w:rPr>
        <w:footnoteRef/>
      </w:r>
      <w:r w:rsidRPr="00646FBB">
        <w:t xml:space="preserve"> </w:t>
      </w:r>
      <w:r w:rsidRPr="00646FBB">
        <w:rPr>
          <w:i/>
          <w:iCs/>
        </w:rPr>
        <w:t>Children and Community Services Act 2004</w:t>
      </w:r>
    </w:p>
  </w:footnote>
  <w:footnote w:id="3">
    <w:p w14:paraId="7CBA863E" w14:textId="77777777" w:rsidR="009E4F67" w:rsidRDefault="009E4F67" w:rsidP="009E4F67">
      <w:pPr>
        <w:pStyle w:val="FootnoteText"/>
      </w:pPr>
      <w:r>
        <w:rPr>
          <w:rStyle w:val="FootnoteReference"/>
        </w:rPr>
        <w:footnoteRef/>
      </w:r>
      <w:r>
        <w:t xml:space="preserve"> </w:t>
      </w:r>
      <w:r w:rsidRPr="002158BB">
        <w:rPr>
          <w:i/>
        </w:rPr>
        <w:t>Criminal Code Act Compilation Act 1913</w:t>
      </w:r>
    </w:p>
  </w:footnote>
  <w:footnote w:id="4">
    <w:p w14:paraId="1ABCF847" w14:textId="77777777" w:rsidR="009E4F67" w:rsidRDefault="009E4F67" w:rsidP="009E4F67">
      <w:pPr>
        <w:pStyle w:val="FootnoteText"/>
      </w:pPr>
      <w:r>
        <w:rPr>
          <w:rStyle w:val="FootnoteReference"/>
        </w:rPr>
        <w:footnoteRef/>
      </w:r>
      <w:r>
        <w:t xml:space="preserve"> </w:t>
      </w:r>
      <w:r w:rsidRPr="00E01A17">
        <w:rPr>
          <w:i/>
        </w:rPr>
        <w:t>Young Offenders Act 199</w:t>
      </w:r>
      <w:r>
        <w:rPr>
          <w:i/>
        </w:rPr>
        <w:t>4</w:t>
      </w:r>
    </w:p>
  </w:footnote>
  <w:footnote w:id="5">
    <w:p w14:paraId="09D75ACB" w14:textId="77777777" w:rsidR="00E34EA8" w:rsidRDefault="00E34EA8" w:rsidP="00016B5D">
      <w:pPr>
        <w:pStyle w:val="FootnoteText"/>
      </w:pPr>
      <w:r>
        <w:rPr>
          <w:rStyle w:val="FootnoteReference"/>
        </w:rPr>
        <w:footnoteRef/>
      </w:r>
      <w:r>
        <w:t xml:space="preserve"> </w:t>
      </w:r>
      <w:r w:rsidRPr="00836D92">
        <w:rPr>
          <w:i/>
        </w:rPr>
        <w:t>Children and Community Services Act 2004</w:t>
      </w:r>
    </w:p>
  </w:footnote>
  <w:footnote w:id="6">
    <w:p w14:paraId="469F8B14" w14:textId="552599CE" w:rsidR="002D7F65" w:rsidRDefault="002D7F65">
      <w:pPr>
        <w:pStyle w:val="FootnoteText"/>
      </w:pPr>
      <w:r>
        <w:rPr>
          <w:rStyle w:val="FootnoteReference"/>
        </w:rPr>
        <w:footnoteRef/>
      </w:r>
      <w:r>
        <w:t xml:space="preserve"> Appointed under section 125A of </w:t>
      </w:r>
      <w:r w:rsidRPr="00836D92">
        <w:rPr>
          <w:i/>
        </w:rPr>
        <w:t>Children and Community Services Act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CF96" w14:textId="0C183AEB" w:rsidR="00E34EA8" w:rsidRDefault="00E34EA8">
    <w:pPr>
      <w:pStyle w:val="Header"/>
    </w:pPr>
    <w:r>
      <w:rPr>
        <w:noProof/>
        <w:lang w:eastAsia="en-AU"/>
      </w:rPr>
      <mc:AlternateContent>
        <mc:Choice Requires="wps">
          <w:drawing>
            <wp:anchor distT="0" distB="0" distL="114300" distR="114300" simplePos="0" relativeHeight="251657216" behindDoc="1" locked="0" layoutInCell="0" allowOverlap="1" wp14:anchorId="51ACB34B" wp14:editId="0FBE2182">
              <wp:simplePos x="0" y="0"/>
              <wp:positionH relativeFrom="margin">
                <wp:align>center</wp:align>
              </wp:positionH>
              <wp:positionV relativeFrom="margin">
                <wp:align>center</wp:align>
              </wp:positionV>
              <wp:extent cx="7900670" cy="315595"/>
              <wp:effectExtent l="0" t="2714625" r="0" b="2684780"/>
              <wp:wrapNone/>
              <wp:docPr id="6"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230AF6" w14:textId="77777777" w:rsidR="00E34EA8" w:rsidRDefault="00E34EA8" w:rsidP="00545B5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ACB34B" id="_x0000_t202" coordsize="21600,21600" o:spt="202" path="m,l,21600r21600,l21600,xe">
              <v:stroke joinstyle="miter"/>
              <v:path gradientshapeok="t" o:connecttype="rect"/>
            </v:shapetype>
            <v:shape id="WordArt 14" o:spid="_x0000_s1026" type="#_x0000_t202" style="position:absolute;margin-left:0;margin-top:0;width:622.1pt;height:24.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08230AF6" w14:textId="77777777" w:rsidR="00E34EA8" w:rsidRDefault="00E34EA8" w:rsidP="00545B5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5B6C" w14:textId="5634DF87" w:rsidR="00E34EA8" w:rsidRDefault="00E34EA8" w:rsidP="00663830">
    <w:pPr>
      <w:pStyle w:val="Header"/>
      <w:pBdr>
        <w:bottom w:val="single" w:sz="4" w:space="3" w:color="auto"/>
      </w:pBdr>
    </w:pPr>
    <w:r>
      <w:rPr>
        <w:noProof/>
        <w:lang w:eastAsia="en-AU"/>
      </w:rPr>
      <mc:AlternateContent>
        <mc:Choice Requires="wps">
          <w:drawing>
            <wp:anchor distT="0" distB="0" distL="114300" distR="114300" simplePos="0" relativeHeight="251658240" behindDoc="1" locked="0" layoutInCell="0" allowOverlap="1" wp14:anchorId="2F5FDC22" wp14:editId="40BDB7DF">
              <wp:simplePos x="0" y="0"/>
              <wp:positionH relativeFrom="margin">
                <wp:align>center</wp:align>
              </wp:positionH>
              <wp:positionV relativeFrom="margin">
                <wp:align>center</wp:align>
              </wp:positionV>
              <wp:extent cx="7900670" cy="315595"/>
              <wp:effectExtent l="0" t="2714625" r="0" b="2684780"/>
              <wp:wrapNone/>
              <wp:docPr id="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C1FA97" w14:textId="77777777" w:rsidR="00E34EA8" w:rsidRDefault="00E34EA8" w:rsidP="00545B5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5FDC22" id="_x0000_t202" coordsize="21600,21600" o:spt="202" path="m,l,21600r21600,l21600,xe">
              <v:stroke joinstyle="miter"/>
              <v:path gradientshapeok="t" o:connecttype="rect"/>
            </v:shapetype>
            <v:shape id="WordArt 15" o:spid="_x0000_s1027" type="#_x0000_t202" style="position:absolute;margin-left:0;margin-top:0;width:622.1pt;height:24.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02C1FA97" w14:textId="77777777" w:rsidR="00E34EA8" w:rsidRDefault="00E34EA8" w:rsidP="00545B5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3E5C23">
      <w:rPr>
        <w:noProof/>
      </w:rPr>
      <w:t>COPP 8.5 Allegations</w:t>
    </w:r>
    <w:r>
      <w:rPr>
        <w:noProof/>
      </w:rPr>
      <w:fldChar w:fldCharType="end"/>
    </w:r>
    <w:r>
      <w:rPr>
        <w:noProof/>
      </w:rPr>
      <w:t xml:space="preserve"> &lt;v x.x&gt;</w:t>
    </w:r>
  </w:p>
  <w:p w14:paraId="64D4F022" w14:textId="77777777" w:rsidR="00E34EA8" w:rsidRDefault="00E34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BFC7" w14:textId="4875A789" w:rsidR="00E34EA8" w:rsidRDefault="00E34EA8">
    <w:pPr>
      <w:pStyle w:val="Header"/>
    </w:pPr>
    <w:r w:rsidRPr="008114B3">
      <w:rPr>
        <w:rFonts w:cs="Arial"/>
        <w:noProof/>
        <w:sz w:val="56"/>
        <w:szCs w:val="56"/>
        <w:lang w:eastAsia="en-AU"/>
      </w:rPr>
      <mc:AlternateContent>
        <mc:Choice Requires="wps">
          <w:drawing>
            <wp:anchor distT="0" distB="0" distL="114300" distR="114300" simplePos="0" relativeHeight="251655168" behindDoc="0" locked="0" layoutInCell="1" allowOverlap="1" wp14:anchorId="718E8562" wp14:editId="039FF51E">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D815941" w14:textId="77777777" w:rsidR="00E34EA8" w:rsidRPr="00464E72" w:rsidRDefault="00E34EA8"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E8562" id="_x0000_t202" coordsize="21600,21600" o:spt="202" path="m,l,21600r21600,l21600,xe">
              <v:stroke joinstyle="miter"/>
              <v:path gradientshapeok="t" o:connecttype="rect"/>
            </v:shapetype>
            <v:shape id="Text Box 1" o:spid="_x0000_s1028" type="#_x0000_t202" style="position:absolute;margin-left:14.3pt;margin-top:17.4pt;width:129.75pt;height:23.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3D815941" w14:textId="77777777" w:rsidR="00E34EA8" w:rsidRPr="00464E72" w:rsidRDefault="00E34EA8"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4144" behindDoc="0" locked="0" layoutInCell="1" allowOverlap="1" wp14:anchorId="2A8B44C2" wp14:editId="3BD99D8B">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B97A4" w14:textId="77777777" w:rsidR="00E34EA8" w:rsidRDefault="00E34EA8"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B44C2" id="Text Box 21" o:spid="_x0000_s1029" type="#_x0000_t202" style="position:absolute;margin-left:200.3pt;margin-top:-1.35pt;width:312.75pt;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798B97A4" w14:textId="77777777" w:rsidR="00E34EA8" w:rsidRDefault="00E34EA8"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6192" behindDoc="1" locked="0" layoutInCell="1" allowOverlap="1" wp14:anchorId="267DB9E2" wp14:editId="4050EB84">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E35B" w14:textId="022BA397" w:rsidR="00E34EA8" w:rsidRDefault="00E34EA8">
    <w:pPr>
      <w:pStyle w:val="Header"/>
    </w:pPr>
    <w:r>
      <w:rPr>
        <w:noProof/>
        <w:lang w:eastAsia="en-AU"/>
      </w:rPr>
      <mc:AlternateContent>
        <mc:Choice Requires="wps">
          <w:drawing>
            <wp:anchor distT="0" distB="0" distL="114300" distR="114300" simplePos="0" relativeHeight="251660288" behindDoc="1" locked="0" layoutInCell="0" allowOverlap="1" wp14:anchorId="444DED38" wp14:editId="0C71BB50">
              <wp:simplePos x="0" y="0"/>
              <wp:positionH relativeFrom="margin">
                <wp:align>center</wp:align>
              </wp:positionH>
              <wp:positionV relativeFrom="margin">
                <wp:align>center</wp:align>
              </wp:positionV>
              <wp:extent cx="7900670" cy="315595"/>
              <wp:effectExtent l="0" t="2714625" r="0" b="2684780"/>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458D42" w14:textId="77777777" w:rsidR="00E34EA8" w:rsidRDefault="00E34EA8" w:rsidP="00545B5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4DED38" id="_x0000_t202" coordsize="21600,21600" o:spt="202" path="m,l,21600r21600,l21600,xe">
              <v:stroke joinstyle="miter"/>
              <v:path gradientshapeok="t" o:connecttype="rect"/>
            </v:shapetype>
            <v:shape id="WordArt 17" o:spid="_x0000_s1030"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02458D42" w14:textId="77777777" w:rsidR="00E34EA8" w:rsidRDefault="00E34EA8" w:rsidP="00545B5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076E" w14:textId="0D19CB2A" w:rsidR="00E34EA8" w:rsidRDefault="00E34EA8"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961B9B">
      <w:rPr>
        <w:noProof/>
      </w:rPr>
      <w:t>COPP 8.5 Allegations</w:t>
    </w:r>
    <w:r>
      <w:rPr>
        <w:noProof/>
      </w:rPr>
      <w:fldChar w:fldCharType="end"/>
    </w:r>
    <w:r>
      <w:rPr>
        <w:noProof/>
      </w:rPr>
      <w:t xml:space="preserve"> v</w:t>
    </w:r>
    <w:r w:rsidR="00961B9B">
      <w:rPr>
        <w:noProof/>
      </w:rPr>
      <w:t xml:space="preserve"> 4.0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6E92" w14:textId="1889F5EA" w:rsidR="00E34EA8" w:rsidRDefault="00E34EA8">
    <w:pPr>
      <w:pStyle w:val="Header"/>
    </w:pPr>
    <w:r>
      <w:rPr>
        <w:noProof/>
        <w:lang w:eastAsia="en-AU"/>
      </w:rPr>
      <mc:AlternateContent>
        <mc:Choice Requires="wps">
          <w:drawing>
            <wp:anchor distT="0" distB="0" distL="114300" distR="114300" simplePos="0" relativeHeight="251659264" behindDoc="1" locked="0" layoutInCell="0" allowOverlap="1" wp14:anchorId="71F24708" wp14:editId="56B929EB">
              <wp:simplePos x="0" y="0"/>
              <wp:positionH relativeFrom="margin">
                <wp:align>center</wp:align>
              </wp:positionH>
              <wp:positionV relativeFrom="margin">
                <wp:align>center</wp:align>
              </wp:positionV>
              <wp:extent cx="7900670" cy="315595"/>
              <wp:effectExtent l="0" t="2714625" r="0" b="268478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2E59EB" w14:textId="77777777" w:rsidR="00E34EA8" w:rsidRDefault="00E34EA8" w:rsidP="00545B5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F24708" id="_x0000_t202" coordsize="21600,21600" o:spt="202" path="m,l,21600r21600,l21600,xe">
              <v:stroke joinstyle="miter"/>
              <v:path gradientshapeok="t" o:connecttype="rect"/>
            </v:shapetype>
            <v:shape id="WordArt 16" o:spid="_x0000_s1031"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532E59EB" w14:textId="77777777" w:rsidR="00E34EA8" w:rsidRDefault="00E34EA8" w:rsidP="00545B5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CA35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F843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4EB7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00C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BED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72D1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32F7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F231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B8113D"/>
    <w:multiLevelType w:val="multilevel"/>
    <w:tmpl w:val="02328E94"/>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rPr>
        <w:color w:val="000000" w:themeColor="tex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945255"/>
    <w:multiLevelType w:val="hybridMultilevel"/>
    <w:tmpl w:val="84147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F373D3"/>
    <w:multiLevelType w:val="hybridMultilevel"/>
    <w:tmpl w:val="7E2490E2"/>
    <w:lvl w:ilvl="0" w:tplc="76201EB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171C3FCA"/>
    <w:multiLevelType w:val="hybridMultilevel"/>
    <w:tmpl w:val="DFC2B9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952889"/>
    <w:multiLevelType w:val="hybridMultilevel"/>
    <w:tmpl w:val="9006D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E36875"/>
    <w:multiLevelType w:val="hybridMultilevel"/>
    <w:tmpl w:val="96ACE6DE"/>
    <w:lvl w:ilvl="0" w:tplc="0C090017">
      <w:start w:val="1"/>
      <w:numFmt w:val="lowerLetter"/>
      <w:lvlText w:val="%1)"/>
      <w:lvlJc w:val="left"/>
      <w:pPr>
        <w:ind w:left="360" w:hanging="360"/>
      </w:pPr>
    </w:lvl>
    <w:lvl w:ilvl="1" w:tplc="8002504E">
      <w:start w:val="1"/>
      <w:numFmt w:val="bullet"/>
      <w:pStyle w:val="ListBullet2"/>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A786879"/>
    <w:multiLevelType w:val="hybridMultilevel"/>
    <w:tmpl w:val="8B7E0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F71569"/>
    <w:multiLevelType w:val="hybridMultilevel"/>
    <w:tmpl w:val="C11CE624"/>
    <w:lvl w:ilvl="0" w:tplc="0C090019">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2C3B17"/>
    <w:multiLevelType w:val="hybridMultilevel"/>
    <w:tmpl w:val="309AE3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43353F"/>
    <w:multiLevelType w:val="hybridMultilevel"/>
    <w:tmpl w:val="D54C6F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9C3079"/>
    <w:multiLevelType w:val="hybridMultilevel"/>
    <w:tmpl w:val="773A8C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A7879"/>
    <w:multiLevelType w:val="hybridMultilevel"/>
    <w:tmpl w:val="36E0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D6741E"/>
    <w:multiLevelType w:val="hybridMultilevel"/>
    <w:tmpl w:val="D9180D1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F111CC"/>
    <w:multiLevelType w:val="hybridMultilevel"/>
    <w:tmpl w:val="E236B5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533C3D"/>
    <w:multiLevelType w:val="hybridMultilevel"/>
    <w:tmpl w:val="579094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3722C0"/>
    <w:multiLevelType w:val="hybridMultilevel"/>
    <w:tmpl w:val="9EDA8A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72507BD"/>
    <w:multiLevelType w:val="hybridMultilevel"/>
    <w:tmpl w:val="388EF9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80D4C16"/>
    <w:multiLevelType w:val="hybridMultilevel"/>
    <w:tmpl w:val="4BDED90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4C010F6D"/>
    <w:multiLevelType w:val="hybridMultilevel"/>
    <w:tmpl w:val="1C52FB1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E328FC"/>
    <w:multiLevelType w:val="hybridMultilevel"/>
    <w:tmpl w:val="30D82D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5A307D9"/>
    <w:multiLevelType w:val="hybridMultilevel"/>
    <w:tmpl w:val="A6B4D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8B404F"/>
    <w:multiLevelType w:val="hybridMultilevel"/>
    <w:tmpl w:val="7592FC38"/>
    <w:lvl w:ilvl="0" w:tplc="73BEA5FE">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FFB69EE"/>
    <w:multiLevelType w:val="hybridMultilevel"/>
    <w:tmpl w:val="0AEAF1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732703"/>
    <w:multiLevelType w:val="hybridMultilevel"/>
    <w:tmpl w:val="C1F676D0"/>
    <w:lvl w:ilvl="0" w:tplc="0242F1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AD06B6"/>
    <w:multiLevelType w:val="hybridMultilevel"/>
    <w:tmpl w:val="505A1E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C3487C"/>
    <w:multiLevelType w:val="hybridMultilevel"/>
    <w:tmpl w:val="0A108AE8"/>
    <w:lvl w:ilvl="0" w:tplc="7CCACB64">
      <w:start w:val="1"/>
      <w:numFmt w:val="bullet"/>
      <w:lvlText w:val=""/>
      <w:lvlJc w:val="left"/>
      <w:pPr>
        <w:ind w:left="1020" w:hanging="360"/>
      </w:pPr>
      <w:rPr>
        <w:rFonts w:ascii="Symbol" w:hAnsi="Symbol"/>
      </w:rPr>
    </w:lvl>
    <w:lvl w:ilvl="1" w:tplc="68920228">
      <w:start w:val="1"/>
      <w:numFmt w:val="bullet"/>
      <w:lvlText w:val=""/>
      <w:lvlJc w:val="left"/>
      <w:pPr>
        <w:ind w:left="1020" w:hanging="360"/>
      </w:pPr>
      <w:rPr>
        <w:rFonts w:ascii="Symbol" w:hAnsi="Symbol"/>
      </w:rPr>
    </w:lvl>
    <w:lvl w:ilvl="2" w:tplc="0D0E397A">
      <w:start w:val="1"/>
      <w:numFmt w:val="bullet"/>
      <w:lvlText w:val=""/>
      <w:lvlJc w:val="left"/>
      <w:pPr>
        <w:ind w:left="1020" w:hanging="360"/>
      </w:pPr>
      <w:rPr>
        <w:rFonts w:ascii="Symbol" w:hAnsi="Symbol"/>
      </w:rPr>
    </w:lvl>
    <w:lvl w:ilvl="3" w:tplc="44F0FAEE">
      <w:start w:val="1"/>
      <w:numFmt w:val="bullet"/>
      <w:lvlText w:val=""/>
      <w:lvlJc w:val="left"/>
      <w:pPr>
        <w:ind w:left="1020" w:hanging="360"/>
      </w:pPr>
      <w:rPr>
        <w:rFonts w:ascii="Symbol" w:hAnsi="Symbol"/>
      </w:rPr>
    </w:lvl>
    <w:lvl w:ilvl="4" w:tplc="FE4C3666">
      <w:start w:val="1"/>
      <w:numFmt w:val="bullet"/>
      <w:lvlText w:val=""/>
      <w:lvlJc w:val="left"/>
      <w:pPr>
        <w:ind w:left="1020" w:hanging="360"/>
      </w:pPr>
      <w:rPr>
        <w:rFonts w:ascii="Symbol" w:hAnsi="Symbol"/>
      </w:rPr>
    </w:lvl>
    <w:lvl w:ilvl="5" w:tplc="51189F9A">
      <w:start w:val="1"/>
      <w:numFmt w:val="bullet"/>
      <w:lvlText w:val=""/>
      <w:lvlJc w:val="left"/>
      <w:pPr>
        <w:ind w:left="1020" w:hanging="360"/>
      </w:pPr>
      <w:rPr>
        <w:rFonts w:ascii="Symbol" w:hAnsi="Symbol"/>
      </w:rPr>
    </w:lvl>
    <w:lvl w:ilvl="6" w:tplc="5606B51C">
      <w:start w:val="1"/>
      <w:numFmt w:val="bullet"/>
      <w:lvlText w:val=""/>
      <w:lvlJc w:val="left"/>
      <w:pPr>
        <w:ind w:left="1020" w:hanging="360"/>
      </w:pPr>
      <w:rPr>
        <w:rFonts w:ascii="Symbol" w:hAnsi="Symbol"/>
      </w:rPr>
    </w:lvl>
    <w:lvl w:ilvl="7" w:tplc="6670681A">
      <w:start w:val="1"/>
      <w:numFmt w:val="bullet"/>
      <w:lvlText w:val=""/>
      <w:lvlJc w:val="left"/>
      <w:pPr>
        <w:ind w:left="1020" w:hanging="360"/>
      </w:pPr>
      <w:rPr>
        <w:rFonts w:ascii="Symbol" w:hAnsi="Symbol"/>
      </w:rPr>
    </w:lvl>
    <w:lvl w:ilvl="8" w:tplc="42C63534">
      <w:start w:val="1"/>
      <w:numFmt w:val="bullet"/>
      <w:lvlText w:val=""/>
      <w:lvlJc w:val="left"/>
      <w:pPr>
        <w:ind w:left="1020" w:hanging="360"/>
      </w:pPr>
      <w:rPr>
        <w:rFonts w:ascii="Symbol" w:hAnsi="Symbol"/>
      </w:rPr>
    </w:lvl>
  </w:abstractNum>
  <w:abstractNum w:abstractNumId="41" w15:restartNumberingAfterBreak="0">
    <w:nsid w:val="69A94B42"/>
    <w:multiLevelType w:val="hybridMultilevel"/>
    <w:tmpl w:val="AE8CD6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4D45B5"/>
    <w:multiLevelType w:val="hybridMultilevel"/>
    <w:tmpl w:val="50B2135E"/>
    <w:lvl w:ilvl="0" w:tplc="DE7243D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37E040D"/>
    <w:multiLevelType w:val="hybridMultilevel"/>
    <w:tmpl w:val="2B6C23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8EE160A"/>
    <w:multiLevelType w:val="hybridMultilevel"/>
    <w:tmpl w:val="71F8BC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7B6D56"/>
    <w:multiLevelType w:val="hybridMultilevel"/>
    <w:tmpl w:val="8FAA1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9444528">
    <w:abstractNumId w:val="9"/>
  </w:num>
  <w:num w:numId="2" w16cid:durableId="140196461">
    <w:abstractNumId w:val="8"/>
  </w:num>
  <w:num w:numId="3" w16cid:durableId="616255176">
    <w:abstractNumId w:val="44"/>
  </w:num>
  <w:num w:numId="4" w16cid:durableId="1483620279">
    <w:abstractNumId w:val="16"/>
  </w:num>
  <w:num w:numId="5" w16cid:durableId="966546888">
    <w:abstractNumId w:val="38"/>
  </w:num>
  <w:num w:numId="6" w16cid:durableId="319163038">
    <w:abstractNumId w:val="34"/>
  </w:num>
  <w:num w:numId="7" w16cid:durableId="970786370">
    <w:abstractNumId w:val="14"/>
  </w:num>
  <w:num w:numId="8" w16cid:durableId="2051110260">
    <w:abstractNumId w:val="21"/>
  </w:num>
  <w:num w:numId="9" w16cid:durableId="1053770643">
    <w:abstractNumId w:val="20"/>
  </w:num>
  <w:num w:numId="10" w16cid:durableId="2136749853">
    <w:abstractNumId w:val="26"/>
  </w:num>
  <w:num w:numId="11" w16cid:durableId="1411193342">
    <w:abstractNumId w:val="23"/>
  </w:num>
  <w:num w:numId="12" w16cid:durableId="439301344">
    <w:abstractNumId w:val="15"/>
  </w:num>
  <w:num w:numId="13" w16cid:durableId="380174808">
    <w:abstractNumId w:val="30"/>
  </w:num>
  <w:num w:numId="14" w16cid:durableId="1347559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3484553">
    <w:abstractNumId w:val="19"/>
  </w:num>
  <w:num w:numId="16" w16cid:durableId="1850674841">
    <w:abstractNumId w:val="10"/>
  </w:num>
  <w:num w:numId="17" w16cid:durableId="868496535">
    <w:abstractNumId w:val="28"/>
  </w:num>
  <w:num w:numId="18" w16cid:durableId="68819080">
    <w:abstractNumId w:val="11"/>
  </w:num>
  <w:num w:numId="19" w16cid:durableId="6657451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027284">
    <w:abstractNumId w:val="37"/>
  </w:num>
  <w:num w:numId="21" w16cid:durableId="2050522221">
    <w:abstractNumId w:val="18"/>
  </w:num>
  <w:num w:numId="22" w16cid:durableId="1871647204">
    <w:abstractNumId w:val="33"/>
  </w:num>
  <w:num w:numId="23" w16cid:durableId="1005402367">
    <w:abstractNumId w:val="45"/>
  </w:num>
  <w:num w:numId="24" w16cid:durableId="683048055">
    <w:abstractNumId w:val="25"/>
  </w:num>
  <w:num w:numId="25" w16cid:durableId="1923369096">
    <w:abstractNumId w:val="32"/>
  </w:num>
  <w:num w:numId="26" w16cid:durableId="1138255634">
    <w:abstractNumId w:val="41"/>
  </w:num>
  <w:num w:numId="27" w16cid:durableId="890655695">
    <w:abstractNumId w:val="22"/>
  </w:num>
  <w:num w:numId="28" w16cid:durableId="642075907">
    <w:abstractNumId w:val="29"/>
  </w:num>
  <w:num w:numId="29" w16cid:durableId="403799893">
    <w:abstractNumId w:val="13"/>
  </w:num>
  <w:num w:numId="30" w16cid:durableId="2063016965">
    <w:abstractNumId w:val="36"/>
  </w:num>
  <w:num w:numId="31" w16cid:durableId="1046218456">
    <w:abstractNumId w:val="17"/>
  </w:num>
  <w:num w:numId="32" w16cid:durableId="921795835">
    <w:abstractNumId w:val="31"/>
  </w:num>
  <w:num w:numId="33" w16cid:durableId="628168252">
    <w:abstractNumId w:val="39"/>
  </w:num>
  <w:num w:numId="34" w16cid:durableId="1915699333">
    <w:abstractNumId w:val="27"/>
  </w:num>
  <w:num w:numId="35" w16cid:durableId="650252214">
    <w:abstractNumId w:val="43"/>
  </w:num>
  <w:num w:numId="36" w16cid:durableId="46994499">
    <w:abstractNumId w:val="24"/>
  </w:num>
  <w:num w:numId="37" w16cid:durableId="201096793">
    <w:abstractNumId w:val="35"/>
  </w:num>
  <w:num w:numId="38" w16cid:durableId="328867891">
    <w:abstractNumId w:val="7"/>
  </w:num>
  <w:num w:numId="39" w16cid:durableId="1496454516">
    <w:abstractNumId w:val="6"/>
  </w:num>
  <w:num w:numId="40" w16cid:durableId="1644966833">
    <w:abstractNumId w:val="5"/>
  </w:num>
  <w:num w:numId="41" w16cid:durableId="1112431072">
    <w:abstractNumId w:val="4"/>
  </w:num>
  <w:num w:numId="42" w16cid:durableId="2127265163">
    <w:abstractNumId w:val="3"/>
  </w:num>
  <w:num w:numId="43" w16cid:durableId="1352873843">
    <w:abstractNumId w:val="2"/>
  </w:num>
  <w:num w:numId="44" w16cid:durableId="312949003">
    <w:abstractNumId w:val="1"/>
  </w:num>
  <w:num w:numId="45" w16cid:durableId="1017584570">
    <w:abstractNumId w:val="0"/>
  </w:num>
  <w:num w:numId="46" w16cid:durableId="1004013064">
    <w:abstractNumId w:val="40"/>
  </w:num>
  <w:num w:numId="47" w16cid:durableId="998464100">
    <w:abstractNumId w:val="42"/>
  </w:num>
  <w:num w:numId="48" w16cid:durableId="1392774101">
    <w:abstractNumId w:val="12"/>
  </w:num>
  <w:num w:numId="49" w16cid:durableId="1436898726">
    <w:abstractNumId w:val="4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7at7NaubLgZ4KHVa4Q3H202mOLUqJvO0xTqYFP5K1UznvQ0mbH6Jrm3M6OQyQw0XGcz1CwjiBZiP3RgaFqkEw==" w:salt="bk2UzZmcEgfFUdp+K80qu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07F4"/>
    <w:rsid w:val="0000286E"/>
    <w:rsid w:val="00012EA8"/>
    <w:rsid w:val="000136D0"/>
    <w:rsid w:val="000142F3"/>
    <w:rsid w:val="00014C1C"/>
    <w:rsid w:val="00016246"/>
    <w:rsid w:val="000162D3"/>
    <w:rsid w:val="00016B5D"/>
    <w:rsid w:val="00017A59"/>
    <w:rsid w:val="00022C65"/>
    <w:rsid w:val="00022FF3"/>
    <w:rsid w:val="00025208"/>
    <w:rsid w:val="00030CB2"/>
    <w:rsid w:val="00031AF8"/>
    <w:rsid w:val="00031DDF"/>
    <w:rsid w:val="00041C95"/>
    <w:rsid w:val="00043C36"/>
    <w:rsid w:val="00045F51"/>
    <w:rsid w:val="00047655"/>
    <w:rsid w:val="000501A8"/>
    <w:rsid w:val="00056D0C"/>
    <w:rsid w:val="000614E6"/>
    <w:rsid w:val="00062F03"/>
    <w:rsid w:val="000639B3"/>
    <w:rsid w:val="000656A2"/>
    <w:rsid w:val="00067B1A"/>
    <w:rsid w:val="00074547"/>
    <w:rsid w:val="000755EE"/>
    <w:rsid w:val="00076407"/>
    <w:rsid w:val="000772D0"/>
    <w:rsid w:val="000776D4"/>
    <w:rsid w:val="00077F42"/>
    <w:rsid w:val="000814B4"/>
    <w:rsid w:val="00083CFA"/>
    <w:rsid w:val="00084CB7"/>
    <w:rsid w:val="000863BF"/>
    <w:rsid w:val="000925A5"/>
    <w:rsid w:val="00096721"/>
    <w:rsid w:val="00096E24"/>
    <w:rsid w:val="00097510"/>
    <w:rsid w:val="000A013B"/>
    <w:rsid w:val="000A0386"/>
    <w:rsid w:val="000A3969"/>
    <w:rsid w:val="000A5C77"/>
    <w:rsid w:val="000A7813"/>
    <w:rsid w:val="000B0E86"/>
    <w:rsid w:val="000B135B"/>
    <w:rsid w:val="000B22C3"/>
    <w:rsid w:val="000B2587"/>
    <w:rsid w:val="000B36D8"/>
    <w:rsid w:val="000B415C"/>
    <w:rsid w:val="000B4D35"/>
    <w:rsid w:val="000B6014"/>
    <w:rsid w:val="000B6320"/>
    <w:rsid w:val="000C0133"/>
    <w:rsid w:val="000C0225"/>
    <w:rsid w:val="000C08F6"/>
    <w:rsid w:val="000C3AD7"/>
    <w:rsid w:val="000C3E89"/>
    <w:rsid w:val="000C4B69"/>
    <w:rsid w:val="000C4EE6"/>
    <w:rsid w:val="000C6A7F"/>
    <w:rsid w:val="000C7782"/>
    <w:rsid w:val="000C7EB9"/>
    <w:rsid w:val="000C7F7B"/>
    <w:rsid w:val="000D008C"/>
    <w:rsid w:val="000D1C8C"/>
    <w:rsid w:val="000D24FE"/>
    <w:rsid w:val="000D3834"/>
    <w:rsid w:val="000D69A3"/>
    <w:rsid w:val="000D7B78"/>
    <w:rsid w:val="000E06B3"/>
    <w:rsid w:val="000E07A1"/>
    <w:rsid w:val="000E0839"/>
    <w:rsid w:val="000E39E3"/>
    <w:rsid w:val="000E4907"/>
    <w:rsid w:val="000E6F5A"/>
    <w:rsid w:val="000E76AC"/>
    <w:rsid w:val="000F05C9"/>
    <w:rsid w:val="000F0624"/>
    <w:rsid w:val="000F4A5C"/>
    <w:rsid w:val="000F7531"/>
    <w:rsid w:val="000F7B5D"/>
    <w:rsid w:val="00100DD6"/>
    <w:rsid w:val="00101962"/>
    <w:rsid w:val="001035D6"/>
    <w:rsid w:val="00103E91"/>
    <w:rsid w:val="00107238"/>
    <w:rsid w:val="001075A7"/>
    <w:rsid w:val="001118AE"/>
    <w:rsid w:val="00111A77"/>
    <w:rsid w:val="00112063"/>
    <w:rsid w:val="001158E9"/>
    <w:rsid w:val="001215ED"/>
    <w:rsid w:val="00121E10"/>
    <w:rsid w:val="00121F40"/>
    <w:rsid w:val="00123BA3"/>
    <w:rsid w:val="00124C53"/>
    <w:rsid w:val="001258DD"/>
    <w:rsid w:val="00126481"/>
    <w:rsid w:val="00126611"/>
    <w:rsid w:val="00127385"/>
    <w:rsid w:val="00131037"/>
    <w:rsid w:val="001342E3"/>
    <w:rsid w:val="00135CC8"/>
    <w:rsid w:val="001365FE"/>
    <w:rsid w:val="00136CCC"/>
    <w:rsid w:val="001410E9"/>
    <w:rsid w:val="00144A1B"/>
    <w:rsid w:val="0014546F"/>
    <w:rsid w:val="00146739"/>
    <w:rsid w:val="00146EFA"/>
    <w:rsid w:val="001478FA"/>
    <w:rsid w:val="00150099"/>
    <w:rsid w:val="001501A8"/>
    <w:rsid w:val="00155864"/>
    <w:rsid w:val="0016491F"/>
    <w:rsid w:val="00164CE2"/>
    <w:rsid w:val="00164D02"/>
    <w:rsid w:val="00164DA2"/>
    <w:rsid w:val="001664DA"/>
    <w:rsid w:val="00173643"/>
    <w:rsid w:val="001737E9"/>
    <w:rsid w:val="001745B3"/>
    <w:rsid w:val="001757E8"/>
    <w:rsid w:val="00175DCC"/>
    <w:rsid w:val="00175E3B"/>
    <w:rsid w:val="00176F1D"/>
    <w:rsid w:val="001813BE"/>
    <w:rsid w:val="0018269C"/>
    <w:rsid w:val="00182C91"/>
    <w:rsid w:val="00184034"/>
    <w:rsid w:val="001841AD"/>
    <w:rsid w:val="00184217"/>
    <w:rsid w:val="0018641C"/>
    <w:rsid w:val="001917A6"/>
    <w:rsid w:val="001924FA"/>
    <w:rsid w:val="00193880"/>
    <w:rsid w:val="00195E64"/>
    <w:rsid w:val="001A1099"/>
    <w:rsid w:val="001A209E"/>
    <w:rsid w:val="001A2850"/>
    <w:rsid w:val="001A2F64"/>
    <w:rsid w:val="001A35B8"/>
    <w:rsid w:val="001A399A"/>
    <w:rsid w:val="001A4D87"/>
    <w:rsid w:val="001A5C46"/>
    <w:rsid w:val="001A5DB7"/>
    <w:rsid w:val="001B0290"/>
    <w:rsid w:val="001B0981"/>
    <w:rsid w:val="001B123B"/>
    <w:rsid w:val="001B2407"/>
    <w:rsid w:val="001B6BF0"/>
    <w:rsid w:val="001B768C"/>
    <w:rsid w:val="001B7C3F"/>
    <w:rsid w:val="001B7DF8"/>
    <w:rsid w:val="001C0B50"/>
    <w:rsid w:val="001C0EB4"/>
    <w:rsid w:val="001C1D95"/>
    <w:rsid w:val="001C67E1"/>
    <w:rsid w:val="001D1B11"/>
    <w:rsid w:val="001D53AB"/>
    <w:rsid w:val="001D6D7F"/>
    <w:rsid w:val="001E23FA"/>
    <w:rsid w:val="001E5874"/>
    <w:rsid w:val="001E753B"/>
    <w:rsid w:val="001F0DD8"/>
    <w:rsid w:val="001F2F68"/>
    <w:rsid w:val="001F391B"/>
    <w:rsid w:val="001F5892"/>
    <w:rsid w:val="00201C45"/>
    <w:rsid w:val="00207E9F"/>
    <w:rsid w:val="00211E6C"/>
    <w:rsid w:val="002158BB"/>
    <w:rsid w:val="00215C98"/>
    <w:rsid w:val="002161F7"/>
    <w:rsid w:val="0021682C"/>
    <w:rsid w:val="00216ED6"/>
    <w:rsid w:val="002178FA"/>
    <w:rsid w:val="00227DD9"/>
    <w:rsid w:val="002320A6"/>
    <w:rsid w:val="00233E7B"/>
    <w:rsid w:val="00235C0F"/>
    <w:rsid w:val="00236C64"/>
    <w:rsid w:val="00240899"/>
    <w:rsid w:val="0024183E"/>
    <w:rsid w:val="002422CA"/>
    <w:rsid w:val="00243E80"/>
    <w:rsid w:val="002457AA"/>
    <w:rsid w:val="00245869"/>
    <w:rsid w:val="00250C62"/>
    <w:rsid w:val="00251F4C"/>
    <w:rsid w:val="002541FC"/>
    <w:rsid w:val="00254316"/>
    <w:rsid w:val="002624C9"/>
    <w:rsid w:val="00264DAA"/>
    <w:rsid w:val="0027251E"/>
    <w:rsid w:val="00272FC9"/>
    <w:rsid w:val="002756C5"/>
    <w:rsid w:val="0027609B"/>
    <w:rsid w:val="002760DC"/>
    <w:rsid w:val="00276E9F"/>
    <w:rsid w:val="002802CD"/>
    <w:rsid w:val="00281F60"/>
    <w:rsid w:val="0028247E"/>
    <w:rsid w:val="002825E6"/>
    <w:rsid w:val="0028387D"/>
    <w:rsid w:val="00283EE8"/>
    <w:rsid w:val="00285795"/>
    <w:rsid w:val="002876E6"/>
    <w:rsid w:val="002928AA"/>
    <w:rsid w:val="002939BC"/>
    <w:rsid w:val="00294075"/>
    <w:rsid w:val="0029410B"/>
    <w:rsid w:val="002945CB"/>
    <w:rsid w:val="00297CAD"/>
    <w:rsid w:val="002A0167"/>
    <w:rsid w:val="002A468A"/>
    <w:rsid w:val="002A7CC1"/>
    <w:rsid w:val="002A7E0F"/>
    <w:rsid w:val="002A7E76"/>
    <w:rsid w:val="002B253F"/>
    <w:rsid w:val="002B3752"/>
    <w:rsid w:val="002B3F56"/>
    <w:rsid w:val="002B4368"/>
    <w:rsid w:val="002B4686"/>
    <w:rsid w:val="002B654D"/>
    <w:rsid w:val="002B6791"/>
    <w:rsid w:val="002B6A9B"/>
    <w:rsid w:val="002C10B4"/>
    <w:rsid w:val="002C6685"/>
    <w:rsid w:val="002C6EED"/>
    <w:rsid w:val="002D1444"/>
    <w:rsid w:val="002D3A6F"/>
    <w:rsid w:val="002D5C7A"/>
    <w:rsid w:val="002D7F65"/>
    <w:rsid w:val="002E21B9"/>
    <w:rsid w:val="002E222E"/>
    <w:rsid w:val="002E5756"/>
    <w:rsid w:val="002E6F7B"/>
    <w:rsid w:val="002E7036"/>
    <w:rsid w:val="002E7994"/>
    <w:rsid w:val="002F3E88"/>
    <w:rsid w:val="002F4E27"/>
    <w:rsid w:val="002F7E4B"/>
    <w:rsid w:val="00300165"/>
    <w:rsid w:val="003009D3"/>
    <w:rsid w:val="003016BA"/>
    <w:rsid w:val="00302144"/>
    <w:rsid w:val="00302672"/>
    <w:rsid w:val="003044D7"/>
    <w:rsid w:val="00305F46"/>
    <w:rsid w:val="00306F0A"/>
    <w:rsid w:val="00307416"/>
    <w:rsid w:val="00307964"/>
    <w:rsid w:val="003102E0"/>
    <w:rsid w:val="0031165A"/>
    <w:rsid w:val="00312275"/>
    <w:rsid w:val="0031267F"/>
    <w:rsid w:val="0031385D"/>
    <w:rsid w:val="00315204"/>
    <w:rsid w:val="003160B9"/>
    <w:rsid w:val="003165D8"/>
    <w:rsid w:val="00321106"/>
    <w:rsid w:val="00324B35"/>
    <w:rsid w:val="0032620F"/>
    <w:rsid w:val="00331E93"/>
    <w:rsid w:val="003437D0"/>
    <w:rsid w:val="003444E7"/>
    <w:rsid w:val="0034545B"/>
    <w:rsid w:val="00347741"/>
    <w:rsid w:val="00350C56"/>
    <w:rsid w:val="00351546"/>
    <w:rsid w:val="003537D6"/>
    <w:rsid w:val="0035390E"/>
    <w:rsid w:val="00357A67"/>
    <w:rsid w:val="0036017F"/>
    <w:rsid w:val="00360E31"/>
    <w:rsid w:val="00361D00"/>
    <w:rsid w:val="00361DEC"/>
    <w:rsid w:val="00362D66"/>
    <w:rsid w:val="00363A60"/>
    <w:rsid w:val="0036463A"/>
    <w:rsid w:val="00365BC2"/>
    <w:rsid w:val="00367B2B"/>
    <w:rsid w:val="0037078D"/>
    <w:rsid w:val="00372DA0"/>
    <w:rsid w:val="003730C8"/>
    <w:rsid w:val="00377D20"/>
    <w:rsid w:val="00380258"/>
    <w:rsid w:val="00382F7C"/>
    <w:rsid w:val="00383307"/>
    <w:rsid w:val="003834C8"/>
    <w:rsid w:val="003836D9"/>
    <w:rsid w:val="0038422B"/>
    <w:rsid w:val="00384ADE"/>
    <w:rsid w:val="00384E07"/>
    <w:rsid w:val="00385BD1"/>
    <w:rsid w:val="00385E21"/>
    <w:rsid w:val="00391513"/>
    <w:rsid w:val="00391AC3"/>
    <w:rsid w:val="003942D0"/>
    <w:rsid w:val="0039464D"/>
    <w:rsid w:val="003959F9"/>
    <w:rsid w:val="0039700A"/>
    <w:rsid w:val="003A092C"/>
    <w:rsid w:val="003A1FAA"/>
    <w:rsid w:val="003A2D0C"/>
    <w:rsid w:val="003A7CA2"/>
    <w:rsid w:val="003B3D92"/>
    <w:rsid w:val="003B4312"/>
    <w:rsid w:val="003B49A1"/>
    <w:rsid w:val="003B49E7"/>
    <w:rsid w:val="003B6CF9"/>
    <w:rsid w:val="003C1B90"/>
    <w:rsid w:val="003C2C82"/>
    <w:rsid w:val="003C4139"/>
    <w:rsid w:val="003C552C"/>
    <w:rsid w:val="003C6A4B"/>
    <w:rsid w:val="003D34C1"/>
    <w:rsid w:val="003D4D4D"/>
    <w:rsid w:val="003D59DB"/>
    <w:rsid w:val="003D6BD8"/>
    <w:rsid w:val="003D708E"/>
    <w:rsid w:val="003E5385"/>
    <w:rsid w:val="003E5602"/>
    <w:rsid w:val="003E5C23"/>
    <w:rsid w:val="003E6CE1"/>
    <w:rsid w:val="003F0E80"/>
    <w:rsid w:val="003F2596"/>
    <w:rsid w:val="003F5E85"/>
    <w:rsid w:val="00400DF5"/>
    <w:rsid w:val="004028A6"/>
    <w:rsid w:val="004062A1"/>
    <w:rsid w:val="0040796F"/>
    <w:rsid w:val="00413900"/>
    <w:rsid w:val="00414DF4"/>
    <w:rsid w:val="00422578"/>
    <w:rsid w:val="00422BE7"/>
    <w:rsid w:val="00430EB7"/>
    <w:rsid w:val="004325BF"/>
    <w:rsid w:val="004334B1"/>
    <w:rsid w:val="004365A3"/>
    <w:rsid w:val="004402FC"/>
    <w:rsid w:val="00441EE5"/>
    <w:rsid w:val="0044339E"/>
    <w:rsid w:val="0044725E"/>
    <w:rsid w:val="00452C8E"/>
    <w:rsid w:val="00452FC6"/>
    <w:rsid w:val="00453790"/>
    <w:rsid w:val="00455126"/>
    <w:rsid w:val="004561A0"/>
    <w:rsid w:val="004574F0"/>
    <w:rsid w:val="00457598"/>
    <w:rsid w:val="00457E6F"/>
    <w:rsid w:val="00460321"/>
    <w:rsid w:val="004610BE"/>
    <w:rsid w:val="0046205C"/>
    <w:rsid w:val="0046242D"/>
    <w:rsid w:val="00464E72"/>
    <w:rsid w:val="00467340"/>
    <w:rsid w:val="004744B3"/>
    <w:rsid w:val="0047469A"/>
    <w:rsid w:val="00475046"/>
    <w:rsid w:val="004755B0"/>
    <w:rsid w:val="0047647D"/>
    <w:rsid w:val="00476875"/>
    <w:rsid w:val="00476BB8"/>
    <w:rsid w:val="00476D95"/>
    <w:rsid w:val="0047772A"/>
    <w:rsid w:val="004833F3"/>
    <w:rsid w:val="00485EF8"/>
    <w:rsid w:val="00485FBD"/>
    <w:rsid w:val="00490500"/>
    <w:rsid w:val="00491EE5"/>
    <w:rsid w:val="004968BE"/>
    <w:rsid w:val="00496C1F"/>
    <w:rsid w:val="004B1D2B"/>
    <w:rsid w:val="004B307A"/>
    <w:rsid w:val="004B35FE"/>
    <w:rsid w:val="004B3E0D"/>
    <w:rsid w:val="004B5937"/>
    <w:rsid w:val="004B6106"/>
    <w:rsid w:val="004B6CAC"/>
    <w:rsid w:val="004B6E9E"/>
    <w:rsid w:val="004B7B51"/>
    <w:rsid w:val="004C040F"/>
    <w:rsid w:val="004C28DB"/>
    <w:rsid w:val="004C2ECF"/>
    <w:rsid w:val="004C628C"/>
    <w:rsid w:val="004C776F"/>
    <w:rsid w:val="004D040B"/>
    <w:rsid w:val="004D0E82"/>
    <w:rsid w:val="004D445D"/>
    <w:rsid w:val="004D5E30"/>
    <w:rsid w:val="004D76AA"/>
    <w:rsid w:val="004E2818"/>
    <w:rsid w:val="004E3882"/>
    <w:rsid w:val="004E3B15"/>
    <w:rsid w:val="004E571B"/>
    <w:rsid w:val="004F111C"/>
    <w:rsid w:val="004F5DD8"/>
    <w:rsid w:val="004F736C"/>
    <w:rsid w:val="00501142"/>
    <w:rsid w:val="00505993"/>
    <w:rsid w:val="005074FD"/>
    <w:rsid w:val="005077A2"/>
    <w:rsid w:val="005107E8"/>
    <w:rsid w:val="00510D74"/>
    <w:rsid w:val="00510FE5"/>
    <w:rsid w:val="0051158B"/>
    <w:rsid w:val="00514826"/>
    <w:rsid w:val="00515785"/>
    <w:rsid w:val="00516E11"/>
    <w:rsid w:val="00520AC8"/>
    <w:rsid w:val="00521AF0"/>
    <w:rsid w:val="0052272E"/>
    <w:rsid w:val="005248FB"/>
    <w:rsid w:val="00532D82"/>
    <w:rsid w:val="00535418"/>
    <w:rsid w:val="00535EB4"/>
    <w:rsid w:val="00541F4C"/>
    <w:rsid w:val="00545B5F"/>
    <w:rsid w:val="0054731A"/>
    <w:rsid w:val="00551630"/>
    <w:rsid w:val="00554385"/>
    <w:rsid w:val="00554F31"/>
    <w:rsid w:val="00555112"/>
    <w:rsid w:val="00556BD2"/>
    <w:rsid w:val="005627E4"/>
    <w:rsid w:val="005657AE"/>
    <w:rsid w:val="00565AEA"/>
    <w:rsid w:val="00565ED6"/>
    <w:rsid w:val="00566E7A"/>
    <w:rsid w:val="00570BEF"/>
    <w:rsid w:val="00572776"/>
    <w:rsid w:val="00573564"/>
    <w:rsid w:val="00576434"/>
    <w:rsid w:val="00576A08"/>
    <w:rsid w:val="00576E4E"/>
    <w:rsid w:val="00576EFF"/>
    <w:rsid w:val="00580389"/>
    <w:rsid w:val="00582FC7"/>
    <w:rsid w:val="0058332A"/>
    <w:rsid w:val="00583464"/>
    <w:rsid w:val="00586DB6"/>
    <w:rsid w:val="00586F77"/>
    <w:rsid w:val="005919FC"/>
    <w:rsid w:val="00592112"/>
    <w:rsid w:val="00592CB9"/>
    <w:rsid w:val="0059369C"/>
    <w:rsid w:val="00594A76"/>
    <w:rsid w:val="005963A0"/>
    <w:rsid w:val="005977E8"/>
    <w:rsid w:val="005A0BE8"/>
    <w:rsid w:val="005A0F30"/>
    <w:rsid w:val="005A3892"/>
    <w:rsid w:val="005A3EA6"/>
    <w:rsid w:val="005A5189"/>
    <w:rsid w:val="005B12ED"/>
    <w:rsid w:val="005B478C"/>
    <w:rsid w:val="005B504A"/>
    <w:rsid w:val="005C2B62"/>
    <w:rsid w:val="005C38D7"/>
    <w:rsid w:val="005C440B"/>
    <w:rsid w:val="005C5BE8"/>
    <w:rsid w:val="005C7622"/>
    <w:rsid w:val="005D0043"/>
    <w:rsid w:val="005D1EA8"/>
    <w:rsid w:val="005D26A5"/>
    <w:rsid w:val="005D4E0F"/>
    <w:rsid w:val="005E211B"/>
    <w:rsid w:val="005E2496"/>
    <w:rsid w:val="005E55CC"/>
    <w:rsid w:val="005E566A"/>
    <w:rsid w:val="005E6D43"/>
    <w:rsid w:val="005F3B83"/>
    <w:rsid w:val="005F7D57"/>
    <w:rsid w:val="00601B92"/>
    <w:rsid w:val="00601C27"/>
    <w:rsid w:val="00601F35"/>
    <w:rsid w:val="00603997"/>
    <w:rsid w:val="00607AF3"/>
    <w:rsid w:val="006159C7"/>
    <w:rsid w:val="0061690C"/>
    <w:rsid w:val="00627992"/>
    <w:rsid w:val="00631584"/>
    <w:rsid w:val="00631796"/>
    <w:rsid w:val="006335A4"/>
    <w:rsid w:val="00633EB8"/>
    <w:rsid w:val="006341CB"/>
    <w:rsid w:val="00634332"/>
    <w:rsid w:val="006347C5"/>
    <w:rsid w:val="00634C54"/>
    <w:rsid w:val="00637E15"/>
    <w:rsid w:val="006407C2"/>
    <w:rsid w:val="00643D91"/>
    <w:rsid w:val="006444FB"/>
    <w:rsid w:val="00644A2D"/>
    <w:rsid w:val="0064579D"/>
    <w:rsid w:val="00646430"/>
    <w:rsid w:val="00646FBB"/>
    <w:rsid w:val="006478B5"/>
    <w:rsid w:val="00647B24"/>
    <w:rsid w:val="00656F4A"/>
    <w:rsid w:val="00657C07"/>
    <w:rsid w:val="00660456"/>
    <w:rsid w:val="00660CCE"/>
    <w:rsid w:val="006621E2"/>
    <w:rsid w:val="00663830"/>
    <w:rsid w:val="00664B83"/>
    <w:rsid w:val="0066577E"/>
    <w:rsid w:val="006657D9"/>
    <w:rsid w:val="00665B86"/>
    <w:rsid w:val="00672BCC"/>
    <w:rsid w:val="00674D46"/>
    <w:rsid w:val="0067743B"/>
    <w:rsid w:val="00677A23"/>
    <w:rsid w:val="00677C44"/>
    <w:rsid w:val="00677D06"/>
    <w:rsid w:val="006809D0"/>
    <w:rsid w:val="00682056"/>
    <w:rsid w:val="00682B4C"/>
    <w:rsid w:val="00685596"/>
    <w:rsid w:val="00686864"/>
    <w:rsid w:val="00691958"/>
    <w:rsid w:val="0069226C"/>
    <w:rsid w:val="006966C7"/>
    <w:rsid w:val="00697E49"/>
    <w:rsid w:val="006A0336"/>
    <w:rsid w:val="006A0F78"/>
    <w:rsid w:val="006A1EDE"/>
    <w:rsid w:val="006A2465"/>
    <w:rsid w:val="006A2E66"/>
    <w:rsid w:val="006B1554"/>
    <w:rsid w:val="006B1AA0"/>
    <w:rsid w:val="006B3601"/>
    <w:rsid w:val="006B4E5A"/>
    <w:rsid w:val="006B7F6B"/>
    <w:rsid w:val="006C2EBE"/>
    <w:rsid w:val="006C5B82"/>
    <w:rsid w:val="006C5C96"/>
    <w:rsid w:val="006C61E8"/>
    <w:rsid w:val="006D07E0"/>
    <w:rsid w:val="006D1658"/>
    <w:rsid w:val="006D219B"/>
    <w:rsid w:val="006D2837"/>
    <w:rsid w:val="006D296E"/>
    <w:rsid w:val="006D3AF9"/>
    <w:rsid w:val="006D4512"/>
    <w:rsid w:val="006D5431"/>
    <w:rsid w:val="006D6A67"/>
    <w:rsid w:val="006E04F6"/>
    <w:rsid w:val="006E1D20"/>
    <w:rsid w:val="006E4EEF"/>
    <w:rsid w:val="006E6D4C"/>
    <w:rsid w:val="006E6D69"/>
    <w:rsid w:val="006E785C"/>
    <w:rsid w:val="006E7B7A"/>
    <w:rsid w:val="006F059C"/>
    <w:rsid w:val="006F08B3"/>
    <w:rsid w:val="006F2FD7"/>
    <w:rsid w:val="006F4AB9"/>
    <w:rsid w:val="006F4E76"/>
    <w:rsid w:val="006F68AB"/>
    <w:rsid w:val="00701C46"/>
    <w:rsid w:val="0070534B"/>
    <w:rsid w:val="00707463"/>
    <w:rsid w:val="00710D94"/>
    <w:rsid w:val="00711C79"/>
    <w:rsid w:val="007129EB"/>
    <w:rsid w:val="00712BF2"/>
    <w:rsid w:val="00715045"/>
    <w:rsid w:val="00715807"/>
    <w:rsid w:val="00721B2C"/>
    <w:rsid w:val="0072546F"/>
    <w:rsid w:val="00725FA7"/>
    <w:rsid w:val="00726ABC"/>
    <w:rsid w:val="0073141E"/>
    <w:rsid w:val="00731506"/>
    <w:rsid w:val="00731BF2"/>
    <w:rsid w:val="007341C6"/>
    <w:rsid w:val="00734E88"/>
    <w:rsid w:val="00737B6C"/>
    <w:rsid w:val="007444AC"/>
    <w:rsid w:val="00752A9E"/>
    <w:rsid w:val="00755AA2"/>
    <w:rsid w:val="0075666F"/>
    <w:rsid w:val="0076049F"/>
    <w:rsid w:val="0076064C"/>
    <w:rsid w:val="007673AC"/>
    <w:rsid w:val="00771415"/>
    <w:rsid w:val="007714B2"/>
    <w:rsid w:val="0077176E"/>
    <w:rsid w:val="007718A5"/>
    <w:rsid w:val="00771DEA"/>
    <w:rsid w:val="007725E2"/>
    <w:rsid w:val="007736E7"/>
    <w:rsid w:val="0077394F"/>
    <w:rsid w:val="00775238"/>
    <w:rsid w:val="00776C8C"/>
    <w:rsid w:val="007777DE"/>
    <w:rsid w:val="00777F7B"/>
    <w:rsid w:val="00780E73"/>
    <w:rsid w:val="00784784"/>
    <w:rsid w:val="0078700E"/>
    <w:rsid w:val="00787DF8"/>
    <w:rsid w:val="0079062F"/>
    <w:rsid w:val="00791E01"/>
    <w:rsid w:val="007936B3"/>
    <w:rsid w:val="0079696A"/>
    <w:rsid w:val="007969D4"/>
    <w:rsid w:val="00796B40"/>
    <w:rsid w:val="007A3DE8"/>
    <w:rsid w:val="007A5D68"/>
    <w:rsid w:val="007B2488"/>
    <w:rsid w:val="007B418D"/>
    <w:rsid w:val="007B55C4"/>
    <w:rsid w:val="007B5EB0"/>
    <w:rsid w:val="007C05D8"/>
    <w:rsid w:val="007C73C2"/>
    <w:rsid w:val="007C7D8C"/>
    <w:rsid w:val="007D07A7"/>
    <w:rsid w:val="007D0CD5"/>
    <w:rsid w:val="007D11B8"/>
    <w:rsid w:val="007D28A5"/>
    <w:rsid w:val="007D3C6F"/>
    <w:rsid w:val="007D3E84"/>
    <w:rsid w:val="007D48FC"/>
    <w:rsid w:val="007D5C40"/>
    <w:rsid w:val="007E0034"/>
    <w:rsid w:val="007E3465"/>
    <w:rsid w:val="007E389C"/>
    <w:rsid w:val="007E4BEB"/>
    <w:rsid w:val="007E5F27"/>
    <w:rsid w:val="007E6153"/>
    <w:rsid w:val="007E67F4"/>
    <w:rsid w:val="007E6AA2"/>
    <w:rsid w:val="007E6F6E"/>
    <w:rsid w:val="007F3DA4"/>
    <w:rsid w:val="007F6A48"/>
    <w:rsid w:val="007F72C4"/>
    <w:rsid w:val="00800093"/>
    <w:rsid w:val="008000C6"/>
    <w:rsid w:val="00800304"/>
    <w:rsid w:val="00800BFA"/>
    <w:rsid w:val="00803710"/>
    <w:rsid w:val="00803C99"/>
    <w:rsid w:val="00806778"/>
    <w:rsid w:val="00807760"/>
    <w:rsid w:val="0080797C"/>
    <w:rsid w:val="00810845"/>
    <w:rsid w:val="00811104"/>
    <w:rsid w:val="008114B3"/>
    <w:rsid w:val="0081286B"/>
    <w:rsid w:val="00816DC3"/>
    <w:rsid w:val="00816E7C"/>
    <w:rsid w:val="008212AF"/>
    <w:rsid w:val="00823815"/>
    <w:rsid w:val="0082738B"/>
    <w:rsid w:val="00830418"/>
    <w:rsid w:val="008334CB"/>
    <w:rsid w:val="008343B5"/>
    <w:rsid w:val="00834810"/>
    <w:rsid w:val="00834CE6"/>
    <w:rsid w:val="00834F1E"/>
    <w:rsid w:val="008377D9"/>
    <w:rsid w:val="00840185"/>
    <w:rsid w:val="00842060"/>
    <w:rsid w:val="00844223"/>
    <w:rsid w:val="008453BB"/>
    <w:rsid w:val="008471AB"/>
    <w:rsid w:val="008475B5"/>
    <w:rsid w:val="00847CFC"/>
    <w:rsid w:val="00850908"/>
    <w:rsid w:val="00850B89"/>
    <w:rsid w:val="00857A48"/>
    <w:rsid w:val="0086067A"/>
    <w:rsid w:val="00863508"/>
    <w:rsid w:val="00864696"/>
    <w:rsid w:val="008651CD"/>
    <w:rsid w:val="00866D61"/>
    <w:rsid w:val="008675EA"/>
    <w:rsid w:val="0086786B"/>
    <w:rsid w:val="00870252"/>
    <w:rsid w:val="00871F9C"/>
    <w:rsid w:val="00873D6E"/>
    <w:rsid w:val="0087504E"/>
    <w:rsid w:val="008829EB"/>
    <w:rsid w:val="008853B5"/>
    <w:rsid w:val="00885E4B"/>
    <w:rsid w:val="0088603F"/>
    <w:rsid w:val="00886292"/>
    <w:rsid w:val="00887215"/>
    <w:rsid w:val="0089070F"/>
    <w:rsid w:val="0089541B"/>
    <w:rsid w:val="008956A1"/>
    <w:rsid w:val="00896A0F"/>
    <w:rsid w:val="008976B1"/>
    <w:rsid w:val="008A0719"/>
    <w:rsid w:val="008A0D51"/>
    <w:rsid w:val="008A1521"/>
    <w:rsid w:val="008A1887"/>
    <w:rsid w:val="008A511C"/>
    <w:rsid w:val="008A5533"/>
    <w:rsid w:val="008A6A0E"/>
    <w:rsid w:val="008A7999"/>
    <w:rsid w:val="008B1803"/>
    <w:rsid w:val="008B31E6"/>
    <w:rsid w:val="008B5E88"/>
    <w:rsid w:val="008C0C66"/>
    <w:rsid w:val="008C0F24"/>
    <w:rsid w:val="008C3EBA"/>
    <w:rsid w:val="008C7D2B"/>
    <w:rsid w:val="008D051A"/>
    <w:rsid w:val="008D379C"/>
    <w:rsid w:val="008D3DE0"/>
    <w:rsid w:val="008D51C1"/>
    <w:rsid w:val="008D77C7"/>
    <w:rsid w:val="008E0C3B"/>
    <w:rsid w:val="008E1F47"/>
    <w:rsid w:val="008E1FFF"/>
    <w:rsid w:val="008E205D"/>
    <w:rsid w:val="008E2ABF"/>
    <w:rsid w:val="008E7996"/>
    <w:rsid w:val="008E7DA7"/>
    <w:rsid w:val="008E7E44"/>
    <w:rsid w:val="008E7EC5"/>
    <w:rsid w:val="008F2DD5"/>
    <w:rsid w:val="008F4EFC"/>
    <w:rsid w:val="008F5671"/>
    <w:rsid w:val="009002BF"/>
    <w:rsid w:val="00904B30"/>
    <w:rsid w:val="00905D74"/>
    <w:rsid w:val="00906E4D"/>
    <w:rsid w:val="0091065E"/>
    <w:rsid w:val="00911DC9"/>
    <w:rsid w:val="009125A6"/>
    <w:rsid w:val="0091452E"/>
    <w:rsid w:val="0091757E"/>
    <w:rsid w:val="00920922"/>
    <w:rsid w:val="00921017"/>
    <w:rsid w:val="009215EE"/>
    <w:rsid w:val="009228B3"/>
    <w:rsid w:val="00924C56"/>
    <w:rsid w:val="0093015B"/>
    <w:rsid w:val="009305DF"/>
    <w:rsid w:val="00930B45"/>
    <w:rsid w:val="009369AE"/>
    <w:rsid w:val="009370B4"/>
    <w:rsid w:val="0093752D"/>
    <w:rsid w:val="00940CD7"/>
    <w:rsid w:val="00942C75"/>
    <w:rsid w:val="009446EB"/>
    <w:rsid w:val="009459A4"/>
    <w:rsid w:val="009469B4"/>
    <w:rsid w:val="00946EF9"/>
    <w:rsid w:val="00950A8D"/>
    <w:rsid w:val="00952315"/>
    <w:rsid w:val="00952462"/>
    <w:rsid w:val="00955F2B"/>
    <w:rsid w:val="0096091F"/>
    <w:rsid w:val="00961B9B"/>
    <w:rsid w:val="009643B2"/>
    <w:rsid w:val="00966F8C"/>
    <w:rsid w:val="0097035D"/>
    <w:rsid w:val="00972221"/>
    <w:rsid w:val="0097546A"/>
    <w:rsid w:val="009801C3"/>
    <w:rsid w:val="009814BD"/>
    <w:rsid w:val="00981F7D"/>
    <w:rsid w:val="009827F5"/>
    <w:rsid w:val="00983544"/>
    <w:rsid w:val="00986080"/>
    <w:rsid w:val="00990D0F"/>
    <w:rsid w:val="009962C0"/>
    <w:rsid w:val="009A19E1"/>
    <w:rsid w:val="009A2B4D"/>
    <w:rsid w:val="009A57BD"/>
    <w:rsid w:val="009B18BC"/>
    <w:rsid w:val="009B2130"/>
    <w:rsid w:val="009B2853"/>
    <w:rsid w:val="009B3411"/>
    <w:rsid w:val="009B4BD5"/>
    <w:rsid w:val="009B5412"/>
    <w:rsid w:val="009B68A0"/>
    <w:rsid w:val="009B7021"/>
    <w:rsid w:val="009B751B"/>
    <w:rsid w:val="009C2A3D"/>
    <w:rsid w:val="009C3B21"/>
    <w:rsid w:val="009C422C"/>
    <w:rsid w:val="009C4581"/>
    <w:rsid w:val="009D1748"/>
    <w:rsid w:val="009D1A16"/>
    <w:rsid w:val="009D3E01"/>
    <w:rsid w:val="009D4476"/>
    <w:rsid w:val="009D531C"/>
    <w:rsid w:val="009D7E37"/>
    <w:rsid w:val="009E0748"/>
    <w:rsid w:val="009E1A7F"/>
    <w:rsid w:val="009E1B8E"/>
    <w:rsid w:val="009E2E67"/>
    <w:rsid w:val="009E42D0"/>
    <w:rsid w:val="009E4F67"/>
    <w:rsid w:val="009E660A"/>
    <w:rsid w:val="009F1907"/>
    <w:rsid w:val="009F2629"/>
    <w:rsid w:val="009F3784"/>
    <w:rsid w:val="009F3CBA"/>
    <w:rsid w:val="009F4C78"/>
    <w:rsid w:val="009F5478"/>
    <w:rsid w:val="009F561C"/>
    <w:rsid w:val="009F6262"/>
    <w:rsid w:val="00A03471"/>
    <w:rsid w:val="00A03512"/>
    <w:rsid w:val="00A035FA"/>
    <w:rsid w:val="00A05D47"/>
    <w:rsid w:val="00A0683E"/>
    <w:rsid w:val="00A06916"/>
    <w:rsid w:val="00A15BDF"/>
    <w:rsid w:val="00A222AF"/>
    <w:rsid w:val="00A2247B"/>
    <w:rsid w:val="00A226D6"/>
    <w:rsid w:val="00A259C2"/>
    <w:rsid w:val="00A26271"/>
    <w:rsid w:val="00A274A1"/>
    <w:rsid w:val="00A32701"/>
    <w:rsid w:val="00A356E7"/>
    <w:rsid w:val="00A37664"/>
    <w:rsid w:val="00A37701"/>
    <w:rsid w:val="00A40A96"/>
    <w:rsid w:val="00A40B3B"/>
    <w:rsid w:val="00A43C78"/>
    <w:rsid w:val="00A43D05"/>
    <w:rsid w:val="00A4412F"/>
    <w:rsid w:val="00A4495A"/>
    <w:rsid w:val="00A44D47"/>
    <w:rsid w:val="00A50328"/>
    <w:rsid w:val="00A5335D"/>
    <w:rsid w:val="00A547EA"/>
    <w:rsid w:val="00A54A51"/>
    <w:rsid w:val="00A5511A"/>
    <w:rsid w:val="00A554E7"/>
    <w:rsid w:val="00A56580"/>
    <w:rsid w:val="00A60A5F"/>
    <w:rsid w:val="00A63BB0"/>
    <w:rsid w:val="00A7206B"/>
    <w:rsid w:val="00A72EAD"/>
    <w:rsid w:val="00A73733"/>
    <w:rsid w:val="00A74AFD"/>
    <w:rsid w:val="00A81ADC"/>
    <w:rsid w:val="00A81DC2"/>
    <w:rsid w:val="00A81F84"/>
    <w:rsid w:val="00A820CD"/>
    <w:rsid w:val="00A82B87"/>
    <w:rsid w:val="00A85567"/>
    <w:rsid w:val="00A918FE"/>
    <w:rsid w:val="00A961ED"/>
    <w:rsid w:val="00A97896"/>
    <w:rsid w:val="00AA0410"/>
    <w:rsid w:val="00AA047A"/>
    <w:rsid w:val="00AA0ABF"/>
    <w:rsid w:val="00AA3F12"/>
    <w:rsid w:val="00AA47EA"/>
    <w:rsid w:val="00AA69F2"/>
    <w:rsid w:val="00AA6D1B"/>
    <w:rsid w:val="00AA7450"/>
    <w:rsid w:val="00AA7526"/>
    <w:rsid w:val="00AB06CB"/>
    <w:rsid w:val="00AB250B"/>
    <w:rsid w:val="00AB3D54"/>
    <w:rsid w:val="00AB3D66"/>
    <w:rsid w:val="00AB4975"/>
    <w:rsid w:val="00AB749E"/>
    <w:rsid w:val="00AB75B6"/>
    <w:rsid w:val="00AB7716"/>
    <w:rsid w:val="00AC058A"/>
    <w:rsid w:val="00AC0E70"/>
    <w:rsid w:val="00AC1B50"/>
    <w:rsid w:val="00AC3803"/>
    <w:rsid w:val="00AC3BF4"/>
    <w:rsid w:val="00AC5EAE"/>
    <w:rsid w:val="00AD4B43"/>
    <w:rsid w:val="00AE04CF"/>
    <w:rsid w:val="00AE2BA1"/>
    <w:rsid w:val="00AE3362"/>
    <w:rsid w:val="00AE3C92"/>
    <w:rsid w:val="00AE49CB"/>
    <w:rsid w:val="00AE6EB8"/>
    <w:rsid w:val="00AE74A5"/>
    <w:rsid w:val="00AF1FA6"/>
    <w:rsid w:val="00AF277A"/>
    <w:rsid w:val="00AF4C82"/>
    <w:rsid w:val="00AF5FAB"/>
    <w:rsid w:val="00AF7DDC"/>
    <w:rsid w:val="00B02B08"/>
    <w:rsid w:val="00B056CA"/>
    <w:rsid w:val="00B07030"/>
    <w:rsid w:val="00B074CE"/>
    <w:rsid w:val="00B076E3"/>
    <w:rsid w:val="00B1108E"/>
    <w:rsid w:val="00B12E89"/>
    <w:rsid w:val="00B13BCB"/>
    <w:rsid w:val="00B1423D"/>
    <w:rsid w:val="00B2212C"/>
    <w:rsid w:val="00B221AC"/>
    <w:rsid w:val="00B255C1"/>
    <w:rsid w:val="00B26745"/>
    <w:rsid w:val="00B268BF"/>
    <w:rsid w:val="00B27253"/>
    <w:rsid w:val="00B330EE"/>
    <w:rsid w:val="00B332C8"/>
    <w:rsid w:val="00B3369D"/>
    <w:rsid w:val="00B33C83"/>
    <w:rsid w:val="00B3693E"/>
    <w:rsid w:val="00B37932"/>
    <w:rsid w:val="00B40F1B"/>
    <w:rsid w:val="00B415E4"/>
    <w:rsid w:val="00B4350B"/>
    <w:rsid w:val="00B4483D"/>
    <w:rsid w:val="00B4556E"/>
    <w:rsid w:val="00B458BD"/>
    <w:rsid w:val="00B46824"/>
    <w:rsid w:val="00B470CC"/>
    <w:rsid w:val="00B5247F"/>
    <w:rsid w:val="00B53112"/>
    <w:rsid w:val="00B55C15"/>
    <w:rsid w:val="00B57633"/>
    <w:rsid w:val="00B60437"/>
    <w:rsid w:val="00B615DB"/>
    <w:rsid w:val="00B61BAA"/>
    <w:rsid w:val="00B61FB6"/>
    <w:rsid w:val="00B64375"/>
    <w:rsid w:val="00B67D87"/>
    <w:rsid w:val="00B707FD"/>
    <w:rsid w:val="00B70871"/>
    <w:rsid w:val="00B717F8"/>
    <w:rsid w:val="00B80C8B"/>
    <w:rsid w:val="00B84989"/>
    <w:rsid w:val="00B86DD6"/>
    <w:rsid w:val="00B8764A"/>
    <w:rsid w:val="00B9076B"/>
    <w:rsid w:val="00B937D8"/>
    <w:rsid w:val="00B94105"/>
    <w:rsid w:val="00B94BC1"/>
    <w:rsid w:val="00B95139"/>
    <w:rsid w:val="00B959C2"/>
    <w:rsid w:val="00B9766C"/>
    <w:rsid w:val="00B97FE3"/>
    <w:rsid w:val="00BA02F9"/>
    <w:rsid w:val="00BA08A8"/>
    <w:rsid w:val="00BA5A63"/>
    <w:rsid w:val="00BA5BE9"/>
    <w:rsid w:val="00BB0B1F"/>
    <w:rsid w:val="00BB14E3"/>
    <w:rsid w:val="00BB31C2"/>
    <w:rsid w:val="00BB32FA"/>
    <w:rsid w:val="00BB4637"/>
    <w:rsid w:val="00BB608E"/>
    <w:rsid w:val="00BB7DDF"/>
    <w:rsid w:val="00BC04BE"/>
    <w:rsid w:val="00BC275D"/>
    <w:rsid w:val="00BC6AA5"/>
    <w:rsid w:val="00BC72CD"/>
    <w:rsid w:val="00BD05EC"/>
    <w:rsid w:val="00BD20C9"/>
    <w:rsid w:val="00BD5015"/>
    <w:rsid w:val="00BD5461"/>
    <w:rsid w:val="00BD754C"/>
    <w:rsid w:val="00BE34CF"/>
    <w:rsid w:val="00BF21CB"/>
    <w:rsid w:val="00BF4137"/>
    <w:rsid w:val="00BF6005"/>
    <w:rsid w:val="00BF6071"/>
    <w:rsid w:val="00C04525"/>
    <w:rsid w:val="00C06A93"/>
    <w:rsid w:val="00C0767A"/>
    <w:rsid w:val="00C11C3C"/>
    <w:rsid w:val="00C127F5"/>
    <w:rsid w:val="00C15484"/>
    <w:rsid w:val="00C164C0"/>
    <w:rsid w:val="00C16E33"/>
    <w:rsid w:val="00C2101E"/>
    <w:rsid w:val="00C210B6"/>
    <w:rsid w:val="00C21F31"/>
    <w:rsid w:val="00C24130"/>
    <w:rsid w:val="00C262B7"/>
    <w:rsid w:val="00C26397"/>
    <w:rsid w:val="00C26951"/>
    <w:rsid w:val="00C30347"/>
    <w:rsid w:val="00C30EA1"/>
    <w:rsid w:val="00C34111"/>
    <w:rsid w:val="00C34248"/>
    <w:rsid w:val="00C36722"/>
    <w:rsid w:val="00C41620"/>
    <w:rsid w:val="00C4183D"/>
    <w:rsid w:val="00C43FC6"/>
    <w:rsid w:val="00C460A8"/>
    <w:rsid w:val="00C47238"/>
    <w:rsid w:val="00C500E6"/>
    <w:rsid w:val="00C51F9B"/>
    <w:rsid w:val="00C52F84"/>
    <w:rsid w:val="00C5329E"/>
    <w:rsid w:val="00C533BE"/>
    <w:rsid w:val="00C57FFC"/>
    <w:rsid w:val="00C604F9"/>
    <w:rsid w:val="00C61F43"/>
    <w:rsid w:val="00C62764"/>
    <w:rsid w:val="00C66490"/>
    <w:rsid w:val="00C71BB2"/>
    <w:rsid w:val="00C73193"/>
    <w:rsid w:val="00C80C2B"/>
    <w:rsid w:val="00C8272F"/>
    <w:rsid w:val="00C82E97"/>
    <w:rsid w:val="00C83614"/>
    <w:rsid w:val="00C84327"/>
    <w:rsid w:val="00C85207"/>
    <w:rsid w:val="00C97998"/>
    <w:rsid w:val="00CA0602"/>
    <w:rsid w:val="00CA0A3B"/>
    <w:rsid w:val="00CA136D"/>
    <w:rsid w:val="00CA55B8"/>
    <w:rsid w:val="00CA5779"/>
    <w:rsid w:val="00CA5D58"/>
    <w:rsid w:val="00CB178B"/>
    <w:rsid w:val="00CB58EC"/>
    <w:rsid w:val="00CB634B"/>
    <w:rsid w:val="00CB6B46"/>
    <w:rsid w:val="00CC1833"/>
    <w:rsid w:val="00CC29F2"/>
    <w:rsid w:val="00CC3054"/>
    <w:rsid w:val="00CC450F"/>
    <w:rsid w:val="00CC47AF"/>
    <w:rsid w:val="00CC4C85"/>
    <w:rsid w:val="00CC5E40"/>
    <w:rsid w:val="00CC7214"/>
    <w:rsid w:val="00CC72B0"/>
    <w:rsid w:val="00CD09F2"/>
    <w:rsid w:val="00CD2433"/>
    <w:rsid w:val="00CD4CB7"/>
    <w:rsid w:val="00CE03C7"/>
    <w:rsid w:val="00CE1A06"/>
    <w:rsid w:val="00CE1F22"/>
    <w:rsid w:val="00CE355E"/>
    <w:rsid w:val="00CE421B"/>
    <w:rsid w:val="00CE684D"/>
    <w:rsid w:val="00CF0A65"/>
    <w:rsid w:val="00CF1873"/>
    <w:rsid w:val="00CF288F"/>
    <w:rsid w:val="00CF4139"/>
    <w:rsid w:val="00D02E03"/>
    <w:rsid w:val="00D033A6"/>
    <w:rsid w:val="00D0345D"/>
    <w:rsid w:val="00D05B49"/>
    <w:rsid w:val="00D06E62"/>
    <w:rsid w:val="00D072E7"/>
    <w:rsid w:val="00D10C4A"/>
    <w:rsid w:val="00D15462"/>
    <w:rsid w:val="00D1560E"/>
    <w:rsid w:val="00D15D6E"/>
    <w:rsid w:val="00D20E41"/>
    <w:rsid w:val="00D211BE"/>
    <w:rsid w:val="00D22FCA"/>
    <w:rsid w:val="00D24492"/>
    <w:rsid w:val="00D24EBE"/>
    <w:rsid w:val="00D25822"/>
    <w:rsid w:val="00D34BA5"/>
    <w:rsid w:val="00D34D1C"/>
    <w:rsid w:val="00D351B6"/>
    <w:rsid w:val="00D411CE"/>
    <w:rsid w:val="00D4277F"/>
    <w:rsid w:val="00D43C1B"/>
    <w:rsid w:val="00D45945"/>
    <w:rsid w:val="00D47488"/>
    <w:rsid w:val="00D50059"/>
    <w:rsid w:val="00D52373"/>
    <w:rsid w:val="00D52AE6"/>
    <w:rsid w:val="00D570DA"/>
    <w:rsid w:val="00D579AF"/>
    <w:rsid w:val="00D60BEB"/>
    <w:rsid w:val="00D63412"/>
    <w:rsid w:val="00D63706"/>
    <w:rsid w:val="00D67D67"/>
    <w:rsid w:val="00D70379"/>
    <w:rsid w:val="00D80639"/>
    <w:rsid w:val="00D81895"/>
    <w:rsid w:val="00D83D90"/>
    <w:rsid w:val="00D87726"/>
    <w:rsid w:val="00D87CAE"/>
    <w:rsid w:val="00D925E2"/>
    <w:rsid w:val="00D9330E"/>
    <w:rsid w:val="00D93472"/>
    <w:rsid w:val="00D95016"/>
    <w:rsid w:val="00D978E7"/>
    <w:rsid w:val="00DA2023"/>
    <w:rsid w:val="00DB3249"/>
    <w:rsid w:val="00DB74B4"/>
    <w:rsid w:val="00DC2ACD"/>
    <w:rsid w:val="00DD0236"/>
    <w:rsid w:val="00DD2CD4"/>
    <w:rsid w:val="00DD4DA0"/>
    <w:rsid w:val="00DD5AC6"/>
    <w:rsid w:val="00DD6D67"/>
    <w:rsid w:val="00DE2B41"/>
    <w:rsid w:val="00DE41A7"/>
    <w:rsid w:val="00DE7415"/>
    <w:rsid w:val="00DE768F"/>
    <w:rsid w:val="00DE7CD5"/>
    <w:rsid w:val="00DF65FD"/>
    <w:rsid w:val="00DF778C"/>
    <w:rsid w:val="00E0059D"/>
    <w:rsid w:val="00E01A17"/>
    <w:rsid w:val="00E0449B"/>
    <w:rsid w:val="00E0472C"/>
    <w:rsid w:val="00E06F98"/>
    <w:rsid w:val="00E07CC4"/>
    <w:rsid w:val="00E102E9"/>
    <w:rsid w:val="00E104C1"/>
    <w:rsid w:val="00E12269"/>
    <w:rsid w:val="00E13CB6"/>
    <w:rsid w:val="00E15230"/>
    <w:rsid w:val="00E172F5"/>
    <w:rsid w:val="00E2207E"/>
    <w:rsid w:val="00E25750"/>
    <w:rsid w:val="00E2672E"/>
    <w:rsid w:val="00E26C78"/>
    <w:rsid w:val="00E30645"/>
    <w:rsid w:val="00E3134C"/>
    <w:rsid w:val="00E318A7"/>
    <w:rsid w:val="00E34804"/>
    <w:rsid w:val="00E34EA8"/>
    <w:rsid w:val="00E36F32"/>
    <w:rsid w:val="00E413DD"/>
    <w:rsid w:val="00E41903"/>
    <w:rsid w:val="00E4277D"/>
    <w:rsid w:val="00E449C8"/>
    <w:rsid w:val="00E44DF0"/>
    <w:rsid w:val="00E4611B"/>
    <w:rsid w:val="00E525C1"/>
    <w:rsid w:val="00E56500"/>
    <w:rsid w:val="00E60355"/>
    <w:rsid w:val="00E61593"/>
    <w:rsid w:val="00E61756"/>
    <w:rsid w:val="00E63B7D"/>
    <w:rsid w:val="00E663E1"/>
    <w:rsid w:val="00E713FA"/>
    <w:rsid w:val="00E71AF4"/>
    <w:rsid w:val="00E72840"/>
    <w:rsid w:val="00E7413E"/>
    <w:rsid w:val="00E838D0"/>
    <w:rsid w:val="00E83E06"/>
    <w:rsid w:val="00E84D53"/>
    <w:rsid w:val="00E851CA"/>
    <w:rsid w:val="00E852FB"/>
    <w:rsid w:val="00E8542C"/>
    <w:rsid w:val="00E87A9C"/>
    <w:rsid w:val="00E968B1"/>
    <w:rsid w:val="00E9746C"/>
    <w:rsid w:val="00EA1188"/>
    <w:rsid w:val="00EA1436"/>
    <w:rsid w:val="00EA1E73"/>
    <w:rsid w:val="00EA2B32"/>
    <w:rsid w:val="00EA2F74"/>
    <w:rsid w:val="00EA6531"/>
    <w:rsid w:val="00EA6A63"/>
    <w:rsid w:val="00EA7EAC"/>
    <w:rsid w:val="00EB2AB2"/>
    <w:rsid w:val="00EB4E65"/>
    <w:rsid w:val="00EB5852"/>
    <w:rsid w:val="00EC11D3"/>
    <w:rsid w:val="00EC1C6D"/>
    <w:rsid w:val="00EC2113"/>
    <w:rsid w:val="00EC2E8D"/>
    <w:rsid w:val="00EC3722"/>
    <w:rsid w:val="00EC4978"/>
    <w:rsid w:val="00EC5AF1"/>
    <w:rsid w:val="00EC6906"/>
    <w:rsid w:val="00EC7AB2"/>
    <w:rsid w:val="00ED090B"/>
    <w:rsid w:val="00ED190E"/>
    <w:rsid w:val="00ED4B72"/>
    <w:rsid w:val="00ED57CB"/>
    <w:rsid w:val="00ED5AAF"/>
    <w:rsid w:val="00EE3D9F"/>
    <w:rsid w:val="00EE41E5"/>
    <w:rsid w:val="00EE4530"/>
    <w:rsid w:val="00EF1CBD"/>
    <w:rsid w:val="00EF2200"/>
    <w:rsid w:val="00EF238E"/>
    <w:rsid w:val="00EF27B2"/>
    <w:rsid w:val="00EF757B"/>
    <w:rsid w:val="00F04DA8"/>
    <w:rsid w:val="00F123B3"/>
    <w:rsid w:val="00F13672"/>
    <w:rsid w:val="00F159AB"/>
    <w:rsid w:val="00F17B32"/>
    <w:rsid w:val="00F212A8"/>
    <w:rsid w:val="00F219D1"/>
    <w:rsid w:val="00F22F86"/>
    <w:rsid w:val="00F234D5"/>
    <w:rsid w:val="00F24FA0"/>
    <w:rsid w:val="00F25971"/>
    <w:rsid w:val="00F279CC"/>
    <w:rsid w:val="00F27BD2"/>
    <w:rsid w:val="00F320CB"/>
    <w:rsid w:val="00F32D36"/>
    <w:rsid w:val="00F40989"/>
    <w:rsid w:val="00F40C35"/>
    <w:rsid w:val="00F44071"/>
    <w:rsid w:val="00F451A2"/>
    <w:rsid w:val="00F45492"/>
    <w:rsid w:val="00F456F7"/>
    <w:rsid w:val="00F46CC6"/>
    <w:rsid w:val="00F509BE"/>
    <w:rsid w:val="00F51FA9"/>
    <w:rsid w:val="00F52E58"/>
    <w:rsid w:val="00F5586D"/>
    <w:rsid w:val="00F57C1A"/>
    <w:rsid w:val="00F60389"/>
    <w:rsid w:val="00F711F0"/>
    <w:rsid w:val="00F71A66"/>
    <w:rsid w:val="00F71C61"/>
    <w:rsid w:val="00F76D5A"/>
    <w:rsid w:val="00F77F24"/>
    <w:rsid w:val="00F81991"/>
    <w:rsid w:val="00F838F7"/>
    <w:rsid w:val="00F8507D"/>
    <w:rsid w:val="00F85143"/>
    <w:rsid w:val="00F900B3"/>
    <w:rsid w:val="00F917FB"/>
    <w:rsid w:val="00F91921"/>
    <w:rsid w:val="00F933CE"/>
    <w:rsid w:val="00F93877"/>
    <w:rsid w:val="00F942FB"/>
    <w:rsid w:val="00F94667"/>
    <w:rsid w:val="00F948E8"/>
    <w:rsid w:val="00F96B04"/>
    <w:rsid w:val="00F96E27"/>
    <w:rsid w:val="00F96F36"/>
    <w:rsid w:val="00F97B42"/>
    <w:rsid w:val="00FA18B0"/>
    <w:rsid w:val="00FA1D8B"/>
    <w:rsid w:val="00FA430D"/>
    <w:rsid w:val="00FA500F"/>
    <w:rsid w:val="00FA59D1"/>
    <w:rsid w:val="00FB17FA"/>
    <w:rsid w:val="00FB3E22"/>
    <w:rsid w:val="00FB7211"/>
    <w:rsid w:val="00FC2E6F"/>
    <w:rsid w:val="00FC2EE4"/>
    <w:rsid w:val="00FC3A4B"/>
    <w:rsid w:val="00FC5456"/>
    <w:rsid w:val="00FC5A19"/>
    <w:rsid w:val="00FC6645"/>
    <w:rsid w:val="00FC6FD5"/>
    <w:rsid w:val="00FD24D5"/>
    <w:rsid w:val="00FD4CAC"/>
    <w:rsid w:val="00FD58E2"/>
    <w:rsid w:val="00FD6142"/>
    <w:rsid w:val="00FE207C"/>
    <w:rsid w:val="00FE46E5"/>
    <w:rsid w:val="00FE4F0E"/>
    <w:rsid w:val="00FE744E"/>
    <w:rsid w:val="00FF0599"/>
    <w:rsid w:val="00FF35B0"/>
    <w:rsid w:val="00FF439D"/>
    <w:rsid w:val="00FF5E5C"/>
    <w:rsid w:val="00FF674A"/>
    <w:rsid w:val="00FF73BA"/>
    <w:rsid w:val="00FF79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9D6FA"/>
  <w14:defaultImageDpi w14:val="300"/>
  <w15:docId w15:val="{0072F41C-B5C6-4937-96C7-CC836FAB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4F"/>
    <w:rPr>
      <w:rFonts w:ascii="Arial" w:hAnsi="Arial"/>
      <w:sz w:val="24"/>
      <w:szCs w:val="24"/>
      <w:lang w:eastAsia="en-US"/>
    </w:rPr>
  </w:style>
  <w:style w:type="paragraph" w:styleId="Heading1">
    <w:name w:val="heading 1"/>
    <w:basedOn w:val="Normal"/>
    <w:next w:val="Normal"/>
    <w:link w:val="Heading1Char"/>
    <w:uiPriority w:val="9"/>
    <w:qFormat/>
    <w:rsid w:val="0077394F"/>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A05D47"/>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77394F"/>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77394F"/>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77394F"/>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A1D8B"/>
    <w:pPr>
      <w:spacing w:after="100"/>
    </w:p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table" w:customStyle="1" w:styleId="DCStable1">
    <w:name w:val="DCStable1"/>
    <w:basedOn w:val="TableNormal"/>
    <w:uiPriority w:val="99"/>
    <w:rsid w:val="00360E3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CF288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B5311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CommentText">
    <w:name w:val="annotation text"/>
    <w:basedOn w:val="Normal"/>
    <w:link w:val="CommentTextChar"/>
    <w:uiPriority w:val="99"/>
    <w:unhideWhenUsed/>
    <w:rsid w:val="00C26397"/>
    <w:rPr>
      <w:sz w:val="20"/>
      <w:szCs w:val="20"/>
    </w:rPr>
  </w:style>
  <w:style w:type="character" w:customStyle="1" w:styleId="CommentTextChar">
    <w:name w:val="Comment Text Char"/>
    <w:basedOn w:val="DefaultParagraphFont"/>
    <w:link w:val="CommentText"/>
    <w:uiPriority w:val="99"/>
    <w:rsid w:val="00C26397"/>
    <w:rPr>
      <w:rFonts w:ascii="Arial" w:hAnsi="Arial"/>
      <w:lang w:eastAsia="en-US"/>
    </w:rPr>
  </w:style>
  <w:style w:type="character" w:styleId="CommentReference">
    <w:name w:val="annotation reference"/>
    <w:basedOn w:val="DefaultParagraphFont"/>
    <w:uiPriority w:val="99"/>
    <w:semiHidden/>
    <w:unhideWhenUsed/>
    <w:rsid w:val="00C26397"/>
    <w:rPr>
      <w:sz w:val="16"/>
      <w:szCs w:val="16"/>
    </w:rPr>
  </w:style>
  <w:style w:type="paragraph" w:styleId="FootnoteText">
    <w:name w:val="footnote text"/>
    <w:basedOn w:val="Normal"/>
    <w:link w:val="FootnoteTextChar"/>
    <w:uiPriority w:val="99"/>
    <w:semiHidden/>
    <w:unhideWhenUsed/>
    <w:rsid w:val="005977E8"/>
    <w:rPr>
      <w:sz w:val="20"/>
      <w:szCs w:val="20"/>
    </w:rPr>
  </w:style>
  <w:style w:type="character" w:customStyle="1" w:styleId="FootnoteTextChar">
    <w:name w:val="Footnote Text Char"/>
    <w:basedOn w:val="DefaultParagraphFont"/>
    <w:link w:val="FootnoteText"/>
    <w:uiPriority w:val="99"/>
    <w:semiHidden/>
    <w:rsid w:val="005977E8"/>
    <w:rPr>
      <w:rFonts w:ascii="Arial" w:hAnsi="Arial"/>
      <w:lang w:eastAsia="en-US"/>
    </w:rPr>
  </w:style>
  <w:style w:type="character" w:styleId="FootnoteReference">
    <w:name w:val="footnote reference"/>
    <w:basedOn w:val="DefaultParagraphFont"/>
    <w:uiPriority w:val="99"/>
    <w:semiHidden/>
    <w:unhideWhenUsed/>
    <w:rsid w:val="005977E8"/>
    <w:rPr>
      <w:vertAlign w:val="superscript"/>
    </w:rPr>
  </w:style>
  <w:style w:type="paragraph" w:styleId="CommentSubject">
    <w:name w:val="annotation subject"/>
    <w:basedOn w:val="CommentText"/>
    <w:next w:val="CommentText"/>
    <w:link w:val="CommentSubjectChar"/>
    <w:uiPriority w:val="99"/>
    <w:semiHidden/>
    <w:unhideWhenUsed/>
    <w:rsid w:val="00691958"/>
    <w:rPr>
      <w:b/>
      <w:bCs/>
    </w:rPr>
  </w:style>
  <w:style w:type="character" w:customStyle="1" w:styleId="CommentSubjectChar">
    <w:name w:val="Comment Subject Char"/>
    <w:basedOn w:val="CommentTextChar"/>
    <w:link w:val="CommentSubject"/>
    <w:uiPriority w:val="99"/>
    <w:semiHidden/>
    <w:rsid w:val="00691958"/>
    <w:rPr>
      <w:rFonts w:ascii="Arial" w:hAnsi="Arial"/>
      <w:b/>
      <w:bCs/>
      <w:lang w:eastAsia="en-US"/>
    </w:rPr>
  </w:style>
  <w:style w:type="character" w:styleId="FollowedHyperlink">
    <w:name w:val="FollowedHyperlink"/>
    <w:basedOn w:val="DefaultParagraphFont"/>
    <w:uiPriority w:val="99"/>
    <w:semiHidden/>
    <w:unhideWhenUsed/>
    <w:rsid w:val="00F93877"/>
    <w:rPr>
      <w:color w:val="800080" w:themeColor="followedHyperlink"/>
      <w:u w:val="single"/>
    </w:rPr>
  </w:style>
  <w:style w:type="paragraph" w:styleId="TOC3">
    <w:name w:val="toc 3"/>
    <w:basedOn w:val="Normal"/>
    <w:next w:val="Normal"/>
    <w:autoRedefine/>
    <w:uiPriority w:val="39"/>
    <w:unhideWhenUsed/>
    <w:rsid w:val="0039700A"/>
    <w:pPr>
      <w:spacing w:after="100"/>
      <w:ind w:left="480"/>
    </w:pPr>
  </w:style>
  <w:style w:type="paragraph" w:styleId="NoSpacing">
    <w:name w:val="No Spacing"/>
    <w:uiPriority w:val="1"/>
    <w:qFormat/>
    <w:rsid w:val="00952315"/>
    <w:rPr>
      <w:rFonts w:ascii="Arial" w:hAnsi="Arial"/>
      <w:sz w:val="24"/>
      <w:szCs w:val="24"/>
      <w:lang w:eastAsia="en-US"/>
    </w:rPr>
  </w:style>
  <w:style w:type="paragraph" w:styleId="NormalWeb">
    <w:name w:val="Normal (Web)"/>
    <w:basedOn w:val="Normal"/>
    <w:uiPriority w:val="99"/>
    <w:semiHidden/>
    <w:unhideWhenUsed/>
    <w:rsid w:val="00545B5F"/>
    <w:pPr>
      <w:spacing w:before="100" w:beforeAutospacing="1" w:after="100" w:afterAutospacing="1"/>
    </w:pPr>
    <w:rPr>
      <w:rFonts w:ascii="Times New Roman" w:eastAsiaTheme="minorEastAsia" w:hAnsi="Times New Roman"/>
      <w:lang w:eastAsia="en-AU"/>
    </w:rPr>
  </w:style>
  <w:style w:type="paragraph" w:styleId="ListBullet2">
    <w:name w:val="List Bullet 2"/>
    <w:basedOn w:val="Tabledata"/>
    <w:uiPriority w:val="99"/>
    <w:unhideWhenUsed/>
    <w:rsid w:val="0077394F"/>
    <w:pPr>
      <w:numPr>
        <w:ilvl w:val="1"/>
        <w:numId w:val="4"/>
      </w:numPr>
      <w:ind w:left="629" w:hanging="283"/>
    </w:pPr>
    <w:rPr>
      <w:lang w:val="en"/>
    </w:rPr>
  </w:style>
  <w:style w:type="character" w:styleId="UnresolvedMention">
    <w:name w:val="Unresolved Mention"/>
    <w:basedOn w:val="DefaultParagraphFont"/>
    <w:uiPriority w:val="99"/>
    <w:semiHidden/>
    <w:unhideWhenUsed/>
    <w:rsid w:val="001B0981"/>
    <w:rPr>
      <w:color w:val="605E5C"/>
      <w:shd w:val="clear" w:color="auto" w:fill="E1DFDD"/>
    </w:rPr>
  </w:style>
  <w:style w:type="paragraph" w:styleId="Revision">
    <w:name w:val="Revision"/>
    <w:hidden/>
    <w:uiPriority w:val="99"/>
    <w:semiHidden/>
    <w:rsid w:val="00CC450F"/>
    <w:rPr>
      <w:rFonts w:ascii="Arial" w:hAnsi="Arial"/>
      <w:sz w:val="24"/>
      <w:szCs w:val="24"/>
      <w:lang w:eastAsia="en-US"/>
    </w:rPr>
  </w:style>
  <w:style w:type="character" w:customStyle="1" w:styleId="cf01">
    <w:name w:val="cf01"/>
    <w:basedOn w:val="DefaultParagraphFont"/>
    <w:rsid w:val="00B221AC"/>
    <w:rPr>
      <w:rFonts w:ascii="Segoe UI" w:hAnsi="Segoe UI" w:cs="Segoe UI" w:hint="default"/>
      <w:sz w:val="18"/>
      <w:szCs w:val="18"/>
    </w:rPr>
  </w:style>
  <w:style w:type="character" w:styleId="SmartLink">
    <w:name w:val="Smart Link"/>
    <w:basedOn w:val="DefaultParagraphFont"/>
    <w:uiPriority w:val="99"/>
    <w:semiHidden/>
    <w:unhideWhenUsed/>
    <w:rsid w:val="008334C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75335">
      <w:bodyDiv w:val="1"/>
      <w:marLeft w:val="0"/>
      <w:marRight w:val="0"/>
      <w:marTop w:val="0"/>
      <w:marBottom w:val="0"/>
      <w:divBdr>
        <w:top w:val="none" w:sz="0" w:space="0" w:color="auto"/>
        <w:left w:val="none" w:sz="0" w:space="0" w:color="auto"/>
        <w:bottom w:val="none" w:sz="0" w:space="0" w:color="auto"/>
        <w:right w:val="none" w:sz="0" w:space="0" w:color="auto"/>
      </w:divBdr>
    </w:div>
    <w:div w:id="471993802">
      <w:bodyDiv w:val="1"/>
      <w:marLeft w:val="0"/>
      <w:marRight w:val="0"/>
      <w:marTop w:val="0"/>
      <w:marBottom w:val="0"/>
      <w:divBdr>
        <w:top w:val="none" w:sz="0" w:space="0" w:color="auto"/>
        <w:left w:val="none" w:sz="0" w:space="0" w:color="auto"/>
        <w:bottom w:val="none" w:sz="0" w:space="0" w:color="auto"/>
        <w:right w:val="none" w:sz="0" w:space="0" w:color="auto"/>
      </w:divBdr>
    </w:div>
    <w:div w:id="579950947">
      <w:bodyDiv w:val="1"/>
      <w:marLeft w:val="0"/>
      <w:marRight w:val="0"/>
      <w:marTop w:val="0"/>
      <w:marBottom w:val="0"/>
      <w:divBdr>
        <w:top w:val="none" w:sz="0" w:space="0" w:color="auto"/>
        <w:left w:val="none" w:sz="0" w:space="0" w:color="auto"/>
        <w:bottom w:val="none" w:sz="0" w:space="0" w:color="auto"/>
        <w:right w:val="none" w:sz="0" w:space="0" w:color="auto"/>
      </w:divBdr>
    </w:div>
    <w:div w:id="1359700839">
      <w:bodyDiv w:val="1"/>
      <w:marLeft w:val="0"/>
      <w:marRight w:val="0"/>
      <w:marTop w:val="0"/>
      <w:marBottom w:val="0"/>
      <w:divBdr>
        <w:top w:val="none" w:sz="0" w:space="0" w:color="auto"/>
        <w:left w:val="none" w:sz="0" w:space="0" w:color="auto"/>
        <w:bottom w:val="none" w:sz="0" w:space="0" w:color="auto"/>
        <w:right w:val="none" w:sz="0" w:space="0" w:color="auto"/>
      </w:divBdr>
    </w:div>
    <w:div w:id="1892380264">
      <w:bodyDiv w:val="1"/>
      <w:marLeft w:val="0"/>
      <w:marRight w:val="0"/>
      <w:marTop w:val="0"/>
      <w:marBottom w:val="0"/>
      <w:divBdr>
        <w:top w:val="none" w:sz="0" w:space="0" w:color="auto"/>
        <w:left w:val="none" w:sz="0" w:space="0" w:color="auto"/>
        <w:bottom w:val="none" w:sz="0" w:space="0" w:color="auto"/>
        <w:right w:val="none" w:sz="0" w:space="0" w:color="auto"/>
      </w:divBdr>
    </w:div>
    <w:div w:id="1989900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jwa.sharepoint.com/sites/intranet/human-resources/HRPolicyProcedure/child-safety-wellness-policy.docx" TargetMode="External"/><Relationship Id="rId18" Type="http://schemas.openxmlformats.org/officeDocument/2006/relationships/footer" Target="footer2.xml"/><Relationship Id="rId26" Type="http://schemas.openxmlformats.org/officeDocument/2006/relationships/hyperlink" Target="https://dojwa.sharepoint.com/sites/intranet/prison-operations/Pages/bhdc-copps.aspx" TargetMode="External"/><Relationship Id="rId39" Type="http://schemas.openxmlformats.org/officeDocument/2006/relationships/hyperlink" Target="https://dojwa.sharepoint.com/sites/intranet/prison-operations/Pages/bhdc-copps.aspx" TargetMode="External"/><Relationship Id="rId3" Type="http://schemas.openxmlformats.org/officeDocument/2006/relationships/customXml" Target="../customXml/item3.xml"/><Relationship Id="rId21" Type="http://schemas.openxmlformats.org/officeDocument/2006/relationships/hyperlink" Target="https://dojwa.sharepoint.com/sites/security-intelligence/security-response/srsoperationalguidance/SMF-DIR-003%20Physical%20evidence%20management.pdf" TargetMode="External"/><Relationship Id="rId34" Type="http://schemas.openxmlformats.org/officeDocument/2006/relationships/footer" Target="footer4.xml"/><Relationship Id="rId42" Type="http://schemas.openxmlformats.org/officeDocument/2006/relationships/hyperlink" Target="https://dojwa.sharepoint.com/sites/intranet/prison-operations/Pages/prison-security.aspx"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footer" Target="footer1.xml"/><Relationship Id="rId25" Type="http://schemas.openxmlformats.org/officeDocument/2006/relationships/hyperlink" Target="https://dojwa.sharepoint.com/sites/intranet/prison-operations/Pages/bhdc-copps.aspx" TargetMode="External"/><Relationship Id="rId33" Type="http://schemas.openxmlformats.org/officeDocument/2006/relationships/header" Target="header5.xml"/><Relationship Id="rId38" Type="http://schemas.openxmlformats.org/officeDocument/2006/relationships/hyperlink" Target="https://dojwa.sharepoint.com/sites/intranet/prison-operations/Pages/bhdc-copps.asp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mrs@communities.wa.gov.au" TargetMode="External"/><Relationship Id="rId41" Type="http://schemas.openxmlformats.org/officeDocument/2006/relationships/hyperlink" Target="https://dojwa.sharepoint.com/sites/intranet/prison-operations/Pages/prison-securit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safe.humanrights.gov.au/sites/default/files/2019-02/National_Principles_for_Child_Safe_Organisations2019.pdf" TargetMode="External"/><Relationship Id="rId24" Type="http://schemas.openxmlformats.org/officeDocument/2006/relationships/hyperlink" Target="https://dojwa.sharepoint.com/:w:/r/sites/intranet/prison-operations/_layouts/15/Doc.aspx?sourcedoc=%7B9B5EC577-7AC8-40A1-A645-FD4226DBB651%7D&amp;file=ydc-copp-6.9.docx&amp;action=default&amp;mobileredirect=true&amp;DefaultItemOpen=1" TargetMode="Externa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hyperlink" Target="https://dojwa.sharepoint.com/sites/intranet/prison-operations/Pages/bhdc-copps.aspx"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ojwa.sharepoint.com/sites/intranet/prison-operations/DCCOPPS/YDC-COPP-3.1.aspx" TargetMode="External"/><Relationship Id="rId28" Type="http://schemas.openxmlformats.org/officeDocument/2006/relationships/hyperlink" Target="https://mandatoryreportingweb.communities.wa.gov.au/"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wa.gov.au/government/document-collections/mandatory-reporting-of-child-sexual-abuse-wa-resources" TargetMode="External"/><Relationship Id="rId44" Type="http://schemas.openxmlformats.org/officeDocument/2006/relationships/hyperlink" Target="https://dojwa.sharepoint.com/search/Pages/results.aspx?k=operational%20compliance&amp;ql=30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jwa.sharepoint.com/sites/intranet/human-resources/HRPolicyProcedure/reporting-wellbeing-child-procedure.docx" TargetMode="External"/><Relationship Id="rId22" Type="http://schemas.openxmlformats.org/officeDocument/2006/relationships/hyperlink" Target="mailto:DOCBanksiahill@communities.wa.gov.au" TargetMode="External"/><Relationship Id="rId27" Type="http://schemas.openxmlformats.org/officeDocument/2006/relationships/hyperlink" Target="https://www.kemh.health.wa.gov.au/Our-services/Statewide-Services/SARC" TargetMode="External"/><Relationship Id="rId30" Type="http://schemas.openxmlformats.org/officeDocument/2006/relationships/hyperlink" Target="https://www.wa.gov.au/government/document-collections/mandatory-reporting-of-child-sexual-abuse-wa-resources" TargetMode="External"/><Relationship Id="rId35" Type="http://schemas.openxmlformats.org/officeDocument/2006/relationships/header" Target="header6.xml"/><Relationship Id="rId43" Type="http://schemas.openxmlformats.org/officeDocument/2006/relationships/hyperlink" Target="https://dojwa.sharepoint.com/search/Pages/results.aspx?k=operational%20compliance&amp;ql=308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9e2825-bad8-4574-8446-45756fb8c4b9">
      <Value>10</Value>
      <Value>9</Value>
      <Value>8</Value>
      <Value>7</Value>
    </TaxCatchAll>
    <_Flow_SignoffStatus xmlns="8e08fcc8-658b-4bba-b378-7a6b43882ba2" xsi:nil="true"/>
    <lcf76f155ced4ddcb4097134ff3c332f xmlns="8e08fcc8-658b-4bba-b378-7a6b43882b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91BD1E084AA74DB83B5A5DB02C8407" ma:contentTypeVersion="13" ma:contentTypeDescription="Create a new document." ma:contentTypeScope="" ma:versionID="85374570d5c0e9ec1934ce57b808b430">
  <xsd:schema xmlns:xsd="http://www.w3.org/2001/XMLSchema" xmlns:xs="http://www.w3.org/2001/XMLSchema" xmlns:p="http://schemas.microsoft.com/office/2006/metadata/properties" xmlns:ns2="8e08fcc8-658b-4bba-b378-7a6b43882ba2" xmlns:ns3="199e2825-bad8-4574-8446-45756fb8c4b9" targetNamespace="http://schemas.microsoft.com/office/2006/metadata/properties" ma:root="true" ma:fieldsID="125d044913a8b01ebb06b6593f54b0c4" ns2:_="" ns3:_="">
    <xsd:import namespace="8e08fcc8-658b-4bba-b378-7a6b43882ba2"/>
    <xsd:import namespace="199e2825-bad8-4574-8446-45756fb8c4b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8fcc8-658b-4bba-b378-7a6b43882ba2"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df1c8-69a7-409e-9795-353dbd607a7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e2825-bad8-4574-8446-45756fb8c4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eb0a01-2fe4-48c5-af12-acc9b4fa2397}" ma:internalName="TaxCatchAll" ma:showField="CatchAllData" ma:web="199e2825-bad8-4574-8446-45756fb8c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 ds:uri="199e2825-bad8-4574-8446-45756fb8c4b9"/>
    <ds:schemaRef ds:uri="8e08fcc8-658b-4bba-b378-7a6b43882ba2"/>
  </ds:schemaRefs>
</ds:datastoreItem>
</file>

<file path=customXml/itemProps3.xml><?xml version="1.0" encoding="utf-8"?>
<ds:datastoreItem xmlns:ds="http://schemas.openxmlformats.org/officeDocument/2006/customXml" ds:itemID="{B479B718-24E8-4DB0-89E8-5BC6EC83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8fcc8-658b-4bba-b378-7a6b43882ba2"/>
    <ds:schemaRef ds:uri="199e2825-bad8-4574-8446-45756fb8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ED7BC-4E86-4106-AA1B-73D3B4C5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4776</Words>
  <Characters>27228</Characters>
  <Application>Microsoft Office Word</Application>
  <DocSecurity>12</DocSecurity>
  <Lines>226</Lines>
  <Paragraphs>63</Paragraphs>
  <ScaleCrop>false</ScaleCrop>
  <HeadingPairs>
    <vt:vector size="2" baseType="variant">
      <vt:variant>
        <vt:lpstr>Title</vt:lpstr>
      </vt:variant>
      <vt:variant>
        <vt:i4>1</vt:i4>
      </vt:variant>
    </vt:vector>
  </HeadingPairs>
  <TitlesOfParts>
    <vt:vector size="1" baseType="lpstr">
      <vt:lpstr>COPP 8.5 Allegations</vt:lpstr>
    </vt:vector>
  </TitlesOfParts>
  <Manager>Nimilandra.Nageswaran@correctiveservices.wa.gov.au</Manager>
  <Company>Department of Justice</Company>
  <LinksUpToDate>false</LinksUpToDate>
  <CharactersWithSpaces>31941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8.5 Allegations</dc:title>
  <dc:subject/>
  <dc:creator>Scott.Rumbold@justice.wa.gov.au</dc:creator>
  <cp:keywords>Commissioner's Operating Policy and Procedure (COPP); Prison Operations; Adult Custodial; Procedures; Policies; Allegations; Charge; 8.5; Accuse; Rumour.</cp:keywords>
  <dc:description/>
  <cp:lastModifiedBy>Maris Margetts</cp:lastModifiedBy>
  <cp:revision>2</cp:revision>
  <cp:lastPrinted>2019-12-06T00:14:00Z</cp:lastPrinted>
  <dcterms:created xsi:type="dcterms:W3CDTF">2025-05-01T01:59:00Z</dcterms:created>
  <dcterms:modified xsi:type="dcterms:W3CDTF">2025-05-01T01:59:00Z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0x010100F891BD1E084AA74DB83B5A5DB02C8407</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