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9AD5C" w14:textId="77777777" w:rsidR="00FF20B8" w:rsidRPr="00DB6606" w:rsidRDefault="00FF20B8" w:rsidP="00DB6606">
      <w:bookmarkStart w:id="0" w:name="_top"/>
      <w:bookmarkEnd w:id="0"/>
    </w:p>
    <w:p w14:paraId="03B32F42" w14:textId="57B66571" w:rsidR="00537200" w:rsidRPr="002E5756" w:rsidRDefault="00537200" w:rsidP="00537200">
      <w:pPr>
        <w:pStyle w:val="Title"/>
        <w:rPr>
          <w:rFonts w:hint="eastAsia"/>
        </w:rPr>
      </w:pPr>
      <w:r>
        <w:t>COPP 11.6 Vehicle Management</w:t>
      </w:r>
    </w:p>
    <w:p w14:paraId="55AD6B8F" w14:textId="77777777" w:rsidR="000D69A3" w:rsidRPr="00DB6606" w:rsidRDefault="007C7440" w:rsidP="00DB6606">
      <w:pPr>
        <w:pStyle w:val="Subtitle"/>
        <w:rPr>
          <w:rFonts w:hint="eastAsia"/>
        </w:rPr>
      </w:pPr>
      <w:r w:rsidRPr="00DB6606">
        <w:t>P</w:t>
      </w:r>
      <w:r w:rsidR="003A0C98" w:rsidRPr="00DB6606">
        <w:t>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7C7440" w14:paraId="4274AA97" w14:textId="77777777" w:rsidTr="00A21A24">
        <w:trPr>
          <w:trHeight w:val="3689"/>
        </w:trPr>
        <w:tc>
          <w:tcPr>
            <w:tcW w:w="9010" w:type="dxa"/>
            <w:tcBorders>
              <w:top w:val="single" w:sz="6" w:space="0" w:color="565A5C"/>
              <w:left w:val="single" w:sz="6" w:space="0" w:color="565A5C"/>
              <w:right w:val="single" w:sz="6" w:space="0" w:color="565A5C"/>
            </w:tcBorders>
            <w:shd w:val="clear" w:color="auto" w:fill="FCFCFA"/>
          </w:tcPr>
          <w:p w14:paraId="79041EC5" w14:textId="77777777" w:rsidR="007C7440" w:rsidRPr="00365E34" w:rsidRDefault="007C7440" w:rsidP="00972C21">
            <w:pPr>
              <w:pStyle w:val="Heading"/>
              <w:spacing w:before="240"/>
            </w:pPr>
            <w:r>
              <w:t>Principles</w:t>
            </w:r>
          </w:p>
          <w:p w14:paraId="2E1D52E5" w14:textId="592BDD1D" w:rsidR="006867F7" w:rsidRDefault="006867F7" w:rsidP="008418DE">
            <w:r w:rsidRPr="00A95E1C">
              <w:t>As referenced in the</w:t>
            </w:r>
            <w:r w:rsidRPr="007666B1">
              <w:rPr>
                <w:i/>
              </w:rPr>
              <w:t xml:space="preserve"> </w:t>
            </w:r>
            <w:hyperlink r:id="rId12" w:history="1">
              <w:r w:rsidRPr="00CA3E33">
                <w:rPr>
                  <w:rStyle w:val="Hyperlink"/>
                </w:rPr>
                <w:t xml:space="preserve">Guiding Principles for Corrections in Australia, </w:t>
              </w:r>
              <w:r w:rsidR="00B85648">
                <w:rPr>
                  <w:rStyle w:val="Hyperlink"/>
                </w:rPr>
                <w:t xml:space="preserve">2025 </w:t>
              </w:r>
            </w:hyperlink>
          </w:p>
          <w:p w14:paraId="7B680E1B" w14:textId="77777777" w:rsidR="006D622C" w:rsidRDefault="006D622C" w:rsidP="00040E10"/>
          <w:p w14:paraId="03D6A3CD" w14:textId="6AA5F2FF" w:rsidR="00040E10" w:rsidRDefault="00040E10" w:rsidP="00040E10">
            <w:r>
              <w:t xml:space="preserve">2.1.1 Correctional practices identify, </w:t>
            </w:r>
            <w:r w:rsidR="00D06183">
              <w:t>minimise,</w:t>
            </w:r>
            <w:r>
              <w:t xml:space="preserve"> and manage any risks to staff, the </w:t>
            </w:r>
          </w:p>
          <w:p w14:paraId="5C569C81" w14:textId="1AA0A1F6" w:rsidR="00040E10" w:rsidRDefault="00040E10" w:rsidP="00040E10">
            <w:r>
              <w:t xml:space="preserve">community, visitors, </w:t>
            </w:r>
            <w:r w:rsidR="00D06183">
              <w:t>prisoners,</w:t>
            </w:r>
            <w:r>
              <w:t xml:space="preserve"> and offenders. </w:t>
            </w:r>
          </w:p>
          <w:p w14:paraId="1B68C949" w14:textId="77777777" w:rsidR="00040E10" w:rsidRDefault="00040E10" w:rsidP="00040E10"/>
          <w:p w14:paraId="01BEE113" w14:textId="7E6A3373" w:rsidR="00040E10" w:rsidRDefault="00040E10" w:rsidP="00040E10">
            <w:r>
              <w:t xml:space="preserve">2,1.2 Prisoners/offenders are effectively managed, supervised and suitably </w:t>
            </w:r>
          </w:p>
          <w:p w14:paraId="3F852F4F" w14:textId="12CD5213" w:rsidR="008418DE" w:rsidRDefault="00040E10" w:rsidP="00040E10">
            <w:r>
              <w:t>placed to maintain the safety of all people.</w:t>
            </w:r>
          </w:p>
          <w:p w14:paraId="070396FF" w14:textId="77777777" w:rsidR="00040E10" w:rsidRDefault="00040E10" w:rsidP="00040E10"/>
          <w:p w14:paraId="65842C51" w14:textId="0ECEB1E5" w:rsidR="00040E10" w:rsidRDefault="00040E10" w:rsidP="00040E10">
            <w:r>
              <w:t xml:space="preserve">2.1.5 All appropriate measures are taken to ensure no injuries or unnatural </w:t>
            </w:r>
          </w:p>
          <w:p w14:paraId="484DE47D" w14:textId="04D79E09" w:rsidR="00040E10" w:rsidRPr="008418DE" w:rsidRDefault="00040E10" w:rsidP="008418DE">
            <w:r>
              <w:t xml:space="preserve">deaths occur to staff, </w:t>
            </w:r>
            <w:r w:rsidR="00D06183">
              <w:t>visitors,</w:t>
            </w:r>
            <w:r>
              <w:t xml:space="preserve"> or prisoners/offenders.</w:t>
            </w:r>
          </w:p>
          <w:p w14:paraId="1F38006A" w14:textId="0D302A14" w:rsidR="003A0C98" w:rsidRPr="00126611" w:rsidRDefault="003A0C98" w:rsidP="008418DE"/>
        </w:tc>
      </w:tr>
    </w:tbl>
    <w:p w14:paraId="10C132A8" w14:textId="77777777" w:rsidR="00803710" w:rsidRPr="00803710" w:rsidRDefault="00803710" w:rsidP="00803710">
      <w:pPr>
        <w:rPr>
          <w:b/>
        </w:rPr>
      </w:pPr>
    </w:p>
    <w:p w14:paraId="5EC11BAA" w14:textId="77777777" w:rsidR="00803710" w:rsidRDefault="00803710" w:rsidP="00803710">
      <w:pPr>
        <w:sectPr w:rsidR="00803710" w:rsidSect="008D51C1">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314F3149" w14:textId="77777777" w:rsidR="00FA1D8B" w:rsidRPr="00AF7DDC" w:rsidRDefault="00FA1D8B" w:rsidP="00AF7DDC">
      <w:pPr>
        <w:pStyle w:val="Heading"/>
      </w:pPr>
      <w:r w:rsidRPr="00AF7DDC">
        <w:lastRenderedPageBreak/>
        <w:t>Contents</w:t>
      </w:r>
    </w:p>
    <w:p w14:paraId="50FBA102" w14:textId="12DC89D9" w:rsidR="00D06183" w:rsidRDefault="00866B3A">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r w:rsidRPr="00055FF4">
        <w:rPr>
          <w:b w:val="0"/>
        </w:rPr>
        <w:fldChar w:fldCharType="begin"/>
      </w:r>
      <w:r w:rsidRPr="00055FF4">
        <w:rPr>
          <w:b w:val="0"/>
        </w:rPr>
        <w:instrText xml:space="preserve"> TOC \o "1-2" \h \z \u </w:instrText>
      </w:r>
      <w:r w:rsidRPr="00055FF4">
        <w:rPr>
          <w:b w:val="0"/>
        </w:rPr>
        <w:fldChar w:fldCharType="separate"/>
      </w:r>
      <w:hyperlink w:anchor="_Toc223435022" w:history="1">
        <w:r w:rsidR="00D06183" w:rsidRPr="00F33DA7">
          <w:rPr>
            <w:rStyle w:val="Hyperlink"/>
            <w:noProof/>
          </w:rPr>
          <w:t>1</w:t>
        </w:r>
        <w:r w:rsidR="00D06183">
          <w:rPr>
            <w:rFonts w:asciiTheme="minorHAnsi" w:eastAsiaTheme="minorEastAsia" w:hAnsiTheme="minorHAnsi" w:cstheme="minorBidi"/>
            <w:b w:val="0"/>
            <w:noProof/>
            <w:kern w:val="2"/>
            <w:lang w:eastAsia="en-AU"/>
            <w14:ligatures w14:val="standardContextual"/>
          </w:rPr>
          <w:tab/>
        </w:r>
        <w:r w:rsidR="00D06183" w:rsidRPr="00F33DA7">
          <w:rPr>
            <w:rStyle w:val="Hyperlink"/>
            <w:noProof/>
          </w:rPr>
          <w:t>Scope</w:t>
        </w:r>
        <w:r w:rsidR="00D06183">
          <w:rPr>
            <w:noProof/>
            <w:webHidden/>
          </w:rPr>
          <w:tab/>
        </w:r>
        <w:r w:rsidR="00D06183">
          <w:rPr>
            <w:noProof/>
            <w:webHidden/>
          </w:rPr>
          <w:fldChar w:fldCharType="begin"/>
        </w:r>
        <w:r w:rsidR="00D06183">
          <w:rPr>
            <w:noProof/>
            <w:webHidden/>
          </w:rPr>
          <w:instrText xml:space="preserve"> PAGEREF _Toc223435022 \h </w:instrText>
        </w:r>
        <w:r w:rsidR="00D06183">
          <w:rPr>
            <w:noProof/>
            <w:webHidden/>
          </w:rPr>
        </w:r>
        <w:r w:rsidR="00D06183">
          <w:rPr>
            <w:noProof/>
            <w:webHidden/>
          </w:rPr>
          <w:fldChar w:fldCharType="separate"/>
        </w:r>
        <w:r w:rsidR="00D06183">
          <w:rPr>
            <w:noProof/>
            <w:webHidden/>
          </w:rPr>
          <w:t>4</w:t>
        </w:r>
        <w:r w:rsidR="00D06183">
          <w:rPr>
            <w:noProof/>
            <w:webHidden/>
          </w:rPr>
          <w:fldChar w:fldCharType="end"/>
        </w:r>
      </w:hyperlink>
    </w:p>
    <w:p w14:paraId="605CB16D" w14:textId="0AB7B3A1"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23" w:history="1">
        <w:r w:rsidRPr="00F33DA7">
          <w:rPr>
            <w:rStyle w:val="Hyperlink"/>
            <w:noProof/>
          </w:rPr>
          <w:t>2</w:t>
        </w:r>
        <w:r>
          <w:rPr>
            <w:rFonts w:asciiTheme="minorHAnsi" w:eastAsiaTheme="minorEastAsia" w:hAnsiTheme="minorHAnsi" w:cstheme="minorBidi"/>
            <w:b w:val="0"/>
            <w:noProof/>
            <w:kern w:val="2"/>
            <w:lang w:eastAsia="en-AU"/>
            <w14:ligatures w14:val="standardContextual"/>
          </w:rPr>
          <w:tab/>
        </w:r>
        <w:r w:rsidRPr="00F33DA7">
          <w:rPr>
            <w:rStyle w:val="Hyperlink"/>
            <w:noProof/>
          </w:rPr>
          <w:t>Policy</w:t>
        </w:r>
        <w:r>
          <w:rPr>
            <w:noProof/>
            <w:webHidden/>
          </w:rPr>
          <w:tab/>
        </w:r>
        <w:r>
          <w:rPr>
            <w:noProof/>
            <w:webHidden/>
          </w:rPr>
          <w:fldChar w:fldCharType="begin"/>
        </w:r>
        <w:r>
          <w:rPr>
            <w:noProof/>
            <w:webHidden/>
          </w:rPr>
          <w:instrText xml:space="preserve"> PAGEREF _Toc223435023 \h </w:instrText>
        </w:r>
        <w:r>
          <w:rPr>
            <w:noProof/>
            <w:webHidden/>
          </w:rPr>
        </w:r>
        <w:r>
          <w:rPr>
            <w:noProof/>
            <w:webHidden/>
          </w:rPr>
          <w:fldChar w:fldCharType="separate"/>
        </w:r>
        <w:r>
          <w:rPr>
            <w:noProof/>
            <w:webHidden/>
          </w:rPr>
          <w:t>4</w:t>
        </w:r>
        <w:r>
          <w:rPr>
            <w:noProof/>
            <w:webHidden/>
          </w:rPr>
          <w:fldChar w:fldCharType="end"/>
        </w:r>
      </w:hyperlink>
    </w:p>
    <w:p w14:paraId="5F0F8B6C" w14:textId="06E4F4C8"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24" w:history="1">
        <w:r w:rsidRPr="00F33DA7">
          <w:rPr>
            <w:rStyle w:val="Hyperlink"/>
            <w:noProof/>
          </w:rPr>
          <w:t>3</w:t>
        </w:r>
        <w:r>
          <w:rPr>
            <w:rFonts w:asciiTheme="minorHAnsi" w:eastAsiaTheme="minorEastAsia" w:hAnsiTheme="minorHAnsi" w:cstheme="minorBidi"/>
            <w:b w:val="0"/>
            <w:noProof/>
            <w:kern w:val="2"/>
            <w:lang w:eastAsia="en-AU"/>
            <w14:ligatures w14:val="standardContextual"/>
          </w:rPr>
          <w:tab/>
        </w:r>
        <w:r w:rsidRPr="00F33DA7">
          <w:rPr>
            <w:rStyle w:val="Hyperlink"/>
            <w:noProof/>
          </w:rPr>
          <w:t>Standing Orders</w:t>
        </w:r>
        <w:r>
          <w:rPr>
            <w:noProof/>
            <w:webHidden/>
          </w:rPr>
          <w:tab/>
        </w:r>
        <w:r>
          <w:rPr>
            <w:noProof/>
            <w:webHidden/>
          </w:rPr>
          <w:fldChar w:fldCharType="begin"/>
        </w:r>
        <w:r>
          <w:rPr>
            <w:noProof/>
            <w:webHidden/>
          </w:rPr>
          <w:instrText xml:space="preserve"> PAGEREF _Toc223435024 \h </w:instrText>
        </w:r>
        <w:r>
          <w:rPr>
            <w:noProof/>
            <w:webHidden/>
          </w:rPr>
        </w:r>
        <w:r>
          <w:rPr>
            <w:noProof/>
            <w:webHidden/>
          </w:rPr>
          <w:fldChar w:fldCharType="separate"/>
        </w:r>
        <w:r>
          <w:rPr>
            <w:noProof/>
            <w:webHidden/>
          </w:rPr>
          <w:t>4</w:t>
        </w:r>
        <w:r>
          <w:rPr>
            <w:noProof/>
            <w:webHidden/>
          </w:rPr>
          <w:fldChar w:fldCharType="end"/>
        </w:r>
      </w:hyperlink>
    </w:p>
    <w:p w14:paraId="72648C7E" w14:textId="4FFE979F"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25" w:history="1">
        <w:r w:rsidRPr="00F33DA7">
          <w:rPr>
            <w:rStyle w:val="Hyperlink"/>
            <w:noProof/>
          </w:rPr>
          <w:t>4</w:t>
        </w:r>
        <w:r>
          <w:rPr>
            <w:rFonts w:asciiTheme="minorHAnsi" w:eastAsiaTheme="minorEastAsia" w:hAnsiTheme="minorHAnsi" w:cstheme="minorBidi"/>
            <w:b w:val="0"/>
            <w:noProof/>
            <w:kern w:val="2"/>
            <w:lang w:eastAsia="en-AU"/>
            <w14:ligatures w14:val="standardContextual"/>
          </w:rPr>
          <w:tab/>
        </w:r>
        <w:r w:rsidRPr="00F33DA7">
          <w:rPr>
            <w:rStyle w:val="Hyperlink"/>
            <w:noProof/>
          </w:rPr>
          <w:t>General Requirements</w:t>
        </w:r>
        <w:r>
          <w:rPr>
            <w:noProof/>
            <w:webHidden/>
          </w:rPr>
          <w:tab/>
        </w:r>
        <w:r>
          <w:rPr>
            <w:noProof/>
            <w:webHidden/>
          </w:rPr>
          <w:fldChar w:fldCharType="begin"/>
        </w:r>
        <w:r>
          <w:rPr>
            <w:noProof/>
            <w:webHidden/>
          </w:rPr>
          <w:instrText xml:space="preserve"> PAGEREF _Toc223435025 \h </w:instrText>
        </w:r>
        <w:r>
          <w:rPr>
            <w:noProof/>
            <w:webHidden/>
          </w:rPr>
        </w:r>
        <w:r>
          <w:rPr>
            <w:noProof/>
            <w:webHidden/>
          </w:rPr>
          <w:fldChar w:fldCharType="separate"/>
        </w:r>
        <w:r>
          <w:rPr>
            <w:noProof/>
            <w:webHidden/>
          </w:rPr>
          <w:t>5</w:t>
        </w:r>
        <w:r>
          <w:rPr>
            <w:noProof/>
            <w:webHidden/>
          </w:rPr>
          <w:fldChar w:fldCharType="end"/>
        </w:r>
      </w:hyperlink>
    </w:p>
    <w:p w14:paraId="166EAAF2" w14:textId="58E5B233"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26" w:history="1">
        <w:r w:rsidRPr="00F33DA7">
          <w:rPr>
            <w:rStyle w:val="Hyperlink"/>
            <w:noProof/>
          </w:rPr>
          <w:t>5</w:t>
        </w:r>
        <w:r>
          <w:rPr>
            <w:rFonts w:asciiTheme="minorHAnsi" w:eastAsiaTheme="minorEastAsia" w:hAnsiTheme="minorHAnsi" w:cstheme="minorBidi"/>
            <w:b w:val="0"/>
            <w:noProof/>
            <w:kern w:val="2"/>
            <w:lang w:eastAsia="en-AU"/>
            <w14:ligatures w14:val="standardContextual"/>
          </w:rPr>
          <w:tab/>
        </w:r>
        <w:r w:rsidRPr="00F33DA7">
          <w:rPr>
            <w:rStyle w:val="Hyperlink"/>
            <w:noProof/>
          </w:rPr>
          <w:t>Vehicle Control, including the Sally Port</w:t>
        </w:r>
        <w:r>
          <w:rPr>
            <w:noProof/>
            <w:webHidden/>
          </w:rPr>
          <w:tab/>
        </w:r>
        <w:r>
          <w:rPr>
            <w:noProof/>
            <w:webHidden/>
          </w:rPr>
          <w:fldChar w:fldCharType="begin"/>
        </w:r>
        <w:r>
          <w:rPr>
            <w:noProof/>
            <w:webHidden/>
          </w:rPr>
          <w:instrText xml:space="preserve"> PAGEREF _Toc223435026 \h </w:instrText>
        </w:r>
        <w:r>
          <w:rPr>
            <w:noProof/>
            <w:webHidden/>
          </w:rPr>
        </w:r>
        <w:r>
          <w:rPr>
            <w:noProof/>
            <w:webHidden/>
          </w:rPr>
          <w:fldChar w:fldCharType="separate"/>
        </w:r>
        <w:r>
          <w:rPr>
            <w:noProof/>
            <w:webHidden/>
          </w:rPr>
          <w:t>5</w:t>
        </w:r>
        <w:r>
          <w:rPr>
            <w:noProof/>
            <w:webHidden/>
          </w:rPr>
          <w:fldChar w:fldCharType="end"/>
        </w:r>
      </w:hyperlink>
    </w:p>
    <w:p w14:paraId="2EA0D26B" w14:textId="2C456156"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27" w:history="1">
        <w:r w:rsidRPr="00F33DA7">
          <w:rPr>
            <w:rStyle w:val="Hyperlink"/>
            <w:noProof/>
          </w:rPr>
          <w:t>5.1</w:t>
        </w:r>
        <w:r>
          <w:rPr>
            <w:rFonts w:asciiTheme="minorHAnsi" w:eastAsiaTheme="minorEastAsia" w:hAnsiTheme="minorHAnsi" w:cstheme="minorBidi"/>
            <w:noProof/>
            <w:kern w:val="2"/>
            <w:lang w:eastAsia="en-AU"/>
            <w14:ligatures w14:val="standardContextual"/>
          </w:rPr>
          <w:tab/>
        </w:r>
        <w:r w:rsidRPr="00F33DA7">
          <w:rPr>
            <w:rStyle w:val="Hyperlink"/>
            <w:noProof/>
          </w:rPr>
          <w:t>Dash cameras or similar vehicle mounted cameras</w:t>
        </w:r>
        <w:r>
          <w:rPr>
            <w:noProof/>
            <w:webHidden/>
          </w:rPr>
          <w:tab/>
        </w:r>
        <w:r>
          <w:rPr>
            <w:noProof/>
            <w:webHidden/>
          </w:rPr>
          <w:fldChar w:fldCharType="begin"/>
        </w:r>
        <w:r>
          <w:rPr>
            <w:noProof/>
            <w:webHidden/>
          </w:rPr>
          <w:instrText xml:space="preserve"> PAGEREF _Toc223435027 \h </w:instrText>
        </w:r>
        <w:r>
          <w:rPr>
            <w:noProof/>
            <w:webHidden/>
          </w:rPr>
        </w:r>
        <w:r>
          <w:rPr>
            <w:noProof/>
            <w:webHidden/>
          </w:rPr>
          <w:fldChar w:fldCharType="separate"/>
        </w:r>
        <w:r>
          <w:rPr>
            <w:noProof/>
            <w:webHidden/>
          </w:rPr>
          <w:t>5</w:t>
        </w:r>
        <w:r>
          <w:rPr>
            <w:noProof/>
            <w:webHidden/>
          </w:rPr>
          <w:fldChar w:fldCharType="end"/>
        </w:r>
      </w:hyperlink>
    </w:p>
    <w:p w14:paraId="6AB517CE" w14:textId="1F544BE4"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28" w:history="1">
        <w:r w:rsidRPr="00F33DA7">
          <w:rPr>
            <w:rStyle w:val="Hyperlink"/>
            <w:noProof/>
          </w:rPr>
          <w:t>5.2</w:t>
        </w:r>
        <w:r>
          <w:rPr>
            <w:rFonts w:asciiTheme="minorHAnsi" w:eastAsiaTheme="minorEastAsia" w:hAnsiTheme="minorHAnsi" w:cstheme="minorBidi"/>
            <w:noProof/>
            <w:kern w:val="2"/>
            <w:lang w:eastAsia="en-AU"/>
            <w14:ligatures w14:val="standardContextual"/>
          </w:rPr>
          <w:tab/>
        </w:r>
        <w:r w:rsidRPr="00F33DA7">
          <w:rPr>
            <w:rStyle w:val="Hyperlink"/>
            <w:noProof/>
          </w:rPr>
          <w:t>Prison entry and exit</w:t>
        </w:r>
        <w:r>
          <w:rPr>
            <w:noProof/>
            <w:webHidden/>
          </w:rPr>
          <w:tab/>
        </w:r>
        <w:r>
          <w:rPr>
            <w:noProof/>
            <w:webHidden/>
          </w:rPr>
          <w:fldChar w:fldCharType="begin"/>
        </w:r>
        <w:r>
          <w:rPr>
            <w:noProof/>
            <w:webHidden/>
          </w:rPr>
          <w:instrText xml:space="preserve"> PAGEREF _Toc223435028 \h </w:instrText>
        </w:r>
        <w:r>
          <w:rPr>
            <w:noProof/>
            <w:webHidden/>
          </w:rPr>
        </w:r>
        <w:r>
          <w:rPr>
            <w:noProof/>
            <w:webHidden/>
          </w:rPr>
          <w:fldChar w:fldCharType="separate"/>
        </w:r>
        <w:r>
          <w:rPr>
            <w:noProof/>
            <w:webHidden/>
          </w:rPr>
          <w:t>6</w:t>
        </w:r>
        <w:r>
          <w:rPr>
            <w:noProof/>
            <w:webHidden/>
          </w:rPr>
          <w:fldChar w:fldCharType="end"/>
        </w:r>
      </w:hyperlink>
    </w:p>
    <w:p w14:paraId="405F17DF" w14:textId="3A7001B2"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29" w:history="1">
        <w:r w:rsidRPr="00F33DA7">
          <w:rPr>
            <w:rStyle w:val="Hyperlink"/>
            <w:noProof/>
          </w:rPr>
          <w:t>6</w:t>
        </w:r>
        <w:r>
          <w:rPr>
            <w:rFonts w:asciiTheme="minorHAnsi" w:eastAsiaTheme="minorEastAsia" w:hAnsiTheme="minorHAnsi" w:cstheme="minorBidi"/>
            <w:b w:val="0"/>
            <w:noProof/>
            <w:kern w:val="2"/>
            <w:lang w:eastAsia="en-AU"/>
            <w14:ligatures w14:val="standardContextual"/>
          </w:rPr>
          <w:tab/>
        </w:r>
        <w:r w:rsidRPr="00F33DA7">
          <w:rPr>
            <w:rStyle w:val="Hyperlink"/>
            <w:noProof/>
          </w:rPr>
          <w:t>Non-prison Vehicles</w:t>
        </w:r>
        <w:r>
          <w:rPr>
            <w:noProof/>
            <w:webHidden/>
          </w:rPr>
          <w:tab/>
        </w:r>
        <w:r>
          <w:rPr>
            <w:noProof/>
            <w:webHidden/>
          </w:rPr>
          <w:fldChar w:fldCharType="begin"/>
        </w:r>
        <w:r>
          <w:rPr>
            <w:noProof/>
            <w:webHidden/>
          </w:rPr>
          <w:instrText xml:space="preserve"> PAGEREF _Toc223435029 \h </w:instrText>
        </w:r>
        <w:r>
          <w:rPr>
            <w:noProof/>
            <w:webHidden/>
          </w:rPr>
        </w:r>
        <w:r>
          <w:rPr>
            <w:noProof/>
            <w:webHidden/>
          </w:rPr>
          <w:fldChar w:fldCharType="separate"/>
        </w:r>
        <w:r>
          <w:rPr>
            <w:noProof/>
            <w:webHidden/>
          </w:rPr>
          <w:t>6</w:t>
        </w:r>
        <w:r>
          <w:rPr>
            <w:noProof/>
            <w:webHidden/>
          </w:rPr>
          <w:fldChar w:fldCharType="end"/>
        </w:r>
      </w:hyperlink>
    </w:p>
    <w:p w14:paraId="1B239E48" w14:textId="29890C77"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30" w:history="1">
        <w:r w:rsidRPr="00F33DA7">
          <w:rPr>
            <w:rStyle w:val="Hyperlink"/>
            <w:noProof/>
          </w:rPr>
          <w:t>7</w:t>
        </w:r>
        <w:r>
          <w:rPr>
            <w:rFonts w:asciiTheme="minorHAnsi" w:eastAsiaTheme="minorEastAsia" w:hAnsiTheme="minorHAnsi" w:cstheme="minorBidi"/>
            <w:b w:val="0"/>
            <w:noProof/>
            <w:kern w:val="2"/>
            <w:lang w:eastAsia="en-AU"/>
            <w14:ligatures w14:val="standardContextual"/>
          </w:rPr>
          <w:tab/>
        </w:r>
        <w:r w:rsidRPr="00F33DA7">
          <w:rPr>
            <w:rStyle w:val="Hyperlink"/>
            <w:noProof/>
          </w:rPr>
          <w:t>Prison Vehicles</w:t>
        </w:r>
        <w:r>
          <w:rPr>
            <w:noProof/>
            <w:webHidden/>
          </w:rPr>
          <w:tab/>
        </w:r>
        <w:r>
          <w:rPr>
            <w:noProof/>
            <w:webHidden/>
          </w:rPr>
          <w:fldChar w:fldCharType="begin"/>
        </w:r>
        <w:r>
          <w:rPr>
            <w:noProof/>
            <w:webHidden/>
          </w:rPr>
          <w:instrText xml:space="preserve"> PAGEREF _Toc223435030 \h </w:instrText>
        </w:r>
        <w:r>
          <w:rPr>
            <w:noProof/>
            <w:webHidden/>
          </w:rPr>
        </w:r>
        <w:r>
          <w:rPr>
            <w:noProof/>
            <w:webHidden/>
          </w:rPr>
          <w:fldChar w:fldCharType="separate"/>
        </w:r>
        <w:r>
          <w:rPr>
            <w:noProof/>
            <w:webHidden/>
          </w:rPr>
          <w:t>7</w:t>
        </w:r>
        <w:r>
          <w:rPr>
            <w:noProof/>
            <w:webHidden/>
          </w:rPr>
          <w:fldChar w:fldCharType="end"/>
        </w:r>
      </w:hyperlink>
    </w:p>
    <w:p w14:paraId="407BE295" w14:textId="40918FA0"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31" w:history="1">
        <w:r w:rsidRPr="00F33DA7">
          <w:rPr>
            <w:rStyle w:val="Hyperlink"/>
            <w:noProof/>
          </w:rPr>
          <w:t>7.1</w:t>
        </w:r>
        <w:r>
          <w:rPr>
            <w:rFonts w:asciiTheme="minorHAnsi" w:eastAsiaTheme="minorEastAsia" w:hAnsiTheme="minorHAnsi" w:cstheme="minorBidi"/>
            <w:noProof/>
            <w:kern w:val="2"/>
            <w:lang w:eastAsia="en-AU"/>
            <w14:ligatures w14:val="standardContextual"/>
          </w:rPr>
          <w:tab/>
        </w:r>
        <w:r w:rsidRPr="00F33DA7">
          <w:rPr>
            <w:rStyle w:val="Hyperlink"/>
            <w:noProof/>
          </w:rPr>
          <w:t>Maintenance of vehicles</w:t>
        </w:r>
        <w:r>
          <w:rPr>
            <w:noProof/>
            <w:webHidden/>
          </w:rPr>
          <w:tab/>
        </w:r>
        <w:r>
          <w:rPr>
            <w:noProof/>
            <w:webHidden/>
          </w:rPr>
          <w:fldChar w:fldCharType="begin"/>
        </w:r>
        <w:r>
          <w:rPr>
            <w:noProof/>
            <w:webHidden/>
          </w:rPr>
          <w:instrText xml:space="preserve"> PAGEREF _Toc223435031 \h </w:instrText>
        </w:r>
        <w:r>
          <w:rPr>
            <w:noProof/>
            <w:webHidden/>
          </w:rPr>
        </w:r>
        <w:r>
          <w:rPr>
            <w:noProof/>
            <w:webHidden/>
          </w:rPr>
          <w:fldChar w:fldCharType="separate"/>
        </w:r>
        <w:r>
          <w:rPr>
            <w:noProof/>
            <w:webHidden/>
          </w:rPr>
          <w:t>7</w:t>
        </w:r>
        <w:r>
          <w:rPr>
            <w:noProof/>
            <w:webHidden/>
          </w:rPr>
          <w:fldChar w:fldCharType="end"/>
        </w:r>
      </w:hyperlink>
    </w:p>
    <w:p w14:paraId="6BB05155" w14:textId="4A7B6F7C"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32" w:history="1">
        <w:r w:rsidRPr="00F33DA7">
          <w:rPr>
            <w:rStyle w:val="Hyperlink"/>
            <w:noProof/>
          </w:rPr>
          <w:t>7.2</w:t>
        </w:r>
        <w:r>
          <w:rPr>
            <w:rFonts w:asciiTheme="minorHAnsi" w:eastAsiaTheme="minorEastAsia" w:hAnsiTheme="minorHAnsi" w:cstheme="minorBidi"/>
            <w:noProof/>
            <w:kern w:val="2"/>
            <w:lang w:eastAsia="en-AU"/>
            <w14:ligatures w14:val="standardContextual"/>
          </w:rPr>
          <w:tab/>
        </w:r>
        <w:r w:rsidRPr="00F33DA7">
          <w:rPr>
            <w:rStyle w:val="Hyperlink"/>
            <w:noProof/>
          </w:rPr>
          <w:t>Prisoner use of vehicles (prison farms and work camps)</w:t>
        </w:r>
        <w:r>
          <w:rPr>
            <w:noProof/>
            <w:webHidden/>
          </w:rPr>
          <w:tab/>
        </w:r>
        <w:r>
          <w:rPr>
            <w:noProof/>
            <w:webHidden/>
          </w:rPr>
          <w:fldChar w:fldCharType="begin"/>
        </w:r>
        <w:r>
          <w:rPr>
            <w:noProof/>
            <w:webHidden/>
          </w:rPr>
          <w:instrText xml:space="preserve"> PAGEREF _Toc223435032 \h </w:instrText>
        </w:r>
        <w:r>
          <w:rPr>
            <w:noProof/>
            <w:webHidden/>
          </w:rPr>
        </w:r>
        <w:r>
          <w:rPr>
            <w:noProof/>
            <w:webHidden/>
          </w:rPr>
          <w:fldChar w:fldCharType="separate"/>
        </w:r>
        <w:r>
          <w:rPr>
            <w:noProof/>
            <w:webHidden/>
          </w:rPr>
          <w:t>7</w:t>
        </w:r>
        <w:r>
          <w:rPr>
            <w:noProof/>
            <w:webHidden/>
          </w:rPr>
          <w:fldChar w:fldCharType="end"/>
        </w:r>
      </w:hyperlink>
    </w:p>
    <w:p w14:paraId="662D1699" w14:textId="0F5A55A7"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33" w:history="1">
        <w:r w:rsidRPr="00F33DA7">
          <w:rPr>
            <w:rStyle w:val="Hyperlink"/>
            <w:noProof/>
          </w:rPr>
          <w:t>7.3</w:t>
        </w:r>
        <w:r>
          <w:rPr>
            <w:rFonts w:asciiTheme="minorHAnsi" w:eastAsiaTheme="minorEastAsia" w:hAnsiTheme="minorHAnsi" w:cstheme="minorBidi"/>
            <w:noProof/>
            <w:kern w:val="2"/>
            <w:lang w:eastAsia="en-AU"/>
            <w14:ligatures w14:val="standardContextual"/>
          </w:rPr>
          <w:tab/>
        </w:r>
        <w:r w:rsidRPr="00F33DA7">
          <w:rPr>
            <w:rStyle w:val="Hyperlink"/>
            <w:noProof/>
          </w:rPr>
          <w:t>Prisoners operating mobile machinery</w:t>
        </w:r>
        <w:r>
          <w:rPr>
            <w:noProof/>
            <w:webHidden/>
          </w:rPr>
          <w:tab/>
        </w:r>
        <w:r>
          <w:rPr>
            <w:noProof/>
            <w:webHidden/>
          </w:rPr>
          <w:fldChar w:fldCharType="begin"/>
        </w:r>
        <w:r>
          <w:rPr>
            <w:noProof/>
            <w:webHidden/>
          </w:rPr>
          <w:instrText xml:space="preserve"> PAGEREF _Toc223435033 \h </w:instrText>
        </w:r>
        <w:r>
          <w:rPr>
            <w:noProof/>
            <w:webHidden/>
          </w:rPr>
        </w:r>
        <w:r>
          <w:rPr>
            <w:noProof/>
            <w:webHidden/>
          </w:rPr>
          <w:fldChar w:fldCharType="separate"/>
        </w:r>
        <w:r>
          <w:rPr>
            <w:noProof/>
            <w:webHidden/>
          </w:rPr>
          <w:t>8</w:t>
        </w:r>
        <w:r>
          <w:rPr>
            <w:noProof/>
            <w:webHidden/>
          </w:rPr>
          <w:fldChar w:fldCharType="end"/>
        </w:r>
      </w:hyperlink>
    </w:p>
    <w:p w14:paraId="6AC8DB00" w14:textId="3DF08B02"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34" w:history="1">
        <w:r w:rsidRPr="00F33DA7">
          <w:rPr>
            <w:rStyle w:val="Hyperlink"/>
            <w:noProof/>
          </w:rPr>
          <w:t>8</w:t>
        </w:r>
        <w:r>
          <w:rPr>
            <w:rFonts w:asciiTheme="minorHAnsi" w:eastAsiaTheme="minorEastAsia" w:hAnsiTheme="minorHAnsi" w:cstheme="minorBidi"/>
            <w:b w:val="0"/>
            <w:noProof/>
            <w:kern w:val="2"/>
            <w:lang w:eastAsia="en-AU"/>
            <w14:ligatures w14:val="standardContextual"/>
          </w:rPr>
          <w:tab/>
        </w:r>
        <w:r w:rsidRPr="00F33DA7">
          <w:rPr>
            <w:rStyle w:val="Hyperlink"/>
            <w:noProof/>
          </w:rPr>
          <w:t>Annexures</w:t>
        </w:r>
        <w:r>
          <w:rPr>
            <w:noProof/>
            <w:webHidden/>
          </w:rPr>
          <w:tab/>
        </w:r>
        <w:r>
          <w:rPr>
            <w:noProof/>
            <w:webHidden/>
          </w:rPr>
          <w:fldChar w:fldCharType="begin"/>
        </w:r>
        <w:r>
          <w:rPr>
            <w:noProof/>
            <w:webHidden/>
          </w:rPr>
          <w:instrText xml:space="preserve"> PAGEREF _Toc223435034 \h </w:instrText>
        </w:r>
        <w:r>
          <w:rPr>
            <w:noProof/>
            <w:webHidden/>
          </w:rPr>
        </w:r>
        <w:r>
          <w:rPr>
            <w:noProof/>
            <w:webHidden/>
          </w:rPr>
          <w:fldChar w:fldCharType="separate"/>
        </w:r>
        <w:r>
          <w:rPr>
            <w:noProof/>
            <w:webHidden/>
          </w:rPr>
          <w:t>9</w:t>
        </w:r>
        <w:r>
          <w:rPr>
            <w:noProof/>
            <w:webHidden/>
          </w:rPr>
          <w:fldChar w:fldCharType="end"/>
        </w:r>
      </w:hyperlink>
    </w:p>
    <w:p w14:paraId="36866CA9" w14:textId="4D185F3B"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35" w:history="1">
        <w:r w:rsidRPr="00F33DA7">
          <w:rPr>
            <w:rStyle w:val="Hyperlink"/>
            <w:noProof/>
          </w:rPr>
          <w:t>8.1</w:t>
        </w:r>
        <w:r>
          <w:rPr>
            <w:rFonts w:asciiTheme="minorHAnsi" w:eastAsiaTheme="minorEastAsia" w:hAnsiTheme="minorHAnsi" w:cstheme="minorBidi"/>
            <w:noProof/>
            <w:kern w:val="2"/>
            <w:lang w:eastAsia="en-AU"/>
            <w14:ligatures w14:val="standardContextual"/>
          </w:rPr>
          <w:tab/>
        </w:r>
        <w:r w:rsidRPr="00F33DA7">
          <w:rPr>
            <w:rStyle w:val="Hyperlink"/>
            <w:noProof/>
          </w:rPr>
          <w:t>Related COPPs and documents</w:t>
        </w:r>
        <w:r>
          <w:rPr>
            <w:noProof/>
            <w:webHidden/>
          </w:rPr>
          <w:tab/>
        </w:r>
        <w:r>
          <w:rPr>
            <w:noProof/>
            <w:webHidden/>
          </w:rPr>
          <w:fldChar w:fldCharType="begin"/>
        </w:r>
        <w:r>
          <w:rPr>
            <w:noProof/>
            <w:webHidden/>
          </w:rPr>
          <w:instrText xml:space="preserve"> PAGEREF _Toc223435035 \h </w:instrText>
        </w:r>
        <w:r>
          <w:rPr>
            <w:noProof/>
            <w:webHidden/>
          </w:rPr>
        </w:r>
        <w:r>
          <w:rPr>
            <w:noProof/>
            <w:webHidden/>
          </w:rPr>
          <w:fldChar w:fldCharType="separate"/>
        </w:r>
        <w:r>
          <w:rPr>
            <w:noProof/>
            <w:webHidden/>
          </w:rPr>
          <w:t>9</w:t>
        </w:r>
        <w:r>
          <w:rPr>
            <w:noProof/>
            <w:webHidden/>
          </w:rPr>
          <w:fldChar w:fldCharType="end"/>
        </w:r>
      </w:hyperlink>
    </w:p>
    <w:p w14:paraId="5E036B54" w14:textId="1247AA4F"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36" w:history="1">
        <w:r w:rsidRPr="00F33DA7">
          <w:rPr>
            <w:rStyle w:val="Hyperlink"/>
            <w:noProof/>
          </w:rPr>
          <w:t>8.2</w:t>
        </w:r>
        <w:r>
          <w:rPr>
            <w:rFonts w:asciiTheme="minorHAnsi" w:eastAsiaTheme="minorEastAsia" w:hAnsiTheme="minorHAnsi" w:cstheme="minorBidi"/>
            <w:noProof/>
            <w:kern w:val="2"/>
            <w:lang w:eastAsia="en-AU"/>
            <w14:ligatures w14:val="standardContextual"/>
          </w:rPr>
          <w:tab/>
        </w:r>
        <w:r w:rsidRPr="00F33DA7">
          <w:rPr>
            <w:rStyle w:val="Hyperlink"/>
            <w:noProof/>
          </w:rPr>
          <w:t>Definitions and acronyms</w:t>
        </w:r>
        <w:r>
          <w:rPr>
            <w:noProof/>
            <w:webHidden/>
          </w:rPr>
          <w:tab/>
        </w:r>
        <w:r>
          <w:rPr>
            <w:noProof/>
            <w:webHidden/>
          </w:rPr>
          <w:fldChar w:fldCharType="begin"/>
        </w:r>
        <w:r>
          <w:rPr>
            <w:noProof/>
            <w:webHidden/>
          </w:rPr>
          <w:instrText xml:space="preserve"> PAGEREF _Toc223435036 \h </w:instrText>
        </w:r>
        <w:r>
          <w:rPr>
            <w:noProof/>
            <w:webHidden/>
          </w:rPr>
        </w:r>
        <w:r>
          <w:rPr>
            <w:noProof/>
            <w:webHidden/>
          </w:rPr>
          <w:fldChar w:fldCharType="separate"/>
        </w:r>
        <w:r>
          <w:rPr>
            <w:noProof/>
            <w:webHidden/>
          </w:rPr>
          <w:t>9</w:t>
        </w:r>
        <w:r>
          <w:rPr>
            <w:noProof/>
            <w:webHidden/>
          </w:rPr>
          <w:fldChar w:fldCharType="end"/>
        </w:r>
      </w:hyperlink>
    </w:p>
    <w:p w14:paraId="443970D9" w14:textId="342E3EC2"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37" w:history="1">
        <w:r w:rsidRPr="00F33DA7">
          <w:rPr>
            <w:rStyle w:val="Hyperlink"/>
            <w:noProof/>
          </w:rPr>
          <w:t>8.3</w:t>
        </w:r>
        <w:r>
          <w:rPr>
            <w:rFonts w:asciiTheme="minorHAnsi" w:eastAsiaTheme="minorEastAsia" w:hAnsiTheme="minorHAnsi" w:cstheme="minorBidi"/>
            <w:noProof/>
            <w:kern w:val="2"/>
            <w:lang w:eastAsia="en-AU"/>
            <w14:ligatures w14:val="standardContextual"/>
          </w:rPr>
          <w:tab/>
        </w:r>
        <w:r w:rsidRPr="00F33DA7">
          <w:rPr>
            <w:rStyle w:val="Hyperlink"/>
            <w:noProof/>
          </w:rPr>
          <w:t>Related legislation</w:t>
        </w:r>
        <w:r>
          <w:rPr>
            <w:noProof/>
            <w:webHidden/>
          </w:rPr>
          <w:tab/>
        </w:r>
        <w:r>
          <w:rPr>
            <w:noProof/>
            <w:webHidden/>
          </w:rPr>
          <w:fldChar w:fldCharType="begin"/>
        </w:r>
        <w:r>
          <w:rPr>
            <w:noProof/>
            <w:webHidden/>
          </w:rPr>
          <w:instrText xml:space="preserve"> PAGEREF _Toc223435037 \h </w:instrText>
        </w:r>
        <w:r>
          <w:rPr>
            <w:noProof/>
            <w:webHidden/>
          </w:rPr>
        </w:r>
        <w:r>
          <w:rPr>
            <w:noProof/>
            <w:webHidden/>
          </w:rPr>
          <w:fldChar w:fldCharType="separate"/>
        </w:r>
        <w:r>
          <w:rPr>
            <w:noProof/>
            <w:webHidden/>
          </w:rPr>
          <w:t>10</w:t>
        </w:r>
        <w:r>
          <w:rPr>
            <w:noProof/>
            <w:webHidden/>
          </w:rPr>
          <w:fldChar w:fldCharType="end"/>
        </w:r>
      </w:hyperlink>
    </w:p>
    <w:p w14:paraId="6AAB0DEB" w14:textId="0CEF8773"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38" w:history="1">
        <w:r w:rsidRPr="00F33DA7">
          <w:rPr>
            <w:rStyle w:val="Hyperlink"/>
            <w:noProof/>
          </w:rPr>
          <w:t>9</w:t>
        </w:r>
        <w:r>
          <w:rPr>
            <w:rFonts w:asciiTheme="minorHAnsi" w:eastAsiaTheme="minorEastAsia" w:hAnsiTheme="minorHAnsi" w:cstheme="minorBidi"/>
            <w:b w:val="0"/>
            <w:noProof/>
            <w:kern w:val="2"/>
            <w:lang w:eastAsia="en-AU"/>
            <w14:ligatures w14:val="standardContextual"/>
          </w:rPr>
          <w:tab/>
        </w:r>
        <w:r w:rsidRPr="00F33DA7">
          <w:rPr>
            <w:rStyle w:val="Hyperlink"/>
            <w:noProof/>
          </w:rPr>
          <w:t>Assurance</w:t>
        </w:r>
        <w:r>
          <w:rPr>
            <w:noProof/>
            <w:webHidden/>
          </w:rPr>
          <w:tab/>
        </w:r>
        <w:r>
          <w:rPr>
            <w:noProof/>
            <w:webHidden/>
          </w:rPr>
          <w:fldChar w:fldCharType="begin"/>
        </w:r>
        <w:r>
          <w:rPr>
            <w:noProof/>
            <w:webHidden/>
          </w:rPr>
          <w:instrText xml:space="preserve"> PAGEREF _Toc223435038 \h </w:instrText>
        </w:r>
        <w:r>
          <w:rPr>
            <w:noProof/>
            <w:webHidden/>
          </w:rPr>
        </w:r>
        <w:r>
          <w:rPr>
            <w:noProof/>
            <w:webHidden/>
          </w:rPr>
          <w:fldChar w:fldCharType="separate"/>
        </w:r>
        <w:r>
          <w:rPr>
            <w:noProof/>
            <w:webHidden/>
          </w:rPr>
          <w:t>10</w:t>
        </w:r>
        <w:r>
          <w:rPr>
            <w:noProof/>
            <w:webHidden/>
          </w:rPr>
          <w:fldChar w:fldCharType="end"/>
        </w:r>
      </w:hyperlink>
    </w:p>
    <w:p w14:paraId="3F41EF73" w14:textId="2117BFAA" w:rsidR="00D06183" w:rsidRDefault="00D06183">
      <w:pPr>
        <w:pStyle w:val="TOC1"/>
        <w:tabs>
          <w:tab w:val="left" w:pos="567"/>
          <w:tab w:val="right" w:leader="dot" w:pos="9168"/>
        </w:tabs>
        <w:rPr>
          <w:rFonts w:asciiTheme="minorHAnsi" w:eastAsiaTheme="minorEastAsia" w:hAnsiTheme="minorHAnsi" w:cstheme="minorBidi"/>
          <w:b w:val="0"/>
          <w:noProof/>
          <w:kern w:val="2"/>
          <w:lang w:eastAsia="en-AU"/>
          <w14:ligatures w14:val="standardContextual"/>
        </w:rPr>
      </w:pPr>
      <w:hyperlink w:anchor="_Toc223435039" w:history="1">
        <w:r w:rsidRPr="00F33DA7">
          <w:rPr>
            <w:rStyle w:val="Hyperlink"/>
            <w:noProof/>
          </w:rPr>
          <w:t>10</w:t>
        </w:r>
        <w:r>
          <w:rPr>
            <w:rFonts w:asciiTheme="minorHAnsi" w:eastAsiaTheme="minorEastAsia" w:hAnsiTheme="minorHAnsi" w:cstheme="minorBidi"/>
            <w:b w:val="0"/>
            <w:noProof/>
            <w:kern w:val="2"/>
            <w:lang w:eastAsia="en-AU"/>
            <w14:ligatures w14:val="standardContextual"/>
          </w:rPr>
          <w:tab/>
        </w:r>
        <w:r w:rsidRPr="00F33DA7">
          <w:rPr>
            <w:rStyle w:val="Hyperlink"/>
            <w:noProof/>
          </w:rPr>
          <w:t>Document Information</w:t>
        </w:r>
        <w:r>
          <w:rPr>
            <w:noProof/>
            <w:webHidden/>
          </w:rPr>
          <w:tab/>
        </w:r>
        <w:r>
          <w:rPr>
            <w:noProof/>
            <w:webHidden/>
          </w:rPr>
          <w:fldChar w:fldCharType="begin"/>
        </w:r>
        <w:r>
          <w:rPr>
            <w:noProof/>
            <w:webHidden/>
          </w:rPr>
          <w:instrText xml:space="preserve"> PAGEREF _Toc223435039 \h </w:instrText>
        </w:r>
        <w:r>
          <w:rPr>
            <w:noProof/>
            <w:webHidden/>
          </w:rPr>
        </w:r>
        <w:r>
          <w:rPr>
            <w:noProof/>
            <w:webHidden/>
          </w:rPr>
          <w:fldChar w:fldCharType="separate"/>
        </w:r>
        <w:r>
          <w:rPr>
            <w:noProof/>
            <w:webHidden/>
          </w:rPr>
          <w:t>11</w:t>
        </w:r>
        <w:r>
          <w:rPr>
            <w:noProof/>
            <w:webHidden/>
          </w:rPr>
          <w:fldChar w:fldCharType="end"/>
        </w:r>
      </w:hyperlink>
    </w:p>
    <w:p w14:paraId="5F8BEB03" w14:textId="27A05B97" w:rsidR="00D06183" w:rsidRDefault="00D06183">
      <w:pPr>
        <w:pStyle w:val="TOC2"/>
        <w:rPr>
          <w:rFonts w:asciiTheme="minorHAnsi" w:eastAsiaTheme="minorEastAsia" w:hAnsiTheme="minorHAnsi" w:cstheme="minorBidi"/>
          <w:noProof/>
          <w:kern w:val="2"/>
          <w:lang w:eastAsia="en-AU"/>
          <w14:ligatures w14:val="standardContextual"/>
        </w:rPr>
      </w:pPr>
      <w:hyperlink w:anchor="_Toc223435040" w:history="1">
        <w:r w:rsidRPr="00F33DA7">
          <w:rPr>
            <w:rStyle w:val="Hyperlink"/>
            <w:noProof/>
          </w:rPr>
          <w:t>10.1</w:t>
        </w:r>
        <w:r>
          <w:rPr>
            <w:rFonts w:asciiTheme="minorHAnsi" w:eastAsiaTheme="minorEastAsia" w:hAnsiTheme="minorHAnsi" w:cstheme="minorBidi"/>
            <w:noProof/>
            <w:kern w:val="2"/>
            <w:lang w:eastAsia="en-AU"/>
            <w14:ligatures w14:val="standardContextual"/>
          </w:rPr>
          <w:tab/>
        </w:r>
        <w:r w:rsidRPr="00F33DA7">
          <w:rPr>
            <w:rStyle w:val="Hyperlink"/>
            <w:noProof/>
          </w:rPr>
          <w:t>Document version history</w:t>
        </w:r>
        <w:r>
          <w:rPr>
            <w:noProof/>
            <w:webHidden/>
          </w:rPr>
          <w:tab/>
        </w:r>
        <w:r>
          <w:rPr>
            <w:noProof/>
            <w:webHidden/>
          </w:rPr>
          <w:fldChar w:fldCharType="begin"/>
        </w:r>
        <w:r>
          <w:rPr>
            <w:noProof/>
            <w:webHidden/>
          </w:rPr>
          <w:instrText xml:space="preserve"> PAGEREF _Toc223435040 \h </w:instrText>
        </w:r>
        <w:r>
          <w:rPr>
            <w:noProof/>
            <w:webHidden/>
          </w:rPr>
        </w:r>
        <w:r>
          <w:rPr>
            <w:noProof/>
            <w:webHidden/>
          </w:rPr>
          <w:fldChar w:fldCharType="separate"/>
        </w:r>
        <w:r>
          <w:rPr>
            <w:noProof/>
            <w:webHidden/>
          </w:rPr>
          <w:t>11</w:t>
        </w:r>
        <w:r>
          <w:rPr>
            <w:noProof/>
            <w:webHidden/>
          </w:rPr>
          <w:fldChar w:fldCharType="end"/>
        </w:r>
      </w:hyperlink>
    </w:p>
    <w:p w14:paraId="092A3C5A" w14:textId="7CF86F51" w:rsidR="00634C54" w:rsidRDefault="00866B3A" w:rsidP="004E571B">
      <w:r w:rsidRPr="00055FF4">
        <w:fldChar w:fldCharType="end"/>
      </w:r>
    </w:p>
    <w:p w14:paraId="345A05EA" w14:textId="54CE2AD1" w:rsidR="00634C54" w:rsidRDefault="00634C54">
      <w:r>
        <w:br w:type="page"/>
      </w:r>
    </w:p>
    <w:p w14:paraId="7CA1A4D7" w14:textId="007DCE1B" w:rsidR="00C8272F" w:rsidRPr="006444FB" w:rsidRDefault="00C8272F" w:rsidP="006D622C">
      <w:pPr>
        <w:pStyle w:val="Heading1"/>
        <w:spacing w:before="360" w:after="240"/>
      </w:pPr>
      <w:bookmarkStart w:id="1" w:name="_Toc223435022"/>
      <w:r>
        <w:lastRenderedPageBreak/>
        <w:t>Scope</w:t>
      </w:r>
      <w:bookmarkEnd w:id="1"/>
    </w:p>
    <w:p w14:paraId="3DF642E5" w14:textId="78E2E706" w:rsidR="00335823" w:rsidRDefault="00335823" w:rsidP="006D622C">
      <w:pPr>
        <w:spacing w:before="360" w:after="240"/>
      </w:pPr>
      <w:r w:rsidRPr="00C1598E">
        <w:t xml:space="preserve">This Commissioners Operating Policy and Procedure (COPP) </w:t>
      </w:r>
      <w:r>
        <w:t xml:space="preserve">applies to all prisons with regard to the control and security of vehicles entering and exiting prisons. This includes the access and use of vehicles by prisoners in specified circumstances. </w:t>
      </w:r>
    </w:p>
    <w:p w14:paraId="3312C4AF" w14:textId="5071DDB4" w:rsidR="002D1C44" w:rsidRDefault="00335823" w:rsidP="00DB6606">
      <w:r>
        <w:t xml:space="preserve">It also applies to </w:t>
      </w:r>
      <w:r w:rsidR="003944C5">
        <w:t xml:space="preserve">the management of </w:t>
      </w:r>
      <w:r w:rsidR="003D6014">
        <w:t>W</w:t>
      </w:r>
      <w:r w:rsidR="00D34E8B">
        <w:t xml:space="preserve">estern </w:t>
      </w:r>
      <w:r w:rsidR="003D6014">
        <w:t>A</w:t>
      </w:r>
      <w:r w:rsidR="00D34E8B">
        <w:t>ustralia (WA)</w:t>
      </w:r>
      <w:r w:rsidR="003D6014">
        <w:t xml:space="preserve"> </w:t>
      </w:r>
      <w:r w:rsidR="003944C5">
        <w:t xml:space="preserve">State Government fleet vehicles </w:t>
      </w:r>
      <w:r w:rsidR="00B41068">
        <w:t xml:space="preserve">by </w:t>
      </w:r>
      <w:r>
        <w:t xml:space="preserve">public prisons. </w:t>
      </w:r>
    </w:p>
    <w:p w14:paraId="2DF71D78" w14:textId="3B531B68" w:rsidR="00EC5AF1" w:rsidRDefault="00EC5AF1" w:rsidP="006D622C">
      <w:pPr>
        <w:pStyle w:val="Heading1"/>
        <w:spacing w:before="360" w:after="240"/>
      </w:pPr>
      <w:bookmarkStart w:id="2" w:name="_Toc223435023"/>
      <w:r>
        <w:t>Policy</w:t>
      </w:r>
      <w:bookmarkEnd w:id="2"/>
    </w:p>
    <w:p w14:paraId="700E6DA2" w14:textId="77777777" w:rsidR="00F746A7" w:rsidRDefault="00335823" w:rsidP="006D622C">
      <w:pPr>
        <w:spacing w:before="360" w:after="240"/>
      </w:pPr>
      <w:r w:rsidRPr="00335823">
        <w:t xml:space="preserve">The use of any vehicle or mobile machinery entering and exiting a prison is a risk to prison security and the safety of staff and prisoners, but necessary for prison operations. </w:t>
      </w:r>
      <w:r w:rsidR="00F746A7" w:rsidRPr="00335823">
        <w:t xml:space="preserve">Authorised vehicle access to prisons shall be for specified purposes and localised to each prison, dependent on the prison’s security level. </w:t>
      </w:r>
    </w:p>
    <w:p w14:paraId="6E4670CB" w14:textId="77777777" w:rsidR="00E579A8" w:rsidRDefault="00E579A8" w:rsidP="00DB6606">
      <w:r w:rsidRPr="00335823">
        <w:t>In all cases, the use of any vehicle or mobile machinery on a road, accessible to the public, including gazetted boundaries of the prison site shall be compliant with road traffic laws</w:t>
      </w:r>
      <w:r w:rsidRPr="00335823">
        <w:rPr>
          <w:vertAlign w:val="superscript"/>
        </w:rPr>
        <w:footnoteReference w:id="1"/>
      </w:r>
      <w:r w:rsidRPr="00335823">
        <w:t>.</w:t>
      </w:r>
    </w:p>
    <w:p w14:paraId="56A19D84" w14:textId="4DEFBAAE" w:rsidR="004B3803" w:rsidRDefault="004B3803" w:rsidP="00DB6606">
      <w:r>
        <w:t xml:space="preserve">All prisons shall have in place a Traffic Management Plan for the safe movement of vehicles </w:t>
      </w:r>
      <w:r w:rsidR="00EE245A">
        <w:t xml:space="preserve">and mobile machinery, </w:t>
      </w:r>
      <w:r>
        <w:t>to minimise the risk of injury to pedestrians and persons operating vehicles</w:t>
      </w:r>
      <w:r w:rsidR="00B62A38">
        <w:t xml:space="preserve"> or mobile machinery</w:t>
      </w:r>
      <w:r>
        <w:t>.</w:t>
      </w:r>
    </w:p>
    <w:p w14:paraId="132D8A63" w14:textId="51346EAC" w:rsidR="0076339F" w:rsidRDefault="00AC6F7A" w:rsidP="00DB6606">
      <w:r>
        <w:t xml:space="preserve">All prisons shall have in place </w:t>
      </w:r>
      <w:r w:rsidRPr="00866B3A">
        <w:t>vehicle management</w:t>
      </w:r>
      <w:r>
        <w:t xml:space="preserve"> procedures </w:t>
      </w:r>
      <w:r w:rsidR="006F7A12">
        <w:t>to</w:t>
      </w:r>
      <w:r>
        <w:t xml:space="preserve"> </w:t>
      </w:r>
      <w:r w:rsidR="006F7A12">
        <w:t>maintain</w:t>
      </w:r>
      <w:r>
        <w:t xml:space="preserve"> the </w:t>
      </w:r>
      <w:r w:rsidRPr="00866B3A">
        <w:t>operational readiness</w:t>
      </w:r>
      <w:r>
        <w:t xml:space="preserve"> of all prison vehicles </w:t>
      </w:r>
      <w:r w:rsidR="00EE245A">
        <w:t xml:space="preserve">and mobile machinery </w:t>
      </w:r>
      <w:r>
        <w:t>nec</w:t>
      </w:r>
      <w:r w:rsidR="00DB6606">
        <w:t>essary for prison operations.</w:t>
      </w:r>
    </w:p>
    <w:p w14:paraId="413B8AB2" w14:textId="6386968C" w:rsidR="00335823" w:rsidRPr="00335823" w:rsidRDefault="00335823" w:rsidP="006D622C">
      <w:pPr>
        <w:pStyle w:val="Heading1"/>
        <w:spacing w:before="360" w:after="240"/>
      </w:pPr>
      <w:bookmarkStart w:id="3" w:name="_Toc536015227"/>
      <w:bookmarkStart w:id="4" w:name="_Toc223435024"/>
      <w:r w:rsidRPr="00335823">
        <w:t>Standing Orders</w:t>
      </w:r>
      <w:bookmarkEnd w:id="3"/>
      <w:bookmarkEnd w:id="4"/>
    </w:p>
    <w:p w14:paraId="2444B7F1" w14:textId="66F2535B" w:rsidR="00335823" w:rsidRPr="00606760" w:rsidRDefault="00E94C90" w:rsidP="006D622C">
      <w:pPr>
        <w:pStyle w:val="Heading3"/>
        <w:spacing w:before="360" w:after="240"/>
      </w:pPr>
      <w:r w:rsidRPr="00606760">
        <w:t>Superintendents</w:t>
      </w:r>
      <w:r w:rsidR="00335823" w:rsidRPr="00606760">
        <w:t xml:space="preserve"> </w:t>
      </w:r>
      <w:r w:rsidR="00444B9A">
        <w:t>may</w:t>
      </w:r>
      <w:r w:rsidR="00335823" w:rsidRPr="00606760">
        <w:t xml:space="preserve"> </w:t>
      </w:r>
      <w:r w:rsidRPr="00606760">
        <w:t>make and issue</w:t>
      </w:r>
      <w:r w:rsidR="00335823" w:rsidRPr="00606760">
        <w:t xml:space="preserve"> a </w:t>
      </w:r>
      <w:r w:rsidR="003D6014" w:rsidRPr="00606760">
        <w:t xml:space="preserve">written </w:t>
      </w:r>
      <w:r w:rsidR="00335823" w:rsidRPr="00606760">
        <w:t>Standing Order</w:t>
      </w:r>
      <w:r w:rsidRPr="00606760">
        <w:t>,</w:t>
      </w:r>
      <w:r w:rsidR="00335823" w:rsidRPr="00606760">
        <w:t xml:space="preserve"> </w:t>
      </w:r>
      <w:r w:rsidR="003D6014" w:rsidRPr="00606760">
        <w:t xml:space="preserve">aligned with this COPP. The Standing Order shall set out, at the local level, </w:t>
      </w:r>
      <w:r w:rsidR="009A0344" w:rsidRPr="00606760">
        <w:t xml:space="preserve">the </w:t>
      </w:r>
      <w:r w:rsidR="003D6014" w:rsidRPr="00606760">
        <w:t>operational vehicle man</w:t>
      </w:r>
      <w:r w:rsidR="00DB6606">
        <w:t>agement procedures to include:</w:t>
      </w:r>
    </w:p>
    <w:p w14:paraId="7B5153E4" w14:textId="3D8B0028" w:rsidR="00335823" w:rsidRPr="001E67B2" w:rsidRDefault="005538BC" w:rsidP="00E22B94">
      <w:pPr>
        <w:pStyle w:val="ListParagraph"/>
        <w:numPr>
          <w:ilvl w:val="0"/>
          <w:numId w:val="15"/>
        </w:numPr>
        <w:spacing w:before="120"/>
        <w:ind w:left="1077" w:hanging="357"/>
        <w:contextualSpacing w:val="0"/>
        <w:rPr>
          <w:color w:val="000000" w:themeColor="text1"/>
        </w:rPr>
      </w:pPr>
      <w:r w:rsidRPr="001E67B2">
        <w:rPr>
          <w:color w:val="000000" w:themeColor="text1"/>
        </w:rPr>
        <w:t>identified</w:t>
      </w:r>
      <w:r w:rsidR="00335823" w:rsidRPr="001E67B2">
        <w:rPr>
          <w:color w:val="000000" w:themeColor="text1"/>
        </w:rPr>
        <w:t xml:space="preserve"> staff responsibilities for the management and authorised access of </w:t>
      </w:r>
      <w:r w:rsidR="008A747B" w:rsidRPr="001E67B2">
        <w:t xml:space="preserve">prison </w:t>
      </w:r>
      <w:r w:rsidR="00335823" w:rsidRPr="001E67B2">
        <w:rPr>
          <w:color w:val="000000" w:themeColor="text1"/>
        </w:rPr>
        <w:t>vehicles</w:t>
      </w:r>
    </w:p>
    <w:p w14:paraId="61AF05CE" w14:textId="7BED5B0E" w:rsidR="002D31A0" w:rsidRPr="005538BC" w:rsidRDefault="002D31A0" w:rsidP="00E22B94">
      <w:pPr>
        <w:pStyle w:val="ListParagraph"/>
        <w:numPr>
          <w:ilvl w:val="0"/>
          <w:numId w:val="15"/>
        </w:numPr>
        <w:spacing w:before="120"/>
        <w:ind w:left="1077" w:hanging="357"/>
        <w:contextualSpacing w:val="0"/>
        <w:rPr>
          <w:color w:val="000000" w:themeColor="text1"/>
        </w:rPr>
      </w:pPr>
      <w:r>
        <w:rPr>
          <w:color w:val="000000" w:themeColor="text1"/>
        </w:rPr>
        <w:t xml:space="preserve">control and security of authorised prison vehicles stored inside the secure perimeter </w:t>
      </w:r>
    </w:p>
    <w:p w14:paraId="7A0C4CA2" w14:textId="6F0A6CFF" w:rsidR="00335823"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 xml:space="preserve">access and control </w:t>
      </w:r>
      <w:r w:rsidR="003A477F">
        <w:rPr>
          <w:color w:val="000000" w:themeColor="text1"/>
        </w:rPr>
        <w:t>of</w:t>
      </w:r>
      <w:r w:rsidRPr="005538BC">
        <w:rPr>
          <w:color w:val="000000" w:themeColor="text1"/>
        </w:rPr>
        <w:t xml:space="preserve"> all vehicles entering and exiting a prison </w:t>
      </w:r>
    </w:p>
    <w:p w14:paraId="525A1ADB" w14:textId="65C5360C" w:rsidR="00420FE2" w:rsidRPr="005538BC" w:rsidRDefault="00420FE2" w:rsidP="00E22B94">
      <w:pPr>
        <w:pStyle w:val="ListParagraph"/>
        <w:numPr>
          <w:ilvl w:val="0"/>
          <w:numId w:val="15"/>
        </w:numPr>
        <w:spacing w:before="120"/>
        <w:ind w:left="1077" w:hanging="357"/>
        <w:contextualSpacing w:val="0"/>
        <w:rPr>
          <w:color w:val="000000" w:themeColor="text1"/>
        </w:rPr>
      </w:pPr>
      <w:r>
        <w:rPr>
          <w:color w:val="000000" w:themeColor="text1"/>
        </w:rPr>
        <w:t>types of vehicles not to enter or exit the prison during general unlock</w:t>
      </w:r>
    </w:p>
    <w:p w14:paraId="44E4D7F7" w14:textId="7F616C1B" w:rsidR="00335823" w:rsidRPr="005538BC"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vehicle security</w:t>
      </w:r>
      <w:r w:rsidR="009A0344">
        <w:rPr>
          <w:color w:val="000000" w:themeColor="text1"/>
        </w:rPr>
        <w:t>,</w:t>
      </w:r>
      <w:r w:rsidRPr="005538BC">
        <w:rPr>
          <w:color w:val="000000" w:themeColor="text1"/>
        </w:rPr>
        <w:t xml:space="preserve"> </w:t>
      </w:r>
      <w:r w:rsidR="009A0344">
        <w:rPr>
          <w:color w:val="000000" w:themeColor="text1"/>
        </w:rPr>
        <w:t>including</w:t>
      </w:r>
      <w:r w:rsidRPr="005538BC">
        <w:rPr>
          <w:color w:val="000000" w:themeColor="text1"/>
        </w:rPr>
        <w:t xml:space="preserve"> parking of vehicles and </w:t>
      </w:r>
      <w:r w:rsidR="00101452" w:rsidRPr="005538BC">
        <w:rPr>
          <w:color w:val="000000" w:themeColor="text1"/>
        </w:rPr>
        <w:t>storage</w:t>
      </w:r>
      <w:r w:rsidR="00101452">
        <w:rPr>
          <w:color w:val="000000" w:themeColor="text1"/>
        </w:rPr>
        <w:t xml:space="preserve"> of</w:t>
      </w:r>
      <w:r w:rsidR="00101452" w:rsidRPr="005538BC">
        <w:rPr>
          <w:color w:val="000000" w:themeColor="text1"/>
        </w:rPr>
        <w:t xml:space="preserve"> </w:t>
      </w:r>
      <w:r w:rsidRPr="005538BC">
        <w:rPr>
          <w:color w:val="000000" w:themeColor="text1"/>
        </w:rPr>
        <w:t>vehicle keys</w:t>
      </w:r>
    </w:p>
    <w:p w14:paraId="1A3DF4FA" w14:textId="77777777" w:rsidR="005538BC" w:rsidRPr="005538BC" w:rsidRDefault="005538BC" w:rsidP="00E22B94">
      <w:pPr>
        <w:pStyle w:val="ListParagraph"/>
        <w:numPr>
          <w:ilvl w:val="0"/>
          <w:numId w:val="15"/>
        </w:numPr>
        <w:spacing w:before="120"/>
        <w:ind w:left="1077" w:hanging="357"/>
        <w:contextualSpacing w:val="0"/>
        <w:rPr>
          <w:color w:val="000000" w:themeColor="text1"/>
        </w:rPr>
      </w:pPr>
      <w:r w:rsidRPr="005538BC">
        <w:rPr>
          <w:color w:val="000000" w:themeColor="text1"/>
        </w:rPr>
        <w:t>identification of all roads within the respective prison site that can be defined as a ‘public road’</w:t>
      </w:r>
    </w:p>
    <w:p w14:paraId="55EBD0EB" w14:textId="435C2A74" w:rsidR="00335823" w:rsidRPr="005538BC"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 xml:space="preserve">maintenance and inspection of </w:t>
      </w:r>
      <w:r w:rsidR="009A0344">
        <w:rPr>
          <w:color w:val="000000" w:themeColor="text1"/>
        </w:rPr>
        <w:t>prison</w:t>
      </w:r>
      <w:r w:rsidRPr="005538BC">
        <w:rPr>
          <w:color w:val="000000" w:themeColor="text1"/>
        </w:rPr>
        <w:t xml:space="preserve"> vehicles</w:t>
      </w:r>
      <w:r w:rsidR="009A0344">
        <w:rPr>
          <w:color w:val="000000" w:themeColor="text1"/>
        </w:rPr>
        <w:t xml:space="preserve"> </w:t>
      </w:r>
    </w:p>
    <w:p w14:paraId="52BAA6C1" w14:textId="0DA2D3AE" w:rsidR="00335823" w:rsidRPr="005538BC" w:rsidRDefault="00335823" w:rsidP="00E22B94">
      <w:pPr>
        <w:pStyle w:val="ListParagraph"/>
        <w:numPr>
          <w:ilvl w:val="0"/>
          <w:numId w:val="15"/>
        </w:numPr>
        <w:spacing w:before="120"/>
        <w:ind w:left="1077" w:hanging="357"/>
        <w:contextualSpacing w:val="0"/>
        <w:rPr>
          <w:color w:val="000000" w:themeColor="text1"/>
        </w:rPr>
      </w:pPr>
      <w:r w:rsidRPr="005538BC">
        <w:rPr>
          <w:color w:val="000000" w:themeColor="text1"/>
        </w:rPr>
        <w:t xml:space="preserve">recording and maintenance of vehicle </w:t>
      </w:r>
      <w:r w:rsidR="00D06183" w:rsidRPr="005538BC">
        <w:rPr>
          <w:color w:val="000000" w:themeColor="text1"/>
        </w:rPr>
        <w:t>logbooks</w:t>
      </w:r>
      <w:r w:rsidRPr="005538BC">
        <w:rPr>
          <w:color w:val="000000" w:themeColor="text1"/>
        </w:rPr>
        <w:t xml:space="preserve"> </w:t>
      </w:r>
    </w:p>
    <w:p w14:paraId="5D9C1CB8" w14:textId="5B53D807" w:rsidR="00335823" w:rsidRDefault="00335823" w:rsidP="002D1C44">
      <w:pPr>
        <w:pStyle w:val="ListParagraph"/>
        <w:numPr>
          <w:ilvl w:val="0"/>
          <w:numId w:val="15"/>
        </w:numPr>
        <w:spacing w:before="120"/>
        <w:ind w:left="1077" w:hanging="357"/>
        <w:contextualSpacing w:val="0"/>
        <w:rPr>
          <w:color w:val="000000" w:themeColor="text1"/>
        </w:rPr>
      </w:pPr>
      <w:r w:rsidRPr="005538BC">
        <w:rPr>
          <w:color w:val="000000" w:themeColor="text1"/>
        </w:rPr>
        <w:lastRenderedPageBreak/>
        <w:t xml:space="preserve">control </w:t>
      </w:r>
      <w:r w:rsidR="001D54E2" w:rsidRPr="005538BC">
        <w:rPr>
          <w:color w:val="000000" w:themeColor="text1"/>
        </w:rPr>
        <w:t xml:space="preserve">and </w:t>
      </w:r>
      <w:r w:rsidR="001D54E2">
        <w:rPr>
          <w:color w:val="000000" w:themeColor="text1"/>
        </w:rPr>
        <w:t>security</w:t>
      </w:r>
      <w:r w:rsidR="001D54E2" w:rsidRPr="005538BC">
        <w:rPr>
          <w:color w:val="000000" w:themeColor="text1"/>
        </w:rPr>
        <w:t xml:space="preserve"> </w:t>
      </w:r>
      <w:r w:rsidRPr="005538BC">
        <w:rPr>
          <w:color w:val="000000" w:themeColor="text1"/>
        </w:rPr>
        <w:t>of non-</w:t>
      </w:r>
      <w:r w:rsidR="009A0344">
        <w:rPr>
          <w:color w:val="000000" w:themeColor="text1"/>
        </w:rPr>
        <w:t>prison</w:t>
      </w:r>
      <w:r w:rsidRPr="005538BC">
        <w:rPr>
          <w:color w:val="000000" w:themeColor="text1"/>
        </w:rPr>
        <w:t xml:space="preserve"> vehicles</w:t>
      </w:r>
    </w:p>
    <w:p w14:paraId="1D55C0A9" w14:textId="77777777" w:rsidR="00335823" w:rsidRPr="005538BC" w:rsidRDefault="00335823" w:rsidP="00301AC2">
      <w:pPr>
        <w:pStyle w:val="ListParagraph"/>
        <w:numPr>
          <w:ilvl w:val="0"/>
          <w:numId w:val="15"/>
        </w:numPr>
        <w:spacing w:before="120"/>
        <w:ind w:left="1077" w:hanging="357"/>
        <w:contextualSpacing w:val="0"/>
        <w:rPr>
          <w:color w:val="000000" w:themeColor="text1"/>
        </w:rPr>
      </w:pPr>
      <w:r w:rsidRPr="005538BC">
        <w:rPr>
          <w:color w:val="000000" w:themeColor="text1"/>
        </w:rPr>
        <w:t>use of firefighting vehicles, where applicable</w:t>
      </w:r>
    </w:p>
    <w:p w14:paraId="7DCCE716" w14:textId="77777777" w:rsidR="00335823" w:rsidRPr="005538BC" w:rsidRDefault="00335823">
      <w:pPr>
        <w:pStyle w:val="ListParagraph"/>
        <w:numPr>
          <w:ilvl w:val="0"/>
          <w:numId w:val="15"/>
        </w:numPr>
        <w:spacing w:before="120"/>
        <w:ind w:left="1077" w:hanging="357"/>
        <w:contextualSpacing w:val="0"/>
        <w:rPr>
          <w:color w:val="000000" w:themeColor="text1"/>
        </w:rPr>
      </w:pPr>
      <w:r w:rsidRPr="005538BC">
        <w:rPr>
          <w:color w:val="000000" w:themeColor="text1"/>
        </w:rPr>
        <w:t>control and management of</w:t>
      </w:r>
      <w:r w:rsidR="005538BC" w:rsidRPr="005538BC">
        <w:rPr>
          <w:color w:val="000000" w:themeColor="text1"/>
        </w:rPr>
        <w:t xml:space="preserve"> farm vehicles, where applicabl</w:t>
      </w:r>
      <w:r w:rsidR="00E94C90">
        <w:rPr>
          <w:color w:val="000000" w:themeColor="text1"/>
        </w:rPr>
        <w:t>e</w:t>
      </w:r>
    </w:p>
    <w:p w14:paraId="5522BF85" w14:textId="04D1C471" w:rsidR="0076339F" w:rsidRDefault="00335823" w:rsidP="00DB6606">
      <w:pPr>
        <w:pStyle w:val="ListParagraph"/>
        <w:numPr>
          <w:ilvl w:val="0"/>
          <w:numId w:val="15"/>
        </w:numPr>
        <w:spacing w:before="120"/>
        <w:ind w:left="1077" w:hanging="357"/>
        <w:contextualSpacing w:val="0"/>
        <w:rPr>
          <w:color w:val="000000" w:themeColor="text1"/>
        </w:rPr>
      </w:pPr>
      <w:r w:rsidRPr="005538BC">
        <w:rPr>
          <w:color w:val="000000" w:themeColor="text1"/>
        </w:rPr>
        <w:t>prisoner use of vehicles</w:t>
      </w:r>
      <w:r w:rsidR="009B67F9">
        <w:rPr>
          <w:color w:val="000000" w:themeColor="text1"/>
        </w:rPr>
        <w:t xml:space="preserve"> and mobile machinery</w:t>
      </w:r>
      <w:r w:rsidR="005538BC" w:rsidRPr="005538BC">
        <w:rPr>
          <w:color w:val="000000" w:themeColor="text1"/>
        </w:rPr>
        <w:t>, where applicable</w:t>
      </w:r>
      <w:r w:rsidRPr="005538BC">
        <w:rPr>
          <w:color w:val="000000" w:themeColor="text1"/>
        </w:rPr>
        <w:t>.</w:t>
      </w:r>
    </w:p>
    <w:p w14:paraId="318B967A" w14:textId="77777777" w:rsidR="000C5292" w:rsidRPr="00DB6606" w:rsidRDefault="000C5292" w:rsidP="000C5292">
      <w:pPr>
        <w:pStyle w:val="ListParagraph"/>
        <w:numPr>
          <w:ilvl w:val="0"/>
          <w:numId w:val="15"/>
        </w:numPr>
        <w:spacing w:before="120"/>
        <w:ind w:left="1077" w:hanging="357"/>
        <w:contextualSpacing w:val="0"/>
        <w:rPr>
          <w:color w:val="000000" w:themeColor="text1"/>
        </w:rPr>
      </w:pPr>
      <w:r>
        <w:rPr>
          <w:color w:val="000000" w:themeColor="text1"/>
        </w:rPr>
        <w:t>management and storage of any related records</w:t>
      </w:r>
      <w:r w:rsidRPr="005538BC">
        <w:rPr>
          <w:color w:val="000000" w:themeColor="text1"/>
        </w:rPr>
        <w:t>.</w:t>
      </w:r>
    </w:p>
    <w:p w14:paraId="2E870D26" w14:textId="77777777" w:rsidR="00335823" w:rsidRDefault="00335823" w:rsidP="006D622C">
      <w:pPr>
        <w:pStyle w:val="Heading1"/>
        <w:spacing w:before="360" w:after="240"/>
      </w:pPr>
      <w:bookmarkStart w:id="5" w:name="_Toc536015228"/>
      <w:bookmarkStart w:id="6" w:name="_Toc223435025"/>
      <w:r w:rsidRPr="00335823">
        <w:t>General Requirements</w:t>
      </w:r>
      <w:bookmarkEnd w:id="5"/>
      <w:bookmarkEnd w:id="6"/>
    </w:p>
    <w:p w14:paraId="4337C04E" w14:textId="77777777" w:rsidR="006377BC" w:rsidRPr="00606760" w:rsidRDefault="00335823" w:rsidP="006D622C">
      <w:pPr>
        <w:pStyle w:val="Heading3"/>
        <w:spacing w:before="360" w:after="240"/>
      </w:pPr>
      <w:r w:rsidRPr="00606760">
        <w:t>Staff are responsible for the care and control of the vehicle they are operating.</w:t>
      </w:r>
    </w:p>
    <w:p w14:paraId="20E64A0C" w14:textId="4FD70910" w:rsidR="006377BC" w:rsidRPr="00606760" w:rsidRDefault="006377BC" w:rsidP="00DB6606">
      <w:pPr>
        <w:pStyle w:val="Heading3"/>
      </w:pPr>
      <w:r w:rsidRPr="00606760">
        <w:t xml:space="preserve">The use of </w:t>
      </w:r>
      <w:r w:rsidR="00B41068" w:rsidRPr="00606760">
        <w:t xml:space="preserve">all </w:t>
      </w:r>
      <w:r w:rsidRPr="00606760">
        <w:t xml:space="preserve">prison vehicles </w:t>
      </w:r>
      <w:r w:rsidR="00B41068" w:rsidRPr="00606760">
        <w:t xml:space="preserve">managed by the Department </w:t>
      </w:r>
      <w:r w:rsidRPr="00606760">
        <w:t xml:space="preserve">in public prisons </w:t>
      </w:r>
      <w:r w:rsidR="00C106F1" w:rsidRPr="00606760">
        <w:t>shall be</w:t>
      </w:r>
      <w:r w:rsidR="00B41068" w:rsidRPr="00606760">
        <w:t xml:space="preserve"> </w:t>
      </w:r>
      <w:r w:rsidRPr="00606760">
        <w:t xml:space="preserve">in accordance with </w:t>
      </w:r>
      <w:r w:rsidR="00C106F1" w:rsidRPr="00606760">
        <w:t xml:space="preserve">the </w:t>
      </w:r>
      <w:hyperlink r:id="rId16" w:history="1">
        <w:r w:rsidR="00C106F1" w:rsidRPr="006126DF">
          <w:rPr>
            <w:rStyle w:val="Hyperlink"/>
          </w:rPr>
          <w:t>WA Government Fleet</w:t>
        </w:r>
        <w:r w:rsidR="004C3213" w:rsidRPr="006126DF">
          <w:rPr>
            <w:rStyle w:val="Hyperlink"/>
          </w:rPr>
          <w:t xml:space="preserve"> </w:t>
        </w:r>
        <w:r w:rsidR="00C106F1" w:rsidRPr="006126DF">
          <w:rPr>
            <w:rStyle w:val="Hyperlink"/>
          </w:rPr>
          <w:t>Policy and Guidelines</w:t>
        </w:r>
      </w:hyperlink>
      <w:r w:rsidR="00C106F1" w:rsidRPr="00606760">
        <w:t xml:space="preserve">.   </w:t>
      </w:r>
    </w:p>
    <w:p w14:paraId="0E10246E" w14:textId="656F2A0A" w:rsidR="00335823" w:rsidRPr="00606760" w:rsidRDefault="00335823" w:rsidP="00DB6606">
      <w:pPr>
        <w:pStyle w:val="Heading3"/>
      </w:pPr>
      <w:r w:rsidRPr="00606760">
        <w:t>The following general requirements</w:t>
      </w:r>
      <w:r w:rsidR="00C106F1" w:rsidRPr="00606760">
        <w:t xml:space="preserve"> for all prisons</w:t>
      </w:r>
      <w:r w:rsidRPr="00606760">
        <w:t xml:space="preserve"> shall be adhered to:</w:t>
      </w:r>
    </w:p>
    <w:p w14:paraId="1C52373A" w14:textId="1AEC3BF7" w:rsidR="00335823" w:rsidRPr="005538BC" w:rsidRDefault="00101452" w:rsidP="00972C21">
      <w:pPr>
        <w:pStyle w:val="ListParagraph"/>
        <w:numPr>
          <w:ilvl w:val="0"/>
          <w:numId w:val="26"/>
        </w:numPr>
        <w:spacing w:before="120"/>
        <w:ind w:left="1077" w:hanging="357"/>
        <w:contextualSpacing w:val="0"/>
        <w:rPr>
          <w:color w:val="000000" w:themeColor="text1"/>
        </w:rPr>
      </w:pPr>
      <w:r>
        <w:rPr>
          <w:color w:val="000000" w:themeColor="text1"/>
        </w:rPr>
        <w:t xml:space="preserve">all </w:t>
      </w:r>
      <w:r w:rsidR="00335823">
        <w:rPr>
          <w:color w:val="000000" w:themeColor="text1"/>
        </w:rPr>
        <w:t>a</w:t>
      </w:r>
      <w:r w:rsidR="00335823" w:rsidRPr="00032815">
        <w:rPr>
          <w:color w:val="000000" w:themeColor="text1"/>
        </w:rPr>
        <w:t xml:space="preserve">uthorised drivers must hold a </w:t>
      </w:r>
      <w:r w:rsidR="006377BC">
        <w:rPr>
          <w:color w:val="000000" w:themeColor="text1"/>
        </w:rPr>
        <w:t xml:space="preserve">relevant and </w:t>
      </w:r>
      <w:r w:rsidR="00335823" w:rsidRPr="00032815">
        <w:rPr>
          <w:color w:val="000000" w:themeColor="text1"/>
        </w:rPr>
        <w:t>valid licence</w:t>
      </w:r>
      <w:r w:rsidR="006377BC">
        <w:rPr>
          <w:color w:val="000000" w:themeColor="text1"/>
        </w:rPr>
        <w:t xml:space="preserve"> for the vehicle they are operating</w:t>
      </w:r>
      <w:r w:rsidR="00335823" w:rsidRPr="00032815">
        <w:rPr>
          <w:color w:val="000000" w:themeColor="text1"/>
        </w:rPr>
        <w:t xml:space="preserve"> </w:t>
      </w:r>
    </w:p>
    <w:p w14:paraId="191D6671" w14:textId="1AE77790" w:rsidR="00335823" w:rsidRPr="001E67B2" w:rsidRDefault="00E94C90" w:rsidP="00972C21">
      <w:pPr>
        <w:pStyle w:val="ListParagraph"/>
        <w:numPr>
          <w:ilvl w:val="0"/>
          <w:numId w:val="26"/>
        </w:numPr>
        <w:spacing w:before="120"/>
        <w:ind w:left="1077" w:hanging="357"/>
        <w:contextualSpacing w:val="0"/>
        <w:rPr>
          <w:color w:val="000000" w:themeColor="text1"/>
        </w:rPr>
      </w:pPr>
      <w:r w:rsidRPr="001E67B2">
        <w:rPr>
          <w:color w:val="000000" w:themeColor="text1"/>
        </w:rPr>
        <w:t>v</w:t>
      </w:r>
      <w:r w:rsidR="00335823" w:rsidRPr="001E67B2">
        <w:rPr>
          <w:color w:val="000000" w:themeColor="text1"/>
        </w:rPr>
        <w:t xml:space="preserve">ehicles </w:t>
      </w:r>
      <w:r w:rsidR="009A0344" w:rsidRPr="001E67B2">
        <w:rPr>
          <w:color w:val="000000" w:themeColor="text1"/>
        </w:rPr>
        <w:t xml:space="preserve">used within the prison </w:t>
      </w:r>
      <w:r w:rsidRPr="001E67B2">
        <w:rPr>
          <w:color w:val="000000" w:themeColor="text1"/>
        </w:rPr>
        <w:t>are</w:t>
      </w:r>
      <w:r w:rsidR="009A0344" w:rsidRPr="001E67B2">
        <w:rPr>
          <w:color w:val="000000" w:themeColor="text1"/>
        </w:rPr>
        <w:t xml:space="preserve"> only </w:t>
      </w:r>
      <w:r w:rsidR="00335823" w:rsidRPr="001E67B2">
        <w:rPr>
          <w:color w:val="000000" w:themeColor="text1"/>
        </w:rPr>
        <w:t xml:space="preserve">operated by approved </w:t>
      </w:r>
      <w:r w:rsidR="00D60A5A" w:rsidRPr="001E67B2">
        <w:rPr>
          <w:color w:val="000000" w:themeColor="text1"/>
        </w:rPr>
        <w:t>staff</w:t>
      </w:r>
      <w:r w:rsidR="00335823" w:rsidRPr="001E67B2">
        <w:rPr>
          <w:color w:val="000000" w:themeColor="text1"/>
        </w:rPr>
        <w:t xml:space="preserve"> </w:t>
      </w:r>
      <w:r w:rsidRPr="001E67B2">
        <w:rPr>
          <w:color w:val="000000" w:themeColor="text1"/>
        </w:rPr>
        <w:t>in accordance with the prison</w:t>
      </w:r>
      <w:r w:rsidR="004B4485" w:rsidRPr="001E67B2">
        <w:rPr>
          <w:color w:val="000000" w:themeColor="text1"/>
        </w:rPr>
        <w:t>’</w:t>
      </w:r>
      <w:r w:rsidR="009A0344" w:rsidRPr="001E67B2">
        <w:rPr>
          <w:color w:val="000000" w:themeColor="text1"/>
        </w:rPr>
        <w:t>s</w:t>
      </w:r>
      <w:r w:rsidRPr="001E67B2">
        <w:rPr>
          <w:color w:val="000000" w:themeColor="text1"/>
        </w:rPr>
        <w:t xml:space="preserve"> Standing Order </w:t>
      </w:r>
    </w:p>
    <w:p w14:paraId="17EFC3A3" w14:textId="77777777" w:rsidR="00335823" w:rsidRPr="00D85573" w:rsidRDefault="00E94C90" w:rsidP="00972C21">
      <w:pPr>
        <w:pStyle w:val="ListParagraph"/>
        <w:numPr>
          <w:ilvl w:val="0"/>
          <w:numId w:val="26"/>
        </w:numPr>
        <w:spacing w:before="120"/>
        <w:ind w:left="1077" w:hanging="357"/>
        <w:contextualSpacing w:val="0"/>
        <w:rPr>
          <w:color w:val="000000" w:themeColor="text1"/>
        </w:rPr>
      </w:pPr>
      <w:r w:rsidRPr="00D85573">
        <w:rPr>
          <w:color w:val="000000" w:themeColor="text1"/>
        </w:rPr>
        <w:t>a</w:t>
      </w:r>
      <w:r w:rsidR="00335823" w:rsidRPr="00D85573">
        <w:rPr>
          <w:color w:val="000000" w:themeColor="text1"/>
        </w:rPr>
        <w:t xml:space="preserve">ll prison vehicles </w:t>
      </w:r>
      <w:r w:rsidRPr="00D85573">
        <w:rPr>
          <w:color w:val="000000" w:themeColor="text1"/>
        </w:rPr>
        <w:t>are</w:t>
      </w:r>
      <w:r w:rsidR="00335823" w:rsidRPr="00D85573">
        <w:rPr>
          <w:color w:val="000000" w:themeColor="text1"/>
        </w:rPr>
        <w:t xml:space="preserve"> regularly maintained and prepared for travel by the </w:t>
      </w:r>
      <w:r w:rsidRPr="00D85573">
        <w:rPr>
          <w:color w:val="000000" w:themeColor="text1"/>
        </w:rPr>
        <w:t>staff member designated responsibility</w:t>
      </w:r>
    </w:p>
    <w:p w14:paraId="46364BFD" w14:textId="29527E22" w:rsidR="00335823" w:rsidRPr="001E67B2" w:rsidRDefault="00D60A5A" w:rsidP="00972C21">
      <w:pPr>
        <w:pStyle w:val="ListParagraph"/>
        <w:numPr>
          <w:ilvl w:val="0"/>
          <w:numId w:val="26"/>
        </w:numPr>
        <w:spacing w:before="120"/>
        <w:ind w:left="1077" w:hanging="357"/>
        <w:contextualSpacing w:val="0"/>
      </w:pPr>
      <w:r w:rsidRPr="001E67B2">
        <w:rPr>
          <w:color w:val="000000" w:themeColor="text1"/>
        </w:rPr>
        <w:t>a</w:t>
      </w:r>
      <w:r w:rsidR="00335823" w:rsidRPr="001E67B2">
        <w:rPr>
          <w:color w:val="000000" w:themeColor="text1"/>
        </w:rPr>
        <w:t>ll vehicles entering a prison shall proceed</w:t>
      </w:r>
      <w:r w:rsidRPr="001E67B2">
        <w:rPr>
          <w:color w:val="000000" w:themeColor="text1"/>
        </w:rPr>
        <w:t xml:space="preserve"> and be operated</w:t>
      </w:r>
      <w:r w:rsidR="00335823" w:rsidRPr="001E67B2">
        <w:rPr>
          <w:color w:val="000000" w:themeColor="text1"/>
        </w:rPr>
        <w:t xml:space="preserve"> in accordance with</w:t>
      </w:r>
      <w:r w:rsidR="00B64A9B" w:rsidRPr="001E67B2">
        <w:rPr>
          <w:color w:val="000000" w:themeColor="text1"/>
        </w:rPr>
        <w:t xml:space="preserve"> this COPP and</w:t>
      </w:r>
      <w:r w:rsidRPr="001E67B2">
        <w:rPr>
          <w:color w:val="000000" w:themeColor="text1"/>
        </w:rPr>
        <w:t xml:space="preserve"> the prison</w:t>
      </w:r>
      <w:r w:rsidR="004B4485" w:rsidRPr="001E67B2">
        <w:rPr>
          <w:color w:val="000000" w:themeColor="text1"/>
        </w:rPr>
        <w:t>’</w:t>
      </w:r>
      <w:r w:rsidRPr="001E67B2">
        <w:rPr>
          <w:color w:val="000000" w:themeColor="text1"/>
        </w:rPr>
        <w:t xml:space="preserve">s Standing Order </w:t>
      </w:r>
    </w:p>
    <w:p w14:paraId="2C0E09F2" w14:textId="77777777" w:rsidR="00335823" w:rsidRPr="00E94C90" w:rsidRDefault="00D60A5A" w:rsidP="00972C21">
      <w:pPr>
        <w:pStyle w:val="ListParagraph"/>
        <w:numPr>
          <w:ilvl w:val="0"/>
          <w:numId w:val="26"/>
        </w:numPr>
        <w:spacing w:before="120"/>
        <w:ind w:left="1077" w:hanging="357"/>
        <w:contextualSpacing w:val="0"/>
        <w:rPr>
          <w:color w:val="000000" w:themeColor="text1"/>
        </w:rPr>
      </w:pPr>
      <w:r>
        <w:rPr>
          <w:color w:val="000000" w:themeColor="text1"/>
        </w:rPr>
        <w:t>p</w:t>
      </w:r>
      <w:r w:rsidR="00335823" w:rsidRPr="004B5698">
        <w:rPr>
          <w:color w:val="000000" w:themeColor="text1"/>
        </w:rPr>
        <w:t>rison farm staff are responsible for the farm vehicles under their control</w:t>
      </w:r>
    </w:p>
    <w:p w14:paraId="31A04502" w14:textId="643B32D7" w:rsidR="00335823" w:rsidRPr="00E94C90" w:rsidRDefault="00D60A5A" w:rsidP="00972C21">
      <w:pPr>
        <w:pStyle w:val="ListParagraph"/>
        <w:numPr>
          <w:ilvl w:val="0"/>
          <w:numId w:val="26"/>
        </w:numPr>
        <w:spacing w:before="120"/>
        <w:ind w:left="1077" w:hanging="357"/>
        <w:contextualSpacing w:val="0"/>
        <w:rPr>
          <w:color w:val="000000" w:themeColor="text1"/>
        </w:rPr>
      </w:pPr>
      <w:r>
        <w:rPr>
          <w:color w:val="000000" w:themeColor="text1"/>
        </w:rPr>
        <w:t>a</w:t>
      </w:r>
      <w:r w:rsidR="00335823" w:rsidRPr="00E94C90">
        <w:rPr>
          <w:color w:val="000000" w:themeColor="text1"/>
        </w:rPr>
        <w:t>ny vehicle or piece of mobile machinery (</w:t>
      </w:r>
      <w:r w:rsidR="00DB6606">
        <w:rPr>
          <w:color w:val="000000" w:themeColor="text1"/>
        </w:rPr>
        <w:t>eg</w:t>
      </w:r>
      <w:r w:rsidR="00335823" w:rsidRPr="00E94C90">
        <w:rPr>
          <w:color w:val="000000" w:themeColor="text1"/>
        </w:rPr>
        <w:t xml:space="preserve"> tractor, forklift, quad bike) must be appropriately licensed and/or registered before being used on a public road</w:t>
      </w:r>
    </w:p>
    <w:p w14:paraId="73160746" w14:textId="051A3455" w:rsidR="00AE70E8" w:rsidRPr="00DB6606" w:rsidRDefault="00D60A5A" w:rsidP="00DB6606">
      <w:pPr>
        <w:pStyle w:val="ListParagraph"/>
        <w:numPr>
          <w:ilvl w:val="0"/>
          <w:numId w:val="26"/>
        </w:numPr>
        <w:spacing w:before="120"/>
        <w:ind w:left="1077" w:hanging="357"/>
        <w:contextualSpacing w:val="0"/>
        <w:rPr>
          <w:color w:val="000000" w:themeColor="text1"/>
        </w:rPr>
      </w:pPr>
      <w:r>
        <w:rPr>
          <w:color w:val="000000" w:themeColor="text1"/>
        </w:rPr>
        <w:t xml:space="preserve">staff </w:t>
      </w:r>
      <w:r w:rsidR="002A4392">
        <w:rPr>
          <w:color w:val="000000" w:themeColor="text1"/>
        </w:rPr>
        <w:t xml:space="preserve">responsible for </w:t>
      </w:r>
      <w:r w:rsidR="00085F41">
        <w:rPr>
          <w:color w:val="000000" w:themeColor="text1"/>
        </w:rPr>
        <w:t xml:space="preserve">those </w:t>
      </w:r>
      <w:r w:rsidR="00335823" w:rsidRPr="004B5698">
        <w:rPr>
          <w:color w:val="000000" w:themeColor="text1"/>
        </w:rPr>
        <w:t>prisoner</w:t>
      </w:r>
      <w:r w:rsidR="002A4392">
        <w:rPr>
          <w:color w:val="000000" w:themeColor="text1"/>
        </w:rPr>
        <w:t>s</w:t>
      </w:r>
      <w:r w:rsidR="00335823" w:rsidRPr="004B5698">
        <w:rPr>
          <w:color w:val="000000" w:themeColor="text1"/>
        </w:rPr>
        <w:t xml:space="preserve"> permitted to </w:t>
      </w:r>
      <w:r w:rsidR="009A0344">
        <w:rPr>
          <w:color w:val="000000" w:themeColor="text1"/>
        </w:rPr>
        <w:t>operate a</w:t>
      </w:r>
      <w:r w:rsidR="00335823" w:rsidRPr="004B5698">
        <w:rPr>
          <w:color w:val="000000" w:themeColor="text1"/>
        </w:rPr>
        <w:t xml:space="preserve"> vehicle or mobile machinery </w:t>
      </w:r>
      <w:r w:rsidR="004B4485">
        <w:rPr>
          <w:color w:val="000000" w:themeColor="text1"/>
        </w:rPr>
        <w:t xml:space="preserve">shall </w:t>
      </w:r>
      <w:r w:rsidR="002A4392">
        <w:rPr>
          <w:color w:val="000000" w:themeColor="text1"/>
        </w:rPr>
        <w:t xml:space="preserve">ensure </w:t>
      </w:r>
      <w:r w:rsidR="004B4485">
        <w:rPr>
          <w:color w:val="000000" w:themeColor="text1"/>
        </w:rPr>
        <w:t xml:space="preserve">their </w:t>
      </w:r>
      <w:r w:rsidR="002A4392">
        <w:rPr>
          <w:color w:val="000000" w:themeColor="text1"/>
        </w:rPr>
        <w:t>understanding of all procedures and responsibilities for the vehicle</w:t>
      </w:r>
      <w:r w:rsidR="009B67F9">
        <w:rPr>
          <w:color w:val="000000" w:themeColor="text1"/>
        </w:rPr>
        <w:t xml:space="preserve"> or mobile machinery</w:t>
      </w:r>
      <w:r w:rsidR="00335823" w:rsidRPr="004B5698">
        <w:rPr>
          <w:color w:val="000000" w:themeColor="text1"/>
        </w:rPr>
        <w:t>.</w:t>
      </w:r>
    </w:p>
    <w:p w14:paraId="25775CD1" w14:textId="1D7AA805" w:rsidR="00B64A9B" w:rsidRDefault="00B64A9B" w:rsidP="006D622C">
      <w:pPr>
        <w:pStyle w:val="Heading1"/>
        <w:spacing w:before="360" w:after="240"/>
      </w:pPr>
      <w:bookmarkStart w:id="7" w:name="_Toc413567301"/>
      <w:bookmarkStart w:id="8" w:name="_Toc5282613"/>
      <w:bookmarkStart w:id="9" w:name="_Toc5370278"/>
      <w:bookmarkStart w:id="10" w:name="_Toc223435026"/>
      <w:bookmarkStart w:id="11" w:name="_Toc407012935"/>
      <w:bookmarkStart w:id="12" w:name="_Toc536015236"/>
      <w:bookmarkStart w:id="13" w:name="_Toc536015229"/>
      <w:r>
        <w:t>Vehicle Control</w:t>
      </w:r>
      <w:bookmarkEnd w:id="7"/>
      <w:r>
        <w:t xml:space="preserve">, </w:t>
      </w:r>
      <w:r w:rsidR="006D622C">
        <w:t>I</w:t>
      </w:r>
      <w:r>
        <w:t>ncluding the Sally Port</w:t>
      </w:r>
      <w:bookmarkEnd w:id="8"/>
      <w:bookmarkEnd w:id="9"/>
      <w:bookmarkEnd w:id="10"/>
    </w:p>
    <w:p w14:paraId="19DACA9B" w14:textId="799B62D0" w:rsidR="00181DE7" w:rsidRDefault="00181DE7" w:rsidP="006D622C">
      <w:pPr>
        <w:pStyle w:val="Heading2"/>
      </w:pPr>
      <w:bookmarkStart w:id="14" w:name="_Dash_cameras_or"/>
      <w:bookmarkStart w:id="15" w:name="_Toc223435027"/>
      <w:bookmarkStart w:id="16" w:name="_Toc413567302"/>
      <w:bookmarkStart w:id="17" w:name="_Toc5282614"/>
      <w:bookmarkStart w:id="18" w:name="_Toc5370279"/>
      <w:bookmarkEnd w:id="14"/>
      <w:r>
        <w:t>Dash cameras or similar vehicle mounted cameras</w:t>
      </w:r>
      <w:bookmarkEnd w:id="15"/>
    </w:p>
    <w:p w14:paraId="443FB31C" w14:textId="4D042478" w:rsidR="00181DE7" w:rsidRDefault="00181DE7" w:rsidP="006D622C">
      <w:pPr>
        <w:pStyle w:val="Heading3"/>
        <w:spacing w:before="240"/>
        <w:ind w:left="742" w:hanging="742"/>
      </w:pPr>
      <w:r>
        <w:t xml:space="preserve">Where a vehicle has a recording device, for example, a dash camera or other vehicle mounted camera the </w:t>
      </w:r>
      <w:r w:rsidRPr="00606760">
        <w:t>Senior Officer (SO) Gatehouse</w:t>
      </w:r>
      <w:r>
        <w:t xml:space="preserve"> shall:</w:t>
      </w:r>
    </w:p>
    <w:p w14:paraId="59C3222C" w14:textId="3578B770" w:rsidR="00181DE7" w:rsidRDefault="003D6E7D" w:rsidP="00282B8D">
      <w:pPr>
        <w:pStyle w:val="ListParagraph"/>
        <w:numPr>
          <w:ilvl w:val="0"/>
          <w:numId w:val="33"/>
        </w:numPr>
        <w:tabs>
          <w:tab w:val="left" w:pos="1134"/>
        </w:tabs>
        <w:ind w:left="1134" w:hanging="425"/>
      </w:pPr>
      <w:r>
        <w:t>i</w:t>
      </w:r>
      <w:r w:rsidR="00181DE7">
        <w:t xml:space="preserve">nform the </w:t>
      </w:r>
      <w:r w:rsidR="00067F85">
        <w:t xml:space="preserve">vehicle driver </w:t>
      </w:r>
      <w:r w:rsidR="00181DE7">
        <w:t xml:space="preserve">the camera is not to be switched on </w:t>
      </w:r>
      <w:r w:rsidR="00811348">
        <w:t>and/</w:t>
      </w:r>
      <w:r w:rsidR="00181DE7">
        <w:t xml:space="preserve">or recording </w:t>
      </w:r>
      <w:r w:rsidR="00067F85">
        <w:t xml:space="preserve">on </w:t>
      </w:r>
      <w:r w:rsidR="00181DE7">
        <w:t>prison grounds</w:t>
      </w:r>
    </w:p>
    <w:p w14:paraId="241D235A" w14:textId="732215F5" w:rsidR="00306CF2" w:rsidRPr="00306CF2" w:rsidRDefault="00181DE7" w:rsidP="00306CF2">
      <w:pPr>
        <w:pStyle w:val="ListParagraph"/>
        <w:numPr>
          <w:ilvl w:val="0"/>
          <w:numId w:val="33"/>
        </w:numPr>
        <w:tabs>
          <w:tab w:val="left" w:pos="1134"/>
        </w:tabs>
        <w:ind w:left="1134" w:hanging="425"/>
      </w:pPr>
      <w:r>
        <w:t xml:space="preserve">request the vehicle driver to remove </w:t>
      </w:r>
      <w:r w:rsidR="00282B8D">
        <w:t xml:space="preserve">or cover </w:t>
      </w:r>
      <w:r>
        <w:t>the camera</w:t>
      </w:r>
      <w:r w:rsidR="00306CF2">
        <w:t>.</w:t>
      </w:r>
    </w:p>
    <w:p w14:paraId="43FD67A2" w14:textId="3A9F7900" w:rsidR="00BB385B" w:rsidRDefault="00067F85" w:rsidP="00DB6606">
      <w:pPr>
        <w:pStyle w:val="Heading3"/>
      </w:pPr>
      <w:r>
        <w:t xml:space="preserve">Emergency vehicles, </w:t>
      </w:r>
      <w:r w:rsidR="00A854BE">
        <w:t>contracted prisoner escort vehicle</w:t>
      </w:r>
      <w:r>
        <w:t xml:space="preserve"> or Department owned vehicles shall be exempt to the requirements</w:t>
      </w:r>
      <w:r w:rsidR="00306CF2">
        <w:t xml:space="preserve"> of </w:t>
      </w:r>
      <w:r w:rsidR="00040E10" w:rsidRPr="00F70112">
        <w:t>5.1</w:t>
      </w:r>
      <w:r>
        <w:t>.</w:t>
      </w:r>
    </w:p>
    <w:p w14:paraId="223DB3E5" w14:textId="7E1F288F" w:rsidR="00306CF2" w:rsidRDefault="00306CF2" w:rsidP="00DB6606">
      <w:pPr>
        <w:pStyle w:val="Heading3"/>
      </w:pPr>
      <w:r>
        <w:t>The SO Gatehouse shall record in the occurrence book where a vehicle enters the prison with a dash cam or vehicle mounted camera.</w:t>
      </w:r>
    </w:p>
    <w:p w14:paraId="45C8CA50" w14:textId="2522488C" w:rsidR="00BB385B" w:rsidRPr="00BB385B" w:rsidRDefault="00BB385B" w:rsidP="00DB6606">
      <w:pPr>
        <w:pStyle w:val="Heading3"/>
      </w:pPr>
      <w:r>
        <w:lastRenderedPageBreak/>
        <w:t>Where a dash camera or vehicle camer</w:t>
      </w:r>
      <w:r w:rsidR="00CB39DF">
        <w:t>a is lost on prison grounds the Prison Officer receiving notification</w:t>
      </w:r>
      <w:r>
        <w:t xml:space="preserve"> shall report</w:t>
      </w:r>
      <w:r w:rsidR="00CB39DF">
        <w:t xml:space="preserve"> </w:t>
      </w:r>
      <w:r w:rsidR="004B297E">
        <w:t>to security and report</w:t>
      </w:r>
      <w:r w:rsidR="00CB39DF">
        <w:t xml:space="preserve"> the incident in</w:t>
      </w:r>
      <w:r>
        <w:t xml:space="preserve"> accordance with </w:t>
      </w:r>
      <w:hyperlink r:id="rId17" w:history="1">
        <w:r w:rsidRPr="006D622C">
          <w:rPr>
            <w:rStyle w:val="Hyperlink"/>
            <w:iCs/>
          </w:rPr>
          <w:t xml:space="preserve">COPP 13.1 – Incident </w:t>
        </w:r>
        <w:r w:rsidR="00415858" w:rsidRPr="006D622C">
          <w:rPr>
            <w:rStyle w:val="Hyperlink"/>
            <w:iCs/>
          </w:rPr>
          <w:t>N</w:t>
        </w:r>
        <w:r w:rsidRPr="006D622C">
          <w:rPr>
            <w:rStyle w:val="Hyperlink"/>
            <w:iCs/>
          </w:rPr>
          <w:t xml:space="preserve">otifications, </w:t>
        </w:r>
        <w:r w:rsidR="00415858" w:rsidRPr="006D622C">
          <w:rPr>
            <w:rStyle w:val="Hyperlink"/>
            <w:iCs/>
          </w:rPr>
          <w:t>R</w:t>
        </w:r>
        <w:r w:rsidRPr="006D622C">
          <w:rPr>
            <w:rStyle w:val="Hyperlink"/>
            <w:iCs/>
          </w:rPr>
          <w:t xml:space="preserve">eporting and </w:t>
        </w:r>
        <w:r w:rsidR="00415858" w:rsidRPr="006D622C">
          <w:rPr>
            <w:rStyle w:val="Hyperlink"/>
            <w:iCs/>
          </w:rPr>
          <w:t>C</w:t>
        </w:r>
        <w:r w:rsidRPr="006D622C">
          <w:rPr>
            <w:rStyle w:val="Hyperlink"/>
            <w:iCs/>
          </w:rPr>
          <w:t>ommunications</w:t>
        </w:r>
        <w:r w:rsidR="00306CF2" w:rsidRPr="006D622C">
          <w:rPr>
            <w:rStyle w:val="Hyperlink"/>
          </w:rPr>
          <w:t>.</w:t>
        </w:r>
      </w:hyperlink>
    </w:p>
    <w:p w14:paraId="39CBA6D1" w14:textId="1A0F09A3" w:rsidR="00181DE7" w:rsidRPr="00181DE7" w:rsidRDefault="00B64A9B" w:rsidP="006D622C">
      <w:pPr>
        <w:pStyle w:val="Heading2"/>
      </w:pPr>
      <w:bookmarkStart w:id="19" w:name="_Toc223435028"/>
      <w:r>
        <w:t>Prison entry and exit</w:t>
      </w:r>
      <w:bookmarkEnd w:id="16"/>
      <w:bookmarkEnd w:id="17"/>
      <w:bookmarkEnd w:id="18"/>
      <w:bookmarkEnd w:id="19"/>
    </w:p>
    <w:p w14:paraId="353297C6" w14:textId="01A223AF" w:rsidR="00B64A9B" w:rsidRPr="00606760" w:rsidRDefault="00B64A9B" w:rsidP="006D622C">
      <w:pPr>
        <w:pStyle w:val="Heading3"/>
        <w:spacing w:before="240"/>
      </w:pPr>
      <w:r w:rsidRPr="00606760">
        <w:t xml:space="preserve">The </w:t>
      </w:r>
      <w:r w:rsidR="00181DE7">
        <w:t>SO</w:t>
      </w:r>
      <w:r w:rsidR="00252390" w:rsidRPr="00606760">
        <w:t xml:space="preserve"> </w:t>
      </w:r>
      <w:r w:rsidRPr="00606760">
        <w:t>Gatehouse shall ensure:</w:t>
      </w:r>
    </w:p>
    <w:p w14:paraId="70F55BF8" w14:textId="385B01D1" w:rsidR="00B64A9B" w:rsidRDefault="00B64A9B" w:rsidP="00E22B94">
      <w:pPr>
        <w:pStyle w:val="Documentdetails"/>
        <w:numPr>
          <w:ilvl w:val="0"/>
          <w:numId w:val="23"/>
        </w:numPr>
        <w:spacing w:before="120" w:after="120"/>
        <w:ind w:left="1077" w:hanging="357"/>
      </w:pPr>
      <w:r>
        <w:t>entry for vehicles into the prison are pre-arranged and have the appropriate security approval</w:t>
      </w:r>
      <w:r w:rsidR="00A34B9F">
        <w:t xml:space="preserve"> </w:t>
      </w:r>
      <w:r w:rsidR="00A34B9F" w:rsidRPr="00C106F1">
        <w:t xml:space="preserve">(procedures and approvals may vary in specified circumstances for </w:t>
      </w:r>
      <w:r w:rsidR="007F4AE0">
        <w:t xml:space="preserve">example, </w:t>
      </w:r>
      <w:r w:rsidRPr="00C106F1">
        <w:t xml:space="preserve">emergency </w:t>
      </w:r>
      <w:r w:rsidR="00A34B9F" w:rsidRPr="00C106F1">
        <w:t xml:space="preserve">services </w:t>
      </w:r>
      <w:r w:rsidRPr="00C106F1">
        <w:t>and the</w:t>
      </w:r>
      <w:r w:rsidR="00A34B9F" w:rsidRPr="00C106F1">
        <w:t xml:space="preserve"> Special Operations Group (SOG) vehicle entry)</w:t>
      </w:r>
      <w:r w:rsidR="00A34B9F">
        <w:t xml:space="preserve"> </w:t>
      </w:r>
    </w:p>
    <w:p w14:paraId="0FD63F85" w14:textId="0ACFAF80" w:rsidR="00B64A9B" w:rsidRPr="001A7D75" w:rsidRDefault="00B64A9B" w:rsidP="00E22B94">
      <w:pPr>
        <w:pStyle w:val="Documentdetails"/>
        <w:numPr>
          <w:ilvl w:val="0"/>
          <w:numId w:val="23"/>
        </w:numPr>
        <w:spacing w:before="120" w:after="120"/>
        <w:ind w:left="1077" w:hanging="357"/>
      </w:pPr>
      <w:r w:rsidRPr="001A7D75">
        <w:t xml:space="preserve">the identity of </w:t>
      </w:r>
      <w:r>
        <w:t>all occupants of the vehicle are checked/confirmed</w:t>
      </w:r>
    </w:p>
    <w:p w14:paraId="294F7FB3" w14:textId="15CB178E" w:rsidR="00B64A9B" w:rsidRDefault="00B64A9B" w:rsidP="00E22B94">
      <w:pPr>
        <w:pStyle w:val="Documentdetails"/>
        <w:numPr>
          <w:ilvl w:val="0"/>
          <w:numId w:val="23"/>
        </w:numPr>
        <w:spacing w:before="120" w:after="120"/>
        <w:ind w:left="1077" w:hanging="357"/>
      </w:pPr>
      <w:r>
        <w:t>vehicles entering and leaving the prison are searched</w:t>
      </w:r>
      <w:r w:rsidRPr="00B356C4" w:rsidDel="004C220F">
        <w:t xml:space="preserve"> </w:t>
      </w:r>
      <w:r>
        <w:t xml:space="preserve">in accordance with </w:t>
      </w:r>
      <w:hyperlink r:id="rId18" w:history="1">
        <w:r w:rsidRPr="00621EAD">
          <w:rPr>
            <w:rStyle w:val="Hyperlink"/>
            <w:iCs/>
          </w:rPr>
          <w:t xml:space="preserve">COPP </w:t>
        </w:r>
        <w:r w:rsidR="00A95E1C" w:rsidRPr="00621EAD">
          <w:rPr>
            <w:rStyle w:val="Hyperlink"/>
            <w:iCs/>
          </w:rPr>
          <w:t>1</w:t>
        </w:r>
        <w:r w:rsidRPr="00621EAD">
          <w:rPr>
            <w:rStyle w:val="Hyperlink"/>
            <w:iCs/>
          </w:rPr>
          <w:t>1.2</w:t>
        </w:r>
        <w:r w:rsidR="00A95E1C" w:rsidRPr="00621EAD">
          <w:rPr>
            <w:rStyle w:val="Hyperlink"/>
            <w:iCs/>
          </w:rPr>
          <w:t xml:space="preserve"> –</w:t>
        </w:r>
        <w:r w:rsidRPr="00621EAD">
          <w:rPr>
            <w:rStyle w:val="Hyperlink"/>
            <w:iCs/>
          </w:rPr>
          <w:t xml:space="preserve"> Searching</w:t>
        </w:r>
      </w:hyperlink>
      <w:r w:rsidRPr="00B356C4">
        <w:t xml:space="preserve"> </w:t>
      </w:r>
    </w:p>
    <w:p w14:paraId="2F37DD65" w14:textId="75E4EB32" w:rsidR="00AE70E8" w:rsidRPr="00823E1B" w:rsidRDefault="00B64A9B" w:rsidP="00AE70E8">
      <w:pPr>
        <w:pStyle w:val="Documentdetails"/>
        <w:numPr>
          <w:ilvl w:val="0"/>
          <w:numId w:val="23"/>
        </w:numPr>
        <w:spacing w:before="120" w:after="120"/>
        <w:ind w:left="1077" w:hanging="357"/>
      </w:pPr>
      <w:r w:rsidRPr="00823E1B">
        <w:t>prohibited items</w:t>
      </w:r>
      <w:r w:rsidR="00C106F1">
        <w:t>,</w:t>
      </w:r>
      <w:r w:rsidRPr="00823E1B">
        <w:t xml:space="preserve"> </w:t>
      </w:r>
      <w:r w:rsidR="00C106F1">
        <w:t>unless approved by the Superintendent,</w:t>
      </w:r>
      <w:r w:rsidR="00C106F1" w:rsidRPr="00823E1B">
        <w:t xml:space="preserve"> </w:t>
      </w:r>
      <w:r w:rsidRPr="00823E1B">
        <w:t>are removed from the vehicle before entering the prison</w:t>
      </w:r>
      <w:r w:rsidR="00C106F1">
        <w:t xml:space="preserve"> or the vehicle is denied entry</w:t>
      </w:r>
      <w:r w:rsidRPr="00823E1B">
        <w:t>.</w:t>
      </w:r>
    </w:p>
    <w:p w14:paraId="3A0E8EB2" w14:textId="323F4EE5" w:rsidR="00B64A9B" w:rsidRPr="00606760" w:rsidRDefault="00B64A9B" w:rsidP="00DB6606">
      <w:pPr>
        <w:pStyle w:val="Heading3"/>
      </w:pPr>
      <w:r w:rsidRPr="00606760">
        <w:t xml:space="preserve">The </w:t>
      </w:r>
      <w:r w:rsidR="00252390" w:rsidRPr="00606760">
        <w:t xml:space="preserve">SO </w:t>
      </w:r>
      <w:r w:rsidRPr="00606760">
        <w:t>Gatehouse shall ensure emergency</w:t>
      </w:r>
      <w:r w:rsidR="00CF0568" w:rsidRPr="00606760">
        <w:t xml:space="preserve"> services</w:t>
      </w:r>
      <w:r w:rsidRPr="00606760">
        <w:t xml:space="preserve"> and SOG </w:t>
      </w:r>
      <w:r w:rsidR="00527AFB" w:rsidRPr="00606760">
        <w:t>vehicles responding</w:t>
      </w:r>
      <w:r w:rsidRPr="00606760">
        <w:t xml:space="preserve"> to an emergency, have priority access to the prison. </w:t>
      </w:r>
      <w:r w:rsidR="00C106F1" w:rsidRPr="00606760">
        <w:t>The security</w:t>
      </w:r>
      <w:r w:rsidR="00323D15" w:rsidRPr="00606760">
        <w:t xml:space="preserve"> and control</w:t>
      </w:r>
      <w:r w:rsidR="00C106F1" w:rsidRPr="00606760">
        <w:t xml:space="preserve"> of these vehicles </w:t>
      </w:r>
      <w:r w:rsidR="00323D15" w:rsidRPr="00606760">
        <w:t xml:space="preserve">shall </w:t>
      </w:r>
      <w:r w:rsidR="00C106F1" w:rsidRPr="00606760">
        <w:t>comply with the</w:t>
      </w:r>
      <w:r w:rsidR="00323D15" w:rsidRPr="00606760">
        <w:t xml:space="preserve"> prison</w:t>
      </w:r>
      <w:r w:rsidR="004B4485" w:rsidRPr="00606760">
        <w:t>’</w:t>
      </w:r>
      <w:r w:rsidR="00323D15" w:rsidRPr="00606760">
        <w:t>s</w:t>
      </w:r>
      <w:r w:rsidR="00C106F1" w:rsidRPr="00606760">
        <w:t xml:space="preserve"> Emergency Management Plan</w:t>
      </w:r>
      <w:r w:rsidR="00323D15" w:rsidRPr="00606760">
        <w:t>, inclusive of search requirements and the recording of vehicle and personnel details</w:t>
      </w:r>
      <w:r w:rsidR="00C106F1" w:rsidRPr="00606760">
        <w:t>.</w:t>
      </w:r>
      <w:r w:rsidR="00323D15" w:rsidRPr="00606760">
        <w:t xml:space="preserve"> </w:t>
      </w:r>
    </w:p>
    <w:p w14:paraId="5B851DC7" w14:textId="79616821" w:rsidR="00B64A9B" w:rsidRPr="00606760" w:rsidRDefault="00B64A9B" w:rsidP="00DB6606">
      <w:pPr>
        <w:pStyle w:val="Heading3"/>
      </w:pPr>
      <w:r w:rsidRPr="00606760">
        <w:t>Gatehouse Officer</w:t>
      </w:r>
      <w:r w:rsidR="00252390" w:rsidRPr="00606760">
        <w:t xml:space="preserve">s </w:t>
      </w:r>
      <w:r w:rsidRPr="00606760">
        <w:t xml:space="preserve">shall ensure only one </w:t>
      </w:r>
      <w:r w:rsidR="00101452" w:rsidRPr="00606760">
        <w:t xml:space="preserve">sally-port </w:t>
      </w:r>
      <w:r w:rsidRPr="00606760">
        <w:t xml:space="preserve">gate is open at </w:t>
      </w:r>
      <w:r w:rsidR="00252390" w:rsidRPr="00606760">
        <w:t xml:space="preserve">a </w:t>
      </w:r>
      <w:r w:rsidRPr="00606760">
        <w:t>time unless approved by the Security Manager</w:t>
      </w:r>
      <w:r w:rsidR="00594836" w:rsidRPr="00606760">
        <w:t>/</w:t>
      </w:r>
      <w:r w:rsidR="004B4485" w:rsidRPr="00606760">
        <w:t>Officer in Charge (</w:t>
      </w:r>
      <w:r w:rsidR="00594836" w:rsidRPr="00606760">
        <w:t>OIC</w:t>
      </w:r>
      <w:r w:rsidR="004B4485" w:rsidRPr="00606760">
        <w:t>)</w:t>
      </w:r>
      <w:r w:rsidRPr="00606760">
        <w:t>.</w:t>
      </w:r>
    </w:p>
    <w:p w14:paraId="23D1D327" w14:textId="145B9FFE" w:rsidR="0076339F" w:rsidRPr="00AE70E8" w:rsidRDefault="00B64A9B" w:rsidP="00DB6606">
      <w:pPr>
        <w:pStyle w:val="Heading3"/>
      </w:pPr>
      <w:r w:rsidRPr="00606760">
        <w:t xml:space="preserve">The </w:t>
      </w:r>
      <w:r w:rsidR="00252390" w:rsidRPr="00606760">
        <w:t xml:space="preserve">SO </w:t>
      </w:r>
      <w:r w:rsidRPr="00606760">
        <w:t xml:space="preserve">Gatehouse shall ensure vehicle movements into </w:t>
      </w:r>
      <w:r w:rsidR="004B4485" w:rsidRPr="00606760">
        <w:t xml:space="preserve">the </w:t>
      </w:r>
      <w:r w:rsidRPr="00606760">
        <w:t>prison are recorded in the Gatehouse occurrence book.</w:t>
      </w:r>
      <w:bookmarkEnd w:id="11"/>
      <w:bookmarkEnd w:id="12"/>
    </w:p>
    <w:p w14:paraId="134F334E" w14:textId="0E96DBE6" w:rsidR="00B64A9B" w:rsidRPr="00535C94" w:rsidRDefault="00CB27A8" w:rsidP="006D622C">
      <w:pPr>
        <w:pStyle w:val="Heading1"/>
        <w:spacing w:before="360" w:after="240"/>
      </w:pPr>
      <w:bookmarkStart w:id="20" w:name="_Toc536015237"/>
      <w:bookmarkStart w:id="21" w:name="_Toc223435029"/>
      <w:r>
        <w:t>Non-prison V</w:t>
      </w:r>
      <w:r w:rsidR="00B64A9B" w:rsidRPr="00566493">
        <w:t>ehicles</w:t>
      </w:r>
      <w:bookmarkEnd w:id="20"/>
      <w:bookmarkEnd w:id="21"/>
      <w:r w:rsidR="00B64A9B" w:rsidRPr="00566493">
        <w:t xml:space="preserve"> </w:t>
      </w:r>
    </w:p>
    <w:p w14:paraId="606FE591" w14:textId="187DB41B" w:rsidR="00B64A9B" w:rsidRPr="00606760" w:rsidRDefault="00B64A9B" w:rsidP="006D622C">
      <w:pPr>
        <w:pStyle w:val="Heading3"/>
        <w:spacing w:before="360" w:after="240"/>
      </w:pPr>
      <w:bookmarkStart w:id="22" w:name="_Hlk106362615"/>
      <w:r w:rsidRPr="00606760">
        <w:t>Except for use in prisoner movements, non-</w:t>
      </w:r>
      <w:r w:rsidR="00CB27A8" w:rsidRPr="00606760">
        <w:t>prison</w:t>
      </w:r>
      <w:r w:rsidRPr="00606760">
        <w:t xml:space="preserve"> vehicles can only be brought into the secure perimeter when the contents of the vehicle cannot be feasibly, </w:t>
      </w:r>
      <w:r w:rsidR="00D06183" w:rsidRPr="00606760">
        <w:t>safely,</w:t>
      </w:r>
      <w:r w:rsidRPr="00606760">
        <w:t xml:space="preserve"> or securely conveyed by other means, or when required equipment is permanently fixed to the vehicle</w:t>
      </w:r>
      <w:bookmarkEnd w:id="22"/>
      <w:r w:rsidRPr="00606760">
        <w:t xml:space="preserve">. </w:t>
      </w:r>
    </w:p>
    <w:p w14:paraId="3FC6C84A" w14:textId="46D937C2" w:rsidR="00B64A9B" w:rsidRPr="00606760" w:rsidRDefault="00B64A9B" w:rsidP="00DB6606">
      <w:pPr>
        <w:pStyle w:val="Heading3"/>
      </w:pPr>
      <w:r w:rsidRPr="00606760">
        <w:t>Where non-</w:t>
      </w:r>
      <w:r w:rsidR="00CB27A8" w:rsidRPr="00606760">
        <w:t>prison</w:t>
      </w:r>
      <w:r w:rsidRPr="00606760">
        <w:t xml:space="preserve"> vehicles are authorised to enter the secure perimeter:</w:t>
      </w:r>
    </w:p>
    <w:p w14:paraId="625031CB" w14:textId="0B3CD70D" w:rsidR="00811348" w:rsidRPr="00811348" w:rsidRDefault="00B64A9B" w:rsidP="00811348">
      <w:pPr>
        <w:pStyle w:val="Heading3"/>
        <w:numPr>
          <w:ilvl w:val="0"/>
          <w:numId w:val="20"/>
        </w:numPr>
      </w:pPr>
      <w:r>
        <w:t xml:space="preserve">doors must be locked and windows up </w:t>
      </w:r>
    </w:p>
    <w:p w14:paraId="0A616379" w14:textId="5B07D6CD" w:rsidR="00B64A9B" w:rsidRDefault="00B64A9B" w:rsidP="00DB6606">
      <w:pPr>
        <w:pStyle w:val="Heading3"/>
        <w:numPr>
          <w:ilvl w:val="0"/>
          <w:numId w:val="20"/>
        </w:numPr>
      </w:pPr>
      <w:r>
        <w:t xml:space="preserve">vehicle movement </w:t>
      </w:r>
      <w:r w:rsidR="004B4485">
        <w:t>shall</w:t>
      </w:r>
      <w:r>
        <w:t xml:space="preserve"> be restricted to times when prisoners are locked down,</w:t>
      </w:r>
      <w:r w:rsidRPr="00657E23">
        <w:t xml:space="preserve"> </w:t>
      </w:r>
      <w:r w:rsidR="000B5307">
        <w:t>if practicable</w:t>
      </w:r>
      <w:r>
        <w:t xml:space="preserve"> </w:t>
      </w:r>
    </w:p>
    <w:p w14:paraId="3516024A" w14:textId="0946204E" w:rsidR="00737D08" w:rsidRPr="00CB27A8" w:rsidRDefault="00737D08" w:rsidP="00DB6606">
      <w:pPr>
        <w:pStyle w:val="Heading3"/>
        <w:numPr>
          <w:ilvl w:val="0"/>
          <w:numId w:val="20"/>
        </w:numPr>
      </w:pPr>
      <w:r w:rsidRPr="00CB27A8">
        <w:t xml:space="preserve">vehicles must </w:t>
      </w:r>
      <w:r>
        <w:t xml:space="preserve">be </w:t>
      </w:r>
      <w:r w:rsidRPr="00CB27A8">
        <w:t xml:space="preserve">under </w:t>
      </w:r>
      <w:r w:rsidR="004B4485">
        <w:t xml:space="preserve">the </w:t>
      </w:r>
      <w:r w:rsidRPr="00CB27A8">
        <w:t xml:space="preserve">constant supervision </w:t>
      </w:r>
      <w:r>
        <w:t>of</w:t>
      </w:r>
      <w:r w:rsidRPr="00CB27A8">
        <w:t xml:space="preserve"> </w:t>
      </w:r>
      <w:r w:rsidR="00C914B9">
        <w:t>the escorting Prison Officer(s)</w:t>
      </w:r>
      <w:r w:rsidRPr="00CB27A8">
        <w:t xml:space="preserve"> </w:t>
      </w:r>
      <w:r w:rsidR="00EC64DC">
        <w:t>at all times</w:t>
      </w:r>
      <w:r w:rsidR="00EA19D3">
        <w:t>, where applicable</w:t>
      </w:r>
    </w:p>
    <w:p w14:paraId="79957EA6" w14:textId="029A1810" w:rsidR="00DB51DC" w:rsidRPr="00DB51DC" w:rsidRDefault="00B64A9B" w:rsidP="00DB6606">
      <w:pPr>
        <w:pStyle w:val="Heading3"/>
        <w:numPr>
          <w:ilvl w:val="0"/>
          <w:numId w:val="20"/>
        </w:numPr>
      </w:pPr>
      <w:r>
        <w:lastRenderedPageBreak/>
        <w:t xml:space="preserve">parked vehicles must be locked and immobilised by an approved immobiliser </w:t>
      </w:r>
      <w:r w:rsidR="00D72856">
        <w:rPr>
          <w:rStyle w:val="FootnoteReference"/>
        </w:rPr>
        <w:footnoteReference w:id="2"/>
      </w:r>
      <w:r w:rsidR="00737D08">
        <w:t xml:space="preserve"> and </w:t>
      </w:r>
      <w:r w:rsidR="00131716">
        <w:t xml:space="preserve">vehicle </w:t>
      </w:r>
      <w:r w:rsidR="00737D08">
        <w:t xml:space="preserve">keys managed by the </w:t>
      </w:r>
      <w:r w:rsidR="00131716">
        <w:t xml:space="preserve">escorting </w:t>
      </w:r>
      <w:r w:rsidR="00C914B9">
        <w:t>Prison Officer</w:t>
      </w:r>
      <w:r w:rsidR="00EA19D3">
        <w:t>, where applicable</w:t>
      </w:r>
      <w:r w:rsidR="00EC64DC">
        <w:t>.</w:t>
      </w:r>
      <w:r w:rsidR="00737D08">
        <w:t xml:space="preserve"> </w:t>
      </w:r>
    </w:p>
    <w:p w14:paraId="16ECCA06" w14:textId="77777777" w:rsidR="00B74EA3" w:rsidRDefault="00B74EA3" w:rsidP="006D622C">
      <w:pPr>
        <w:pStyle w:val="Heading1"/>
        <w:spacing w:before="360" w:after="240"/>
      </w:pPr>
      <w:bookmarkStart w:id="23" w:name="_Toc223435030"/>
      <w:r w:rsidRPr="008703AC">
        <w:t>Prison Vehicles</w:t>
      </w:r>
      <w:bookmarkEnd w:id="23"/>
      <w:r w:rsidRPr="008703AC">
        <w:t xml:space="preserve"> </w:t>
      </w:r>
    </w:p>
    <w:p w14:paraId="54542AA8" w14:textId="47F97751" w:rsidR="00AE70E8" w:rsidRDefault="00AE70E8" w:rsidP="006D622C">
      <w:pPr>
        <w:pStyle w:val="Heading2"/>
        <w:numPr>
          <w:ilvl w:val="1"/>
          <w:numId w:val="32"/>
        </w:numPr>
      </w:pPr>
      <w:bookmarkStart w:id="24" w:name="_Toc223435031"/>
      <w:r w:rsidRPr="00032815">
        <w:t>Maintenance</w:t>
      </w:r>
      <w:r>
        <w:t xml:space="preserve"> </w:t>
      </w:r>
      <w:r w:rsidRPr="00032815">
        <w:t>of vehicles</w:t>
      </w:r>
      <w:bookmarkEnd w:id="24"/>
    </w:p>
    <w:p w14:paraId="150F0F4A" w14:textId="61632E99" w:rsidR="00B74EA3" w:rsidRPr="00606760" w:rsidRDefault="00B74EA3" w:rsidP="006D622C">
      <w:pPr>
        <w:pStyle w:val="Heading3"/>
        <w:spacing w:before="240"/>
      </w:pPr>
      <w:r w:rsidRPr="00606760">
        <w:t>Prison vehicles shall be stored outside the secure perimeter (where one exists) when not in use. Security and control procedures shall be in place for any vehicle stored inside the secure perimeter, as authorised by the Superintendent, because of its necessary operational function (</w:t>
      </w:r>
      <w:r w:rsidR="00DB6606">
        <w:t>eg</w:t>
      </w:r>
      <w:r w:rsidRPr="00606760">
        <w:t xml:space="preserve"> response/recovery vehicles). </w:t>
      </w:r>
    </w:p>
    <w:bookmarkEnd w:id="13"/>
    <w:p w14:paraId="3CC20062" w14:textId="231FE261" w:rsidR="00DB51DC" w:rsidRPr="00DB51DC" w:rsidRDefault="00CB27A8" w:rsidP="00DB6606">
      <w:pPr>
        <w:pStyle w:val="Heading3"/>
      </w:pPr>
      <w:r w:rsidRPr="00606760">
        <w:t>When not in use, t</w:t>
      </w:r>
      <w:r w:rsidR="00335823" w:rsidRPr="00606760">
        <w:t>he vehicle operator must secure the v</w:t>
      </w:r>
      <w:r w:rsidR="00594836" w:rsidRPr="00606760">
        <w:t>ehicle keys to their key chain.</w:t>
      </w:r>
    </w:p>
    <w:p w14:paraId="3452CF7B" w14:textId="3DC81249" w:rsidR="00335823" w:rsidRDefault="00335823" w:rsidP="00DB6606">
      <w:pPr>
        <w:pStyle w:val="Heading3"/>
      </w:pPr>
      <w:r w:rsidRPr="00606760">
        <w:t xml:space="preserve">The location of </w:t>
      </w:r>
      <w:r w:rsidR="002D47B1" w:rsidRPr="00606760">
        <w:t xml:space="preserve">prison </w:t>
      </w:r>
      <w:r w:rsidRPr="00606760">
        <w:t xml:space="preserve">vehicles and keys within a prison must be known by prison staff and where practical, </w:t>
      </w:r>
      <w:r w:rsidR="00CF5170" w:rsidRPr="00606760">
        <w:t xml:space="preserve">keys </w:t>
      </w:r>
      <w:r w:rsidRPr="00606760">
        <w:t xml:space="preserve">stored in the Gatehouse/Reception area. </w:t>
      </w:r>
    </w:p>
    <w:p w14:paraId="6A6B1D94" w14:textId="5E6931E5" w:rsidR="00B74EA3" w:rsidRDefault="002A2E31" w:rsidP="00DB6606">
      <w:pPr>
        <w:pStyle w:val="Heading3"/>
      </w:pPr>
      <w:r w:rsidRPr="00606760">
        <w:t xml:space="preserve">All vehicles are required to be checked prior to the commencement of any journey, by way of a visual inspection of the vehicle exterior, interior, </w:t>
      </w:r>
      <w:r w:rsidR="00D06183" w:rsidRPr="00606760">
        <w:t>gauges,</w:t>
      </w:r>
      <w:r w:rsidRPr="00606760">
        <w:t xml:space="preserve"> and warning lights to ensure general safety and roadworthiness of the vehicle.</w:t>
      </w:r>
    </w:p>
    <w:p w14:paraId="7BF900F0" w14:textId="292FA327" w:rsidR="00335823" w:rsidRPr="00606760" w:rsidRDefault="00CE04A9" w:rsidP="00DB6606">
      <w:pPr>
        <w:pStyle w:val="Heading3"/>
      </w:pPr>
      <w:r w:rsidRPr="00606760">
        <w:t>At the completion of a journey, staff are responsible to ensure vehicles have a minimum of 50% fuel remaining.</w:t>
      </w:r>
      <w:r w:rsidR="00594836" w:rsidRPr="00606760">
        <w:t xml:space="preserve"> </w:t>
      </w:r>
    </w:p>
    <w:p w14:paraId="1AA5F033" w14:textId="038E5907" w:rsidR="00594836" w:rsidRPr="00606760" w:rsidRDefault="00335823" w:rsidP="00DB6606">
      <w:pPr>
        <w:pStyle w:val="Heading3"/>
      </w:pPr>
      <w:r w:rsidRPr="00606760">
        <w:t>Prisoner transport vehicles with a secure POD shall be checked daily to ensure operational readin</w:t>
      </w:r>
      <w:r w:rsidR="00A87EC9" w:rsidRPr="00606760">
        <w:t>ess of the vehicle in accordance with the</w:t>
      </w:r>
      <w:r w:rsidR="00527AFB" w:rsidRPr="00606760">
        <w:t xml:space="preserve"> Department’s </w:t>
      </w:r>
      <w:hyperlink r:id="rId19" w:history="1">
        <w:r w:rsidR="00A87EC9" w:rsidRPr="007F4AE0">
          <w:rPr>
            <w:rStyle w:val="Hyperlink"/>
          </w:rPr>
          <w:t>Minimum Standards for Secure Escort Vehicles.</w:t>
        </w:r>
      </w:hyperlink>
    </w:p>
    <w:p w14:paraId="7FAE9EC2" w14:textId="3930E09D" w:rsidR="00BF3FD8" w:rsidRPr="00606760" w:rsidRDefault="00BF3FD8" w:rsidP="00DB6606">
      <w:pPr>
        <w:pStyle w:val="Heading3"/>
      </w:pPr>
      <w:r w:rsidRPr="00606760">
        <w:t xml:space="preserve">In the event of a prison vehicle breakdown during a journey, all efforts shall be made to contact the </w:t>
      </w:r>
      <w:r w:rsidR="00F07AE4">
        <w:t>OIC</w:t>
      </w:r>
      <w:r w:rsidRPr="00606760">
        <w:t xml:space="preserve"> </w:t>
      </w:r>
      <w:r w:rsidR="00B27961">
        <w:t xml:space="preserve">by </w:t>
      </w:r>
      <w:r w:rsidRPr="00606760">
        <w:t>radio or phone as soon as possible; the Superintendent shall authorise the necessary repairs.</w:t>
      </w:r>
    </w:p>
    <w:p w14:paraId="690D7395" w14:textId="77777777" w:rsidR="00BF3FD8" w:rsidRPr="00606760" w:rsidRDefault="00BF3FD8" w:rsidP="00DB6606">
      <w:pPr>
        <w:pStyle w:val="Heading3"/>
      </w:pPr>
      <w:r w:rsidRPr="00606760">
        <w:t>In the event of an accident in a prison vehicle, where practicable in the circumstances, staff shall:</w:t>
      </w:r>
    </w:p>
    <w:p w14:paraId="441805C0" w14:textId="7C789B54" w:rsidR="00BF3FD8" w:rsidRDefault="00BF3FD8" w:rsidP="00AE70E8">
      <w:pPr>
        <w:pStyle w:val="ListParagraph"/>
        <w:numPr>
          <w:ilvl w:val="0"/>
          <w:numId w:val="29"/>
        </w:numPr>
        <w:spacing w:before="120"/>
        <w:ind w:left="1083" w:hanging="357"/>
        <w:contextualSpacing w:val="0"/>
      </w:pPr>
      <w:r>
        <w:t>adhere to all road traffic laws</w:t>
      </w:r>
      <w:r>
        <w:rPr>
          <w:rStyle w:val="FootnoteReference"/>
        </w:rPr>
        <w:footnoteReference w:id="3"/>
      </w:r>
    </w:p>
    <w:p w14:paraId="68A182CB" w14:textId="06635048" w:rsidR="00BF3FD8" w:rsidRDefault="00BF3FD8" w:rsidP="00AE70E8">
      <w:pPr>
        <w:pStyle w:val="ListParagraph"/>
        <w:numPr>
          <w:ilvl w:val="0"/>
          <w:numId w:val="29"/>
        </w:numPr>
        <w:spacing w:before="120"/>
        <w:ind w:left="1083" w:hanging="357"/>
        <w:contextualSpacing w:val="0"/>
      </w:pPr>
      <w:r>
        <w:t xml:space="preserve">contact the </w:t>
      </w:r>
      <w:r w:rsidR="0056604A">
        <w:t xml:space="preserve">OIC </w:t>
      </w:r>
      <w:r>
        <w:t>as soon as possible</w:t>
      </w:r>
    </w:p>
    <w:p w14:paraId="1760AF4F" w14:textId="54235EE8" w:rsidR="00BF3FD8" w:rsidRDefault="00BF3FD8" w:rsidP="00AE70E8">
      <w:pPr>
        <w:pStyle w:val="ListParagraph"/>
        <w:numPr>
          <w:ilvl w:val="0"/>
          <w:numId w:val="29"/>
        </w:numPr>
        <w:spacing w:before="120"/>
        <w:ind w:left="1083" w:hanging="357"/>
        <w:contextualSpacing w:val="0"/>
      </w:pPr>
      <w:r>
        <w:t>if the vehicle is immobilised, remove any prison equipment (</w:t>
      </w:r>
      <w:r w:rsidR="00D06183">
        <w:t>e.g.</w:t>
      </w:r>
      <w:r>
        <w:t xml:space="preserve"> </w:t>
      </w:r>
      <w:r w:rsidR="00D06183">
        <w:t>2-way</w:t>
      </w:r>
      <w:r>
        <w:t xml:space="preserve"> radio) before the vehicle is transported for repair</w:t>
      </w:r>
    </w:p>
    <w:p w14:paraId="13FF7E31" w14:textId="39EBE305" w:rsidR="00BF3FD8" w:rsidRPr="00BF3FD8" w:rsidRDefault="00BF3FD8" w:rsidP="00AE70E8">
      <w:pPr>
        <w:pStyle w:val="ListParagraph"/>
        <w:numPr>
          <w:ilvl w:val="0"/>
          <w:numId w:val="29"/>
        </w:numPr>
        <w:spacing w:before="120"/>
        <w:ind w:left="1083" w:hanging="357"/>
        <w:contextualSpacing w:val="0"/>
      </w:pPr>
      <w:r>
        <w:t xml:space="preserve">complete all relevant accident/incident reporting in accordance with </w:t>
      </w:r>
      <w:r w:rsidR="00E22B94">
        <w:t xml:space="preserve">Departmental </w:t>
      </w:r>
      <w:r>
        <w:t>vehicle management requirements.</w:t>
      </w:r>
    </w:p>
    <w:p w14:paraId="15186774" w14:textId="77777777" w:rsidR="00335823" w:rsidRPr="00566493" w:rsidRDefault="00335823" w:rsidP="006D622C">
      <w:pPr>
        <w:pStyle w:val="Heading2"/>
      </w:pPr>
      <w:bookmarkStart w:id="25" w:name="_Toc536015234"/>
      <w:bookmarkStart w:id="26" w:name="_Toc223435032"/>
      <w:r w:rsidRPr="00566493">
        <w:lastRenderedPageBreak/>
        <w:t>Prisoner use of vehicles (prison farms and work camps)</w:t>
      </w:r>
      <w:bookmarkEnd w:id="25"/>
      <w:bookmarkEnd w:id="26"/>
    </w:p>
    <w:p w14:paraId="6445821D" w14:textId="12DB8B38" w:rsidR="000D684A" w:rsidRPr="00606760" w:rsidRDefault="000D684A" w:rsidP="006D622C">
      <w:pPr>
        <w:pStyle w:val="Heading3"/>
        <w:spacing w:before="240"/>
      </w:pPr>
      <w:r w:rsidRPr="00606760">
        <w:t>Prisoner</w:t>
      </w:r>
      <w:r w:rsidR="002A26A7" w:rsidRPr="00606760">
        <w:t>s</w:t>
      </w:r>
      <w:r w:rsidRPr="00606760">
        <w:t xml:space="preserve"> must be </w:t>
      </w:r>
      <w:r w:rsidR="002A26A7" w:rsidRPr="00606760">
        <w:t xml:space="preserve">authorised </w:t>
      </w:r>
      <w:r w:rsidRPr="00606760">
        <w:t xml:space="preserve">by the Security </w:t>
      </w:r>
      <w:r w:rsidR="00CE0629" w:rsidRPr="00606760">
        <w:t xml:space="preserve">Manager </w:t>
      </w:r>
      <w:r w:rsidRPr="00606760">
        <w:t xml:space="preserve">and Assistant Superintendent Operations before </w:t>
      </w:r>
      <w:r w:rsidR="00CE0629" w:rsidRPr="00606760">
        <w:t xml:space="preserve">being </w:t>
      </w:r>
      <w:r w:rsidRPr="00606760">
        <w:t xml:space="preserve">permitted to operate a licensed/registered </w:t>
      </w:r>
      <w:r w:rsidR="002669B8" w:rsidRPr="00606760">
        <w:t xml:space="preserve">prison </w:t>
      </w:r>
      <w:r w:rsidRPr="00606760">
        <w:t xml:space="preserve">vehicle. </w:t>
      </w:r>
    </w:p>
    <w:p w14:paraId="599D7C7C" w14:textId="76C59202" w:rsidR="008C190E" w:rsidRPr="00606760" w:rsidRDefault="00261774" w:rsidP="00DB6606">
      <w:pPr>
        <w:pStyle w:val="Heading3"/>
      </w:pPr>
      <w:r w:rsidRPr="00606760">
        <w:t>Prior to a p</w:t>
      </w:r>
      <w:r w:rsidR="00335823" w:rsidRPr="00606760">
        <w:t>risoner</w:t>
      </w:r>
      <w:r w:rsidRPr="00606760">
        <w:t xml:space="preserve"> being </w:t>
      </w:r>
      <w:r w:rsidR="00335823" w:rsidRPr="00606760">
        <w:t xml:space="preserve">authorised to drive a licensed/registered </w:t>
      </w:r>
      <w:r w:rsidR="002669B8" w:rsidRPr="00606760">
        <w:t xml:space="preserve">prison </w:t>
      </w:r>
      <w:r w:rsidR="00335823" w:rsidRPr="00606760">
        <w:t xml:space="preserve">vehicle </w:t>
      </w:r>
      <w:r w:rsidRPr="00606760">
        <w:t>it shall be confirmed that they:</w:t>
      </w:r>
      <w:r w:rsidR="002A26A7" w:rsidRPr="00606760">
        <w:t xml:space="preserve"> </w:t>
      </w:r>
    </w:p>
    <w:p w14:paraId="40769F02" w14:textId="77777777" w:rsidR="00261774" w:rsidRDefault="002A26A7" w:rsidP="00E22B94">
      <w:pPr>
        <w:pStyle w:val="ListParagraph"/>
        <w:numPr>
          <w:ilvl w:val="0"/>
          <w:numId w:val="27"/>
        </w:numPr>
        <w:spacing w:before="120"/>
        <w:ind w:left="1134" w:hanging="425"/>
        <w:contextualSpacing w:val="0"/>
      </w:pPr>
      <w:r w:rsidRPr="00566493">
        <w:t>hold a valid and current driver’s licence</w:t>
      </w:r>
      <w:r>
        <w:t>, where the vehicle is expect</w:t>
      </w:r>
      <w:r w:rsidR="00FF2E90">
        <w:t>ed to travel on a ‘public road’</w:t>
      </w:r>
    </w:p>
    <w:p w14:paraId="09BD74BF" w14:textId="29711A3F" w:rsidR="00335823" w:rsidRDefault="00261774" w:rsidP="00E22B94">
      <w:pPr>
        <w:pStyle w:val="ListParagraph"/>
        <w:numPr>
          <w:ilvl w:val="0"/>
          <w:numId w:val="27"/>
        </w:numPr>
        <w:spacing w:before="120"/>
        <w:ind w:left="1134" w:hanging="425"/>
        <w:contextualSpacing w:val="0"/>
      </w:pPr>
      <w:r>
        <w:t xml:space="preserve">have </w:t>
      </w:r>
      <w:r w:rsidR="00111B90">
        <w:t>had appropriate</w:t>
      </w:r>
      <w:r w:rsidR="00523054">
        <w:t xml:space="preserve"> training</w:t>
      </w:r>
      <w:r w:rsidR="00FF05AA">
        <w:t>/</w:t>
      </w:r>
      <w:r w:rsidR="00523054">
        <w:t>induction</w:t>
      </w:r>
      <w:r w:rsidR="00111B90">
        <w:t xml:space="preserve"> and </w:t>
      </w:r>
      <w:r w:rsidR="007A390C">
        <w:t xml:space="preserve">have </w:t>
      </w:r>
      <w:r w:rsidR="00111B90">
        <w:t>access to</w:t>
      </w:r>
      <w:r>
        <w:t xml:space="preserve"> the Traffic Management Plan</w:t>
      </w:r>
      <w:r w:rsidR="00111B90">
        <w:t xml:space="preserve"> procedures </w:t>
      </w:r>
      <w:r>
        <w:t>for that prison</w:t>
      </w:r>
    </w:p>
    <w:p w14:paraId="10A199C8" w14:textId="7BF3793F" w:rsidR="008A5DCC" w:rsidRDefault="00261774" w:rsidP="00E22B94">
      <w:pPr>
        <w:pStyle w:val="ListParagraph"/>
        <w:numPr>
          <w:ilvl w:val="0"/>
          <w:numId w:val="27"/>
        </w:numPr>
        <w:spacing w:before="120"/>
        <w:ind w:left="1134" w:hanging="425"/>
        <w:contextualSpacing w:val="0"/>
      </w:pPr>
      <w:r>
        <w:t>have had</w:t>
      </w:r>
      <w:r w:rsidR="008A5DCC" w:rsidRPr="00A63C5E">
        <w:t xml:space="preserve"> appropriate training or have the necessary certification</w:t>
      </w:r>
      <w:r w:rsidR="008A5DCC">
        <w:t xml:space="preserve"> (</w:t>
      </w:r>
      <w:r w:rsidR="008A5DCC" w:rsidRPr="00A63C5E">
        <w:t>to be assessed and logged</w:t>
      </w:r>
      <w:r w:rsidR="008A5DCC">
        <w:t>)</w:t>
      </w:r>
      <w:r w:rsidR="008A5DCC" w:rsidRPr="00A63C5E">
        <w:t xml:space="preserve"> to </w:t>
      </w:r>
      <w:r w:rsidR="008A5DCC">
        <w:t>driving</w:t>
      </w:r>
      <w:r w:rsidR="008A5DCC" w:rsidRPr="00A63C5E">
        <w:t xml:space="preserve"> the </w:t>
      </w:r>
      <w:r w:rsidR="008A5DCC">
        <w:t>relevant</w:t>
      </w:r>
      <w:r w:rsidR="008A5DCC" w:rsidRPr="00A63C5E">
        <w:t xml:space="preserve"> vehicl</w:t>
      </w:r>
      <w:r w:rsidR="008A5DCC">
        <w:t>e</w:t>
      </w:r>
      <w:r w:rsidRPr="00261774">
        <w:t xml:space="preserve"> </w:t>
      </w:r>
      <w:r>
        <w:t xml:space="preserve">and had their </w:t>
      </w:r>
      <w:hyperlink r:id="rId20" w:history="1">
        <w:r w:rsidRPr="0099593F">
          <w:rPr>
            <w:rStyle w:val="Hyperlink"/>
            <w:iCs/>
          </w:rPr>
          <w:t xml:space="preserve">C002 Prisoner </w:t>
        </w:r>
        <w:r w:rsidR="001B4168" w:rsidRPr="0099593F">
          <w:rPr>
            <w:rStyle w:val="Hyperlink"/>
            <w:iCs/>
          </w:rPr>
          <w:t xml:space="preserve">Safety Induction &amp; </w:t>
        </w:r>
        <w:r w:rsidRPr="0099593F">
          <w:rPr>
            <w:rStyle w:val="Hyperlink"/>
            <w:iCs/>
          </w:rPr>
          <w:t xml:space="preserve">Training </w:t>
        </w:r>
        <w:r w:rsidR="0043439E" w:rsidRPr="0099593F">
          <w:rPr>
            <w:rStyle w:val="Hyperlink"/>
            <w:iCs/>
          </w:rPr>
          <w:t>form</w:t>
        </w:r>
      </w:hyperlink>
      <w:r w:rsidR="0043439E" w:rsidRPr="001807CF">
        <w:t xml:space="preserve"> </w:t>
      </w:r>
      <w:r w:rsidR="001807CF">
        <w:t xml:space="preserve">on </w:t>
      </w:r>
      <w:r w:rsidR="002B06C5">
        <w:t xml:space="preserve">the </w:t>
      </w:r>
      <w:r w:rsidR="004B4485">
        <w:t>T</w:t>
      </w:r>
      <w:r w:rsidR="002B06C5">
        <w:t xml:space="preserve">otal </w:t>
      </w:r>
      <w:r w:rsidR="004B4485">
        <w:t>O</w:t>
      </w:r>
      <w:r w:rsidR="002B06C5">
        <w:t xml:space="preserve">ffender </w:t>
      </w:r>
      <w:r w:rsidR="004B4485">
        <w:t>M</w:t>
      </w:r>
      <w:r w:rsidR="002B06C5">
        <w:t xml:space="preserve">anagement </w:t>
      </w:r>
      <w:r w:rsidR="004B4485">
        <w:t>S</w:t>
      </w:r>
      <w:r w:rsidR="002B06C5">
        <w:t>olution (TOMS)</w:t>
      </w:r>
      <w:r w:rsidR="004B4485" w:rsidRPr="001807CF">
        <w:t xml:space="preserve"> </w:t>
      </w:r>
      <w:r w:rsidRPr="004B00EC">
        <w:t>endorsed accordingly</w:t>
      </w:r>
      <w:r>
        <w:t>.</w:t>
      </w:r>
    </w:p>
    <w:p w14:paraId="6D894968" w14:textId="4151CF4A" w:rsidR="00335823" w:rsidRPr="00566493" w:rsidRDefault="00335823" w:rsidP="006D622C">
      <w:pPr>
        <w:pStyle w:val="Heading2"/>
      </w:pPr>
      <w:bookmarkStart w:id="27" w:name="_Toc536015235"/>
      <w:bookmarkStart w:id="28" w:name="_Toc223435033"/>
      <w:r w:rsidRPr="00566493">
        <w:t>Prisoners operating mobile machinery</w:t>
      </w:r>
      <w:bookmarkEnd w:id="27"/>
      <w:bookmarkEnd w:id="28"/>
    </w:p>
    <w:p w14:paraId="36EC5682" w14:textId="4E69D9F7" w:rsidR="00407AD8" w:rsidRDefault="00407AD8" w:rsidP="006D622C">
      <w:pPr>
        <w:pStyle w:val="Heading3"/>
        <w:spacing w:before="240"/>
      </w:pPr>
      <w:r w:rsidRPr="00606760">
        <w:t>Prisoners shall hold the relevant licence or ‘ticket’ before authorised to operate mobile machine</w:t>
      </w:r>
      <w:r w:rsidR="004B4485" w:rsidRPr="00606760">
        <w:t>ry</w:t>
      </w:r>
      <w:r w:rsidRPr="00606760">
        <w:t xml:space="preserve">. </w:t>
      </w:r>
    </w:p>
    <w:p w14:paraId="728B01C8" w14:textId="77777777" w:rsidR="002F0151" w:rsidRDefault="008C190E" w:rsidP="00DB6606">
      <w:pPr>
        <w:pStyle w:val="Heading3"/>
      </w:pPr>
      <w:r w:rsidRPr="00606760">
        <w:t>P</w:t>
      </w:r>
      <w:r w:rsidR="00335823" w:rsidRPr="00606760">
        <w:t>risoner</w:t>
      </w:r>
      <w:r w:rsidRPr="00606760">
        <w:t>s</w:t>
      </w:r>
      <w:r w:rsidR="00335823" w:rsidRPr="00606760">
        <w:t xml:space="preserve"> </w:t>
      </w:r>
      <w:r w:rsidR="00407AD8" w:rsidRPr="00606760">
        <w:t>are to receive training in the use of the mobile machinery they</w:t>
      </w:r>
      <w:r w:rsidR="00763E13" w:rsidRPr="00606760">
        <w:t xml:space="preserve"> are authorised to operate, to a</w:t>
      </w:r>
      <w:r w:rsidR="00407AD8" w:rsidRPr="00606760">
        <w:t xml:space="preserve"> level and standard </w:t>
      </w:r>
      <w:r w:rsidR="00763E13" w:rsidRPr="00606760">
        <w:t>that</w:t>
      </w:r>
      <w:r w:rsidR="00335823" w:rsidRPr="00606760">
        <w:t xml:space="preserve"> ensure</w:t>
      </w:r>
      <w:r w:rsidR="00763E13" w:rsidRPr="00606760">
        <w:t>s</w:t>
      </w:r>
      <w:r w:rsidR="00335823" w:rsidRPr="00606760">
        <w:t xml:space="preserve"> </w:t>
      </w:r>
      <w:r w:rsidR="00763E13" w:rsidRPr="00606760">
        <w:t xml:space="preserve">its </w:t>
      </w:r>
      <w:r w:rsidR="00335823" w:rsidRPr="00606760">
        <w:t>safe</w:t>
      </w:r>
      <w:r w:rsidR="00763E13" w:rsidRPr="00606760">
        <w:t xml:space="preserve"> operation. </w:t>
      </w:r>
    </w:p>
    <w:p w14:paraId="46D1FAC4" w14:textId="0B9BC96D" w:rsidR="00335823" w:rsidRPr="00606760" w:rsidRDefault="00763E13" w:rsidP="00F70112">
      <w:pPr>
        <w:pStyle w:val="Heading3"/>
        <w:numPr>
          <w:ilvl w:val="0"/>
          <w:numId w:val="0"/>
        </w:numPr>
      </w:pPr>
      <w:r w:rsidRPr="00606760">
        <w:t xml:space="preserve">This </w:t>
      </w:r>
      <w:r w:rsidR="00E732C6" w:rsidRPr="00606760">
        <w:t xml:space="preserve">shall </w:t>
      </w:r>
      <w:r w:rsidRPr="00606760">
        <w:t xml:space="preserve">include: </w:t>
      </w:r>
    </w:p>
    <w:p w14:paraId="6278CB9E" w14:textId="2B7EC3C0" w:rsidR="00335823" w:rsidRDefault="00763E13" w:rsidP="00E22B94">
      <w:pPr>
        <w:pStyle w:val="ListParagraph"/>
        <w:numPr>
          <w:ilvl w:val="0"/>
          <w:numId w:val="14"/>
        </w:numPr>
        <w:spacing w:before="120"/>
        <w:ind w:left="1077" w:hanging="357"/>
        <w:contextualSpacing w:val="0"/>
      </w:pPr>
      <w:r>
        <w:t xml:space="preserve">relevant </w:t>
      </w:r>
      <w:r w:rsidR="001428AB" w:rsidRPr="006D622C">
        <w:t>Safe Operating Procedures</w:t>
      </w:r>
      <w:r w:rsidR="001428AB" w:rsidRPr="004B00EC">
        <w:t xml:space="preserve"> </w:t>
      </w:r>
    </w:p>
    <w:p w14:paraId="4F285539" w14:textId="7C19E742" w:rsidR="00335823" w:rsidRPr="004B00EC" w:rsidRDefault="00763E13" w:rsidP="00E22B94">
      <w:pPr>
        <w:pStyle w:val="ListParagraph"/>
        <w:numPr>
          <w:ilvl w:val="0"/>
          <w:numId w:val="14"/>
        </w:numPr>
        <w:spacing w:before="120"/>
        <w:ind w:left="1077" w:hanging="357"/>
        <w:contextualSpacing w:val="0"/>
      </w:pPr>
      <w:r w:rsidRPr="004B00EC">
        <w:t>Occupational Safety and Health requirements</w:t>
      </w:r>
      <w:r w:rsidR="00335823" w:rsidRPr="004B00EC">
        <w:t>.</w:t>
      </w:r>
    </w:p>
    <w:p w14:paraId="595A556E" w14:textId="111AF12E" w:rsidR="00335823" w:rsidRPr="00606760" w:rsidRDefault="00335823" w:rsidP="00DB6606">
      <w:pPr>
        <w:pStyle w:val="Heading3"/>
      </w:pPr>
      <w:r w:rsidRPr="00606760">
        <w:t xml:space="preserve">It is mandatory that all ‘authorised’ prisoners, have their individual </w:t>
      </w:r>
      <w:hyperlink r:id="rId21" w:history="1">
        <w:r w:rsidRPr="0099593F">
          <w:rPr>
            <w:rStyle w:val="Hyperlink"/>
          </w:rPr>
          <w:t xml:space="preserve">C002 Prisoner </w:t>
        </w:r>
        <w:r w:rsidR="001B4168" w:rsidRPr="0099593F">
          <w:rPr>
            <w:rStyle w:val="Hyperlink"/>
          </w:rPr>
          <w:t xml:space="preserve">Safety &amp; </w:t>
        </w:r>
        <w:r w:rsidRPr="0099593F">
          <w:rPr>
            <w:rStyle w:val="Hyperlink"/>
          </w:rPr>
          <w:t>Training Form</w:t>
        </w:r>
      </w:hyperlink>
      <w:r w:rsidR="00E732C6" w:rsidRPr="00606760">
        <w:rPr>
          <w:rStyle w:val="Hyperlink"/>
          <w:color w:val="000000" w:themeColor="text1"/>
          <w:u w:val="none"/>
        </w:rPr>
        <w:t xml:space="preserve"> </w:t>
      </w:r>
      <w:r w:rsidR="001807CF" w:rsidRPr="00606760">
        <w:rPr>
          <w:rStyle w:val="Hyperlink"/>
          <w:color w:val="000000" w:themeColor="text1"/>
          <w:u w:val="none"/>
        </w:rPr>
        <w:t xml:space="preserve">on </w:t>
      </w:r>
      <w:r w:rsidR="00E732C6" w:rsidRPr="00606760">
        <w:rPr>
          <w:rStyle w:val="Hyperlink"/>
          <w:color w:val="000000" w:themeColor="text1"/>
          <w:u w:val="none"/>
        </w:rPr>
        <w:t>TOMS</w:t>
      </w:r>
      <w:r w:rsidRPr="00606760">
        <w:t xml:space="preserve"> endorsed accordingly.  </w:t>
      </w:r>
    </w:p>
    <w:p w14:paraId="798C421C" w14:textId="355ADAF0" w:rsidR="00335823" w:rsidRPr="00606760" w:rsidRDefault="00335823" w:rsidP="00DB6606">
      <w:pPr>
        <w:pStyle w:val="Heading3"/>
      </w:pPr>
      <w:r w:rsidRPr="00606760">
        <w:t>Before giving permission to a prisoner to operate any vehicle or mobile machinery, obtain confirmation they are not on any medication that may impair their ability to operate any such vehicle</w:t>
      </w:r>
      <w:r w:rsidR="008B5021">
        <w:rPr>
          <w:rStyle w:val="FootnoteReference"/>
        </w:rPr>
        <w:footnoteReference w:id="4"/>
      </w:r>
      <w:r w:rsidRPr="00606760">
        <w:t xml:space="preserve"> or mobile machinery. </w:t>
      </w:r>
    </w:p>
    <w:p w14:paraId="14D1349F" w14:textId="77777777" w:rsidR="00335823" w:rsidRDefault="00335823">
      <w:bookmarkStart w:id="29" w:name="_Vehicle_Control,_including"/>
      <w:bookmarkEnd w:id="29"/>
      <w:r>
        <w:br w:type="page"/>
      </w:r>
    </w:p>
    <w:p w14:paraId="38DC6266" w14:textId="77777777" w:rsidR="00335823" w:rsidRPr="00535C94" w:rsidRDefault="00335823" w:rsidP="00DB6606">
      <w:pPr>
        <w:pStyle w:val="Heading1"/>
      </w:pPr>
      <w:bookmarkStart w:id="30" w:name="_Toc383596040"/>
      <w:bookmarkStart w:id="31" w:name="_Toc383596050"/>
      <w:bookmarkStart w:id="32" w:name="_Strip_searches"/>
      <w:bookmarkStart w:id="33" w:name="_Toc383596058"/>
      <w:bookmarkStart w:id="34" w:name="_Toc383596059"/>
      <w:bookmarkStart w:id="35" w:name="_Toc383596060"/>
      <w:bookmarkStart w:id="36" w:name="_Toc383596064"/>
      <w:bookmarkStart w:id="37" w:name="_Toc383596071"/>
      <w:bookmarkStart w:id="38" w:name="_Toc383596072"/>
      <w:bookmarkStart w:id="39" w:name="_Toc383596073"/>
      <w:bookmarkStart w:id="40" w:name="_Toc376252806"/>
      <w:bookmarkStart w:id="41" w:name="_Toc383596074"/>
      <w:bookmarkStart w:id="42" w:name="_Toc376252807"/>
      <w:bookmarkStart w:id="43" w:name="_Toc383596075"/>
      <w:bookmarkStart w:id="44" w:name="_Toc383596077"/>
      <w:bookmarkStart w:id="45" w:name="_Toc383596078"/>
      <w:bookmarkStart w:id="46" w:name="_Toc383596079"/>
      <w:bookmarkStart w:id="47" w:name="_Toc383596080"/>
      <w:bookmarkStart w:id="48" w:name="_Toc383596082"/>
      <w:bookmarkStart w:id="49" w:name="_Toc383596083"/>
      <w:bookmarkStart w:id="50" w:name="_Toc383596084"/>
      <w:bookmarkStart w:id="51" w:name="_Toc383596085"/>
      <w:bookmarkStart w:id="52" w:name="_Toc383596086"/>
      <w:bookmarkStart w:id="53" w:name="_Toc383596087"/>
      <w:bookmarkStart w:id="54" w:name="_Toc383596088"/>
      <w:bookmarkStart w:id="55" w:name="_Toc383596090"/>
      <w:bookmarkStart w:id="56" w:name="_Toc383596091"/>
      <w:bookmarkStart w:id="57" w:name="_Toc383596092"/>
      <w:bookmarkStart w:id="58" w:name="_Toc383596093"/>
      <w:bookmarkStart w:id="59" w:name="_Toc383596094"/>
      <w:bookmarkStart w:id="60" w:name="_Toc383596095"/>
      <w:bookmarkStart w:id="61" w:name="_Toc383596096"/>
      <w:bookmarkStart w:id="62" w:name="_Toc383596097"/>
      <w:bookmarkStart w:id="63" w:name="_Toc383596098"/>
      <w:bookmarkStart w:id="64" w:name="_Prohibited_items_and"/>
      <w:bookmarkStart w:id="65" w:name="_Toc383596100"/>
      <w:bookmarkStart w:id="66" w:name="_Toc383596101"/>
      <w:bookmarkStart w:id="67" w:name="_Toc383596102"/>
      <w:bookmarkStart w:id="68" w:name="_Toc383596104"/>
      <w:bookmarkStart w:id="69" w:name="_Toc383596108"/>
      <w:bookmarkStart w:id="70" w:name="_Toc383596109"/>
      <w:bookmarkStart w:id="71" w:name="_Toc383596110"/>
      <w:bookmarkStart w:id="72" w:name="_Toc383596111"/>
      <w:bookmarkStart w:id="73" w:name="_Toc383596112"/>
      <w:bookmarkStart w:id="74" w:name="_Toc383596113"/>
      <w:bookmarkStart w:id="75" w:name="_Toc383596120"/>
      <w:bookmarkStart w:id="76" w:name="_Toc383596121"/>
      <w:bookmarkStart w:id="77" w:name="_Toc383596124"/>
      <w:bookmarkStart w:id="78" w:name="_Toc383596125"/>
      <w:bookmarkStart w:id="79" w:name="_Toc383596126"/>
      <w:bookmarkStart w:id="80" w:name="_Toc383596127"/>
      <w:bookmarkStart w:id="81" w:name="_Toc383596128"/>
      <w:bookmarkStart w:id="82" w:name="_Toc383596130"/>
      <w:bookmarkStart w:id="83" w:name="_Contraband_finds_1"/>
      <w:bookmarkStart w:id="84" w:name="_Contraband_finds"/>
      <w:bookmarkStart w:id="85" w:name="_Toc536015239"/>
      <w:bookmarkStart w:id="86" w:name="_Toc22343503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535C94">
        <w:lastRenderedPageBreak/>
        <w:t>Annexures</w:t>
      </w:r>
      <w:bookmarkEnd w:id="85"/>
      <w:bookmarkEnd w:id="86"/>
    </w:p>
    <w:p w14:paraId="605D03F0" w14:textId="64106D61" w:rsidR="00335823" w:rsidRDefault="00335823" w:rsidP="00DB6606">
      <w:pPr>
        <w:pStyle w:val="Heading2"/>
      </w:pPr>
      <w:bookmarkStart w:id="87" w:name="_Related_COPPS_and"/>
      <w:bookmarkStart w:id="88" w:name="_Toc536015241"/>
      <w:bookmarkStart w:id="89" w:name="_Toc223435035"/>
      <w:bookmarkEnd w:id="87"/>
      <w:r w:rsidRPr="00535C94">
        <w:t>Related COPP</w:t>
      </w:r>
      <w:r w:rsidR="001E67B2">
        <w:t>s</w:t>
      </w:r>
      <w:r w:rsidRPr="00535C94">
        <w:t xml:space="preserve"> and documents</w:t>
      </w:r>
      <w:bookmarkEnd w:id="88"/>
      <w:bookmarkEnd w:id="89"/>
    </w:p>
    <w:p w14:paraId="594978E7" w14:textId="72B0293B" w:rsidR="00AA6BC9" w:rsidRPr="008418DE" w:rsidRDefault="00AA6BC9" w:rsidP="00E22B94">
      <w:pPr>
        <w:spacing w:before="120"/>
        <w:rPr>
          <w:b/>
          <w:bCs/>
        </w:rPr>
      </w:pPr>
      <w:r w:rsidRPr="008418DE">
        <w:rPr>
          <w:b/>
          <w:bCs/>
        </w:rPr>
        <w:t>Related COPPs</w:t>
      </w:r>
    </w:p>
    <w:p w14:paraId="6AF94BAD" w14:textId="3BBAF075" w:rsidR="00BB385B" w:rsidRPr="00621EAD" w:rsidRDefault="00621EAD" w:rsidP="008418DE">
      <w:pPr>
        <w:pStyle w:val="ListBullet"/>
        <w:rPr>
          <w:rStyle w:val="Hyperlink"/>
        </w:rPr>
      </w:pPr>
      <w:r>
        <w:rPr>
          <w:bCs/>
          <w:iCs/>
        </w:rPr>
        <w:fldChar w:fldCharType="begin"/>
      </w:r>
      <w:r>
        <w:rPr>
          <w:bCs/>
          <w:iCs/>
        </w:rPr>
        <w:instrText>HYPERLINK "https://dojwa.sharepoint.com/sites/intranet/prison-operations/Pages/prison-copps.aspx"</w:instrText>
      </w:r>
      <w:r>
        <w:rPr>
          <w:bCs/>
          <w:iCs/>
        </w:rPr>
      </w:r>
      <w:r>
        <w:rPr>
          <w:bCs/>
          <w:iCs/>
        </w:rPr>
        <w:fldChar w:fldCharType="separate"/>
      </w:r>
      <w:r w:rsidR="00B356C4" w:rsidRPr="00621EAD">
        <w:rPr>
          <w:rStyle w:val="Hyperlink"/>
          <w:bCs/>
          <w:iCs/>
        </w:rPr>
        <w:t xml:space="preserve">COPP 11.2 </w:t>
      </w:r>
      <w:r w:rsidR="00FF20B8" w:rsidRPr="00621EAD">
        <w:rPr>
          <w:rStyle w:val="Hyperlink"/>
          <w:bCs/>
          <w:iCs/>
        </w:rPr>
        <w:t xml:space="preserve">– </w:t>
      </w:r>
      <w:r w:rsidR="00B356C4" w:rsidRPr="00621EAD">
        <w:rPr>
          <w:rStyle w:val="Hyperlink"/>
          <w:bCs/>
          <w:iCs/>
        </w:rPr>
        <w:t>Searching</w:t>
      </w:r>
    </w:p>
    <w:p w14:paraId="220B2A80" w14:textId="49168C28" w:rsidR="00904390" w:rsidRPr="00621EAD" w:rsidRDefault="00621EAD" w:rsidP="008418DE">
      <w:pPr>
        <w:pStyle w:val="ListBullet"/>
        <w:rPr>
          <w:rStyle w:val="Hyperlink"/>
        </w:rPr>
      </w:pPr>
      <w:r>
        <w:rPr>
          <w:bCs/>
          <w:iCs/>
        </w:rPr>
        <w:fldChar w:fldCharType="end"/>
      </w:r>
      <w:r>
        <w:rPr>
          <w:bCs/>
          <w:iCs/>
        </w:rPr>
        <w:fldChar w:fldCharType="begin"/>
      </w:r>
      <w:r>
        <w:rPr>
          <w:bCs/>
          <w:iCs/>
        </w:rPr>
        <w:instrText>HYPERLINK "https://dojwa.sharepoint.com/sites/intranet/prison-operations/Pages/prison-copps.aspx"</w:instrText>
      </w:r>
      <w:r>
        <w:rPr>
          <w:bCs/>
          <w:iCs/>
        </w:rPr>
      </w:r>
      <w:r>
        <w:rPr>
          <w:bCs/>
          <w:iCs/>
        </w:rPr>
        <w:fldChar w:fldCharType="separate"/>
      </w:r>
      <w:r w:rsidR="00BB385B" w:rsidRPr="00621EAD">
        <w:rPr>
          <w:rStyle w:val="Hyperlink"/>
          <w:bCs/>
          <w:iCs/>
        </w:rPr>
        <w:t xml:space="preserve">COPP 13.1 – Incident </w:t>
      </w:r>
      <w:r w:rsidR="002F0151" w:rsidRPr="00621EAD">
        <w:rPr>
          <w:rStyle w:val="Hyperlink"/>
          <w:bCs/>
          <w:iCs/>
        </w:rPr>
        <w:t>N</w:t>
      </w:r>
      <w:r w:rsidR="00BB385B" w:rsidRPr="00621EAD">
        <w:rPr>
          <w:rStyle w:val="Hyperlink"/>
          <w:bCs/>
          <w:iCs/>
        </w:rPr>
        <w:t xml:space="preserve">otifications, </w:t>
      </w:r>
      <w:r w:rsidR="002F0151" w:rsidRPr="00621EAD">
        <w:rPr>
          <w:rStyle w:val="Hyperlink"/>
          <w:bCs/>
          <w:iCs/>
        </w:rPr>
        <w:t>R</w:t>
      </w:r>
      <w:r w:rsidR="00D06183" w:rsidRPr="00621EAD">
        <w:rPr>
          <w:rStyle w:val="Hyperlink"/>
          <w:bCs/>
          <w:iCs/>
        </w:rPr>
        <w:t>eporting,</w:t>
      </w:r>
      <w:r w:rsidR="00BB385B" w:rsidRPr="00621EAD">
        <w:rPr>
          <w:rStyle w:val="Hyperlink"/>
          <w:bCs/>
          <w:iCs/>
        </w:rPr>
        <w:t xml:space="preserve"> and </w:t>
      </w:r>
      <w:r w:rsidR="002F0151" w:rsidRPr="00621EAD">
        <w:rPr>
          <w:rStyle w:val="Hyperlink"/>
          <w:bCs/>
          <w:iCs/>
        </w:rPr>
        <w:t>C</w:t>
      </w:r>
      <w:r w:rsidR="00BB385B" w:rsidRPr="00621EAD">
        <w:rPr>
          <w:rStyle w:val="Hyperlink"/>
          <w:bCs/>
          <w:iCs/>
        </w:rPr>
        <w:t>ommunications</w:t>
      </w:r>
    </w:p>
    <w:p w14:paraId="39E1357E" w14:textId="2B99709D" w:rsidR="00BB385B" w:rsidRPr="008418DE" w:rsidRDefault="00621EAD" w:rsidP="008418DE">
      <w:r>
        <w:rPr>
          <w:rFonts w:eastAsia="Times New Roman"/>
          <w:bCs/>
          <w:iCs/>
          <w:szCs w:val="22"/>
        </w:rPr>
        <w:fldChar w:fldCharType="end"/>
      </w:r>
    </w:p>
    <w:p w14:paraId="2E7353E9" w14:textId="216A398F" w:rsidR="00AA6BC9" w:rsidRPr="008418DE" w:rsidRDefault="00AA6BC9" w:rsidP="008418DE">
      <w:pPr>
        <w:rPr>
          <w:b/>
          <w:bCs/>
        </w:rPr>
      </w:pPr>
      <w:r w:rsidRPr="008418DE">
        <w:rPr>
          <w:b/>
          <w:bCs/>
        </w:rPr>
        <w:t>Related Documents</w:t>
      </w:r>
    </w:p>
    <w:p w14:paraId="6AE7CF41" w14:textId="388D6728" w:rsidR="00A87EC9" w:rsidRPr="008418DE" w:rsidRDefault="00A87EC9" w:rsidP="008418DE">
      <w:pPr>
        <w:pStyle w:val="ListBullet"/>
      </w:pPr>
      <w:hyperlink r:id="rId22" w:history="1">
        <w:r w:rsidRPr="00B85648">
          <w:rPr>
            <w:rStyle w:val="Hyperlink"/>
          </w:rPr>
          <w:t>Minimum Standards for Secure Escort Vehicles</w:t>
        </w:r>
      </w:hyperlink>
      <w:r w:rsidRPr="00B85648">
        <w:t xml:space="preserve"> </w:t>
      </w:r>
    </w:p>
    <w:p w14:paraId="0F7D0A55" w14:textId="4B64122D" w:rsidR="00323D15" w:rsidRDefault="00323D15" w:rsidP="008418DE">
      <w:pPr>
        <w:pStyle w:val="ListBullet"/>
      </w:pPr>
      <w:hyperlink r:id="rId23" w:history="1">
        <w:r w:rsidRPr="00323D15">
          <w:rPr>
            <w:rStyle w:val="Hyperlink"/>
          </w:rPr>
          <w:t>WA Government Fleet Policy and Guidelines (Effective 8 September 2017)</w:t>
        </w:r>
      </w:hyperlink>
    </w:p>
    <w:p w14:paraId="5A06CEB9" w14:textId="77777777" w:rsidR="00335823" w:rsidRPr="00535C94" w:rsidRDefault="00335823" w:rsidP="00DB6606">
      <w:pPr>
        <w:pStyle w:val="Heading2"/>
      </w:pPr>
      <w:bookmarkStart w:id="90" w:name="_Toc536015242"/>
      <w:bookmarkStart w:id="91" w:name="_Toc223435036"/>
      <w:r w:rsidRPr="00535C94">
        <w:t>Definitions and acronyms</w:t>
      </w:r>
      <w:bookmarkEnd w:id="90"/>
      <w:bookmarkEnd w:id="91"/>
    </w:p>
    <w:tbl>
      <w:tblPr>
        <w:tblStyle w:val="DCStable"/>
        <w:tblW w:w="9204" w:type="dxa"/>
        <w:tblInd w:w="5" w:type="dxa"/>
        <w:tblLook w:val="04A0" w:firstRow="1" w:lastRow="0" w:firstColumn="1" w:lastColumn="0" w:noHBand="0" w:noVBand="1"/>
      </w:tblPr>
      <w:tblGrid>
        <w:gridCol w:w="2087"/>
        <w:gridCol w:w="7117"/>
      </w:tblGrid>
      <w:tr w:rsidR="00335823" w:rsidRPr="000E6F0A" w14:paraId="7013AB6C" w14:textId="77777777" w:rsidTr="00DB6606">
        <w:trPr>
          <w:cnfStyle w:val="100000000000" w:firstRow="1" w:lastRow="0" w:firstColumn="0" w:lastColumn="0" w:oddVBand="0" w:evenVBand="0" w:oddHBand="0" w:evenHBand="0" w:firstRowFirstColumn="0" w:firstRowLastColumn="0" w:lastRowFirstColumn="0" w:lastRowLastColumn="0"/>
          <w:trHeight w:val="340"/>
        </w:trPr>
        <w:tc>
          <w:tcPr>
            <w:tcW w:w="2087" w:type="dxa"/>
          </w:tcPr>
          <w:p w14:paraId="52356E71" w14:textId="77777777" w:rsidR="00335823" w:rsidRPr="00CF6125" w:rsidRDefault="00335823" w:rsidP="00DB6606">
            <w:pPr>
              <w:pStyle w:val="Tableheading"/>
            </w:pPr>
            <w:r>
              <w:t>Term</w:t>
            </w:r>
          </w:p>
        </w:tc>
        <w:tc>
          <w:tcPr>
            <w:tcW w:w="7117" w:type="dxa"/>
          </w:tcPr>
          <w:p w14:paraId="66DAB9B8" w14:textId="77777777" w:rsidR="00335823" w:rsidRPr="00CF6125" w:rsidRDefault="00335823" w:rsidP="00DB6606">
            <w:pPr>
              <w:pStyle w:val="Tableheading"/>
            </w:pPr>
            <w:r>
              <w:t xml:space="preserve">Definition </w:t>
            </w:r>
          </w:p>
        </w:tc>
      </w:tr>
      <w:tr w:rsidR="00567D77" w:rsidRPr="000E6F0A" w14:paraId="00DDD662" w14:textId="77777777" w:rsidTr="00DB6606">
        <w:tc>
          <w:tcPr>
            <w:tcW w:w="2087" w:type="dxa"/>
          </w:tcPr>
          <w:p w14:paraId="3DA4376F" w14:textId="709FBC0C" w:rsidR="00567D77" w:rsidRPr="00567D77" w:rsidRDefault="00FF20B8" w:rsidP="00DB6606">
            <w:pPr>
              <w:pStyle w:val="Tabledata"/>
              <w:rPr>
                <w:b/>
              </w:rPr>
            </w:pPr>
            <w:r>
              <w:t>Commissioner’s Operating</w:t>
            </w:r>
            <w:r w:rsidR="00567D77" w:rsidRPr="00567D77">
              <w:t xml:space="preserve"> Policy and Procedures (COPP)</w:t>
            </w:r>
          </w:p>
        </w:tc>
        <w:tc>
          <w:tcPr>
            <w:tcW w:w="7117" w:type="dxa"/>
          </w:tcPr>
          <w:p w14:paraId="5FEF7810" w14:textId="5B5A7962" w:rsidR="00567D77" w:rsidRPr="00FF20B8" w:rsidRDefault="00567D77" w:rsidP="00DB6606">
            <w:pPr>
              <w:pStyle w:val="Tabledata"/>
            </w:pPr>
            <w:r w:rsidRPr="00FF20B8">
              <w:t>COPPs are policy documents that provide instructions to staff as to how the relevant legislative requirements are implemented.</w:t>
            </w:r>
          </w:p>
        </w:tc>
      </w:tr>
      <w:tr w:rsidR="00622EBE" w:rsidRPr="000E6F0A" w14:paraId="6EE0E1C3" w14:textId="77777777" w:rsidTr="00DB6606">
        <w:tc>
          <w:tcPr>
            <w:tcW w:w="2087" w:type="dxa"/>
          </w:tcPr>
          <w:p w14:paraId="38E4AD5A" w14:textId="25B7A794" w:rsidR="00622EBE" w:rsidRPr="00622EBE" w:rsidRDefault="00261F23" w:rsidP="00DB6606">
            <w:pPr>
              <w:pStyle w:val="Tabledata"/>
              <w:rPr>
                <w:b/>
              </w:rPr>
            </w:pPr>
            <w:r w:rsidRPr="00261F23">
              <w:t>Department</w:t>
            </w:r>
          </w:p>
        </w:tc>
        <w:tc>
          <w:tcPr>
            <w:tcW w:w="7117" w:type="dxa"/>
          </w:tcPr>
          <w:p w14:paraId="37DB3083" w14:textId="12EF28AE" w:rsidR="00622EBE" w:rsidRPr="00622EBE" w:rsidRDefault="00261F23" w:rsidP="00DB6606">
            <w:pPr>
              <w:pStyle w:val="Tabledata"/>
              <w:rPr>
                <w:rFonts w:eastAsiaTheme="majorEastAsia" w:cstheme="majorBidi"/>
                <w:bCs/>
              </w:rPr>
            </w:pPr>
            <w:r w:rsidRPr="00FF20B8">
              <w:t>Department of Justice (Corrective Services)</w:t>
            </w:r>
          </w:p>
        </w:tc>
      </w:tr>
      <w:tr w:rsidR="00261F23" w:rsidRPr="000E6F0A" w14:paraId="5B13571B" w14:textId="77777777" w:rsidTr="00DB6606">
        <w:tc>
          <w:tcPr>
            <w:tcW w:w="2087" w:type="dxa"/>
          </w:tcPr>
          <w:p w14:paraId="216E98BC" w14:textId="6A022DBB" w:rsidR="00261F23" w:rsidRPr="00622EBE" w:rsidRDefault="00261F23" w:rsidP="00DB6606">
            <w:pPr>
              <w:pStyle w:val="Tabledata"/>
            </w:pPr>
            <w:r w:rsidRPr="00622EBE">
              <w:t>Guiding Principles for Corrections in Australia, 2018</w:t>
            </w:r>
          </w:p>
        </w:tc>
        <w:tc>
          <w:tcPr>
            <w:tcW w:w="7117" w:type="dxa"/>
          </w:tcPr>
          <w:p w14:paraId="2AE62B2E" w14:textId="5A3845EA" w:rsidR="00261F23" w:rsidRPr="00622EBE" w:rsidRDefault="00261F23" w:rsidP="00DB6606">
            <w:pPr>
              <w:pStyle w:val="Tabledata"/>
              <w:rPr>
                <w:rFonts w:eastAsiaTheme="majorEastAsia" w:cstheme="majorBidi"/>
                <w:bCs/>
              </w:rPr>
            </w:pPr>
            <w:r w:rsidRPr="00622EBE">
              <w:rPr>
                <w:rFonts w:eastAsiaTheme="majorEastAsia" w:cstheme="majorBidi"/>
                <w:bCs/>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622EBE" w:rsidRPr="00CB27A8" w14:paraId="39B0D3DB" w14:textId="77777777" w:rsidTr="00DB6606">
        <w:tc>
          <w:tcPr>
            <w:tcW w:w="2087" w:type="dxa"/>
          </w:tcPr>
          <w:p w14:paraId="5AA72C6D" w14:textId="4FD43DA7" w:rsidR="00622EBE" w:rsidRPr="00CB27A8" w:rsidRDefault="00622EBE" w:rsidP="00DB6606">
            <w:pPr>
              <w:pStyle w:val="Tabledata"/>
              <w:rPr>
                <w:b/>
              </w:rPr>
            </w:pPr>
            <w:r w:rsidRPr="00CB27A8">
              <w:t>Non-</w:t>
            </w:r>
            <w:r>
              <w:t>P</w:t>
            </w:r>
            <w:r w:rsidRPr="00CB27A8">
              <w:t>rison Vehicle</w:t>
            </w:r>
          </w:p>
        </w:tc>
        <w:tc>
          <w:tcPr>
            <w:tcW w:w="7117" w:type="dxa"/>
          </w:tcPr>
          <w:p w14:paraId="5A60412A" w14:textId="4E977379" w:rsidR="00622EBE" w:rsidRPr="00FF20B8" w:rsidRDefault="00622EBE" w:rsidP="00DB6606">
            <w:pPr>
              <w:pStyle w:val="Tabledata"/>
            </w:pPr>
            <w:r w:rsidRPr="00FF20B8">
              <w:t>All vehicles not under management of prisons, requiring entry to a prison for a specified purpose (</w:t>
            </w:r>
            <w:r w:rsidR="00DB6606">
              <w:t>eg</w:t>
            </w:r>
            <w:r w:rsidRPr="00FF20B8">
              <w:t xml:space="preserve"> emergency services vehicles, contractor vehicles).</w:t>
            </w:r>
          </w:p>
        </w:tc>
      </w:tr>
      <w:tr w:rsidR="00622EBE" w:rsidRPr="00CB27A8" w14:paraId="196EF575" w14:textId="77777777" w:rsidTr="00DB6606">
        <w:tc>
          <w:tcPr>
            <w:tcW w:w="2087" w:type="dxa"/>
          </w:tcPr>
          <w:p w14:paraId="0731A2B8" w14:textId="34713FC1" w:rsidR="00622EBE" w:rsidRPr="0073517E" w:rsidRDefault="00622EBE" w:rsidP="00DB6606">
            <w:pPr>
              <w:pStyle w:val="Tabledata"/>
              <w:rPr>
                <w:b/>
              </w:rPr>
            </w:pPr>
            <w:r w:rsidRPr="0073517E">
              <w:rPr>
                <w:rFonts w:cs="Arial"/>
              </w:rPr>
              <w:t>Officer</w:t>
            </w:r>
          </w:p>
        </w:tc>
        <w:tc>
          <w:tcPr>
            <w:tcW w:w="7117" w:type="dxa"/>
          </w:tcPr>
          <w:p w14:paraId="163C1143" w14:textId="39469B37" w:rsidR="00622EBE" w:rsidRPr="001F76D1" w:rsidRDefault="001F76D1" w:rsidP="00DB6606">
            <w:pPr>
              <w:pStyle w:val="Tabledata"/>
              <w:rPr>
                <w:rFonts w:eastAsia="Calibri"/>
              </w:rPr>
            </w:pPr>
            <w:r w:rsidRPr="001F76D1">
              <w:rPr>
                <w:rFonts w:cs="Arial"/>
              </w:rPr>
              <w:t xml:space="preserve">A person appointed or deemed to have been appointed for the purposes of the </w:t>
            </w:r>
            <w:hyperlink w:anchor="_top" w:history="1">
              <w:r w:rsidRPr="001F76D1">
                <w:rPr>
                  <w:rFonts w:cs="Arial"/>
                  <w:i/>
                </w:rPr>
                <w:t>Prisons Act 1981</w:t>
              </w:r>
            </w:hyperlink>
            <w:r w:rsidRPr="001F76D1">
              <w:rPr>
                <w:rFonts w:cs="Arial"/>
              </w:rPr>
              <w:t xml:space="preserve"> under, or as referred to in, Section 6 or Section 13. Also includes any contract worker authorised by the Commissioner under Section15I (1) (b)</w:t>
            </w:r>
            <w:r w:rsidRPr="001F76D1">
              <w:rPr>
                <w:rFonts w:cs="Arial"/>
                <w:i/>
              </w:rPr>
              <w:t xml:space="preserve"> </w:t>
            </w:r>
            <w:hyperlink w:anchor="_top" w:history="1">
              <w:r w:rsidRPr="008418DE">
                <w:rPr>
                  <w:rStyle w:val="Hyperlink"/>
                  <w:i/>
                </w:rPr>
                <w:t>Prisons Act 1981</w:t>
              </w:r>
            </w:hyperlink>
            <w:r w:rsidRPr="001F76D1">
              <w:rPr>
                <w:rFonts w:cs="Arial"/>
              </w:rPr>
              <w:t xml:space="preserve"> to perform the functions of a prison officer</w:t>
            </w:r>
            <w:r w:rsidRPr="001F76D1">
              <w:rPr>
                <w:rFonts w:eastAsia="Calibri"/>
              </w:rPr>
              <w:t>.</w:t>
            </w:r>
          </w:p>
        </w:tc>
      </w:tr>
      <w:tr w:rsidR="00BA2293" w:rsidRPr="00CB27A8" w14:paraId="53360E06" w14:textId="77777777" w:rsidTr="00DB6606">
        <w:tc>
          <w:tcPr>
            <w:tcW w:w="2087" w:type="dxa"/>
          </w:tcPr>
          <w:p w14:paraId="7ABA71E5" w14:textId="20D06656" w:rsidR="00BA2293" w:rsidRPr="0073517E" w:rsidRDefault="00BA2293" w:rsidP="00DB6606">
            <w:pPr>
              <w:pStyle w:val="Tabledata"/>
              <w:rPr>
                <w:rFonts w:cs="Arial"/>
              </w:rPr>
            </w:pPr>
            <w:r>
              <w:rPr>
                <w:rFonts w:cs="Arial"/>
              </w:rPr>
              <w:t>Officer in Charge (OIC)</w:t>
            </w:r>
          </w:p>
        </w:tc>
        <w:tc>
          <w:tcPr>
            <w:tcW w:w="7117" w:type="dxa"/>
          </w:tcPr>
          <w:p w14:paraId="5DB06596" w14:textId="0943451E" w:rsidR="00BA2293" w:rsidRPr="001F76D1" w:rsidRDefault="00BA2293" w:rsidP="00DB6606">
            <w:pPr>
              <w:pStyle w:val="Tabledata"/>
              <w:rPr>
                <w:rFonts w:cs="Arial"/>
              </w:rPr>
            </w:pPr>
            <w:r w:rsidRPr="00BA2293">
              <w:rPr>
                <w:rFonts w:cs="Arial"/>
              </w:rPr>
              <w:t>An officer designated as having the charge and superintendence of a prison in the absence of the Superintendent</w:t>
            </w:r>
            <w:r>
              <w:rPr>
                <w:rFonts w:cs="Arial"/>
              </w:rPr>
              <w:t>.</w:t>
            </w:r>
          </w:p>
        </w:tc>
      </w:tr>
      <w:tr w:rsidR="00622EBE" w14:paraId="78E3ACEF" w14:textId="77777777" w:rsidTr="00DB6606">
        <w:tc>
          <w:tcPr>
            <w:tcW w:w="2087" w:type="dxa"/>
          </w:tcPr>
          <w:p w14:paraId="5AA9F3E6" w14:textId="77777777" w:rsidR="00622EBE" w:rsidRPr="005435AD" w:rsidRDefault="00622EBE" w:rsidP="00DB6606">
            <w:pPr>
              <w:pStyle w:val="Tabledata"/>
              <w:rPr>
                <w:b/>
              </w:rPr>
            </w:pPr>
            <w:r>
              <w:t>Prison Vehicle</w:t>
            </w:r>
          </w:p>
        </w:tc>
        <w:tc>
          <w:tcPr>
            <w:tcW w:w="7117" w:type="dxa"/>
          </w:tcPr>
          <w:p w14:paraId="44FEAA9A" w14:textId="6BB3CDE8" w:rsidR="00622EBE" w:rsidRPr="00FF20B8" w:rsidRDefault="00622EBE" w:rsidP="00DB6606">
            <w:pPr>
              <w:pStyle w:val="Tabledata"/>
            </w:pPr>
            <w:r w:rsidRPr="009B03FE">
              <w:t>All</w:t>
            </w:r>
            <w:r w:rsidRPr="00FF20B8">
              <w:t xml:space="preserve"> vehicles managed and operated by public or private prisons.</w:t>
            </w:r>
          </w:p>
        </w:tc>
      </w:tr>
      <w:tr w:rsidR="00622EBE" w14:paraId="30B70CD8" w14:textId="77777777" w:rsidTr="00DB6606">
        <w:tc>
          <w:tcPr>
            <w:tcW w:w="2087" w:type="dxa"/>
          </w:tcPr>
          <w:p w14:paraId="6E45A2DE" w14:textId="77777777" w:rsidR="00622EBE" w:rsidRDefault="00622EBE" w:rsidP="00DB6606">
            <w:pPr>
              <w:pStyle w:val="Tabledata"/>
              <w:rPr>
                <w:b/>
              </w:rPr>
            </w:pPr>
            <w:r>
              <w:t>Public Road</w:t>
            </w:r>
          </w:p>
        </w:tc>
        <w:tc>
          <w:tcPr>
            <w:tcW w:w="7117" w:type="dxa"/>
          </w:tcPr>
          <w:p w14:paraId="00860694" w14:textId="77777777" w:rsidR="00622EBE" w:rsidRPr="00FF20B8" w:rsidRDefault="00622EBE" w:rsidP="00DB6606">
            <w:pPr>
              <w:pStyle w:val="Tabledata"/>
            </w:pPr>
            <w:r w:rsidRPr="00FF20B8">
              <w:t xml:space="preserve">Any road, street, etc. that is open to, or can be accessed by, the public in accordance with the </w:t>
            </w:r>
            <w:hyperlink w:anchor="_top" w:history="1">
              <w:r w:rsidRPr="008418DE">
                <w:rPr>
                  <w:rStyle w:val="Hyperlink"/>
                  <w:i/>
                </w:rPr>
                <w:t>Road Traffic Act 1974</w:t>
              </w:r>
            </w:hyperlink>
            <w:r w:rsidRPr="00FF20B8">
              <w:t>. This applies to any road used by the public, even if within the gazetted boundaries of the prison site.</w:t>
            </w:r>
          </w:p>
        </w:tc>
      </w:tr>
      <w:tr w:rsidR="00622EBE" w14:paraId="5DF22D95" w14:textId="77777777" w:rsidTr="00DB6606">
        <w:tc>
          <w:tcPr>
            <w:tcW w:w="2087" w:type="dxa"/>
          </w:tcPr>
          <w:p w14:paraId="79749355" w14:textId="77777777" w:rsidR="00622EBE" w:rsidRPr="00567D77" w:rsidRDefault="00622EBE" w:rsidP="00DB6606">
            <w:pPr>
              <w:pStyle w:val="Tabledata"/>
              <w:rPr>
                <w:b/>
              </w:rPr>
            </w:pPr>
            <w:r w:rsidRPr="00567D77">
              <w:rPr>
                <w:rFonts w:cs="Arial"/>
              </w:rPr>
              <w:t>Senior Officer (SO)</w:t>
            </w:r>
          </w:p>
        </w:tc>
        <w:tc>
          <w:tcPr>
            <w:tcW w:w="7117" w:type="dxa"/>
          </w:tcPr>
          <w:p w14:paraId="0845198F" w14:textId="36CBBD34" w:rsidR="00622EBE" w:rsidRPr="00FF20B8" w:rsidRDefault="00622EBE" w:rsidP="00DB6606">
            <w:pPr>
              <w:pStyle w:val="Tabledata"/>
            </w:pPr>
            <w:r w:rsidRPr="00FF20B8">
              <w:rPr>
                <w:rFonts w:cs="Arial"/>
              </w:rPr>
              <w:t>A prison officer under s</w:t>
            </w:r>
            <w:r>
              <w:rPr>
                <w:rFonts w:cs="Arial"/>
              </w:rPr>
              <w:t xml:space="preserve">. </w:t>
            </w:r>
            <w:r w:rsidRPr="00FF20B8">
              <w:rPr>
                <w:rFonts w:cs="Arial"/>
              </w:rPr>
              <w:t xml:space="preserve">13 of the </w:t>
            </w:r>
            <w:hyperlink w:anchor="_top" w:history="1">
              <w:r w:rsidR="008418DE" w:rsidRPr="008418DE">
                <w:rPr>
                  <w:rStyle w:val="Hyperlink"/>
                  <w:i/>
                </w:rPr>
                <w:t>Prisons Act 1981</w:t>
              </w:r>
            </w:hyperlink>
            <w:r w:rsidRPr="00FF20B8">
              <w:rPr>
                <w:rFonts w:cs="Arial"/>
              </w:rPr>
              <w:t xml:space="preserve"> and a person appointed or deemed to have been appointed under s</w:t>
            </w:r>
            <w:r w:rsidR="008418DE">
              <w:rPr>
                <w:rFonts w:cs="Arial"/>
              </w:rPr>
              <w:t xml:space="preserve"> </w:t>
            </w:r>
            <w:r w:rsidRPr="00FF20B8">
              <w:rPr>
                <w:rFonts w:cs="Arial"/>
              </w:rPr>
              <w:t xml:space="preserve">6 </w:t>
            </w:r>
            <w:hyperlink w:anchor="_top" w:history="1">
              <w:r w:rsidR="008418DE" w:rsidRPr="008418DE">
                <w:rPr>
                  <w:rStyle w:val="Hyperlink"/>
                  <w:i/>
                </w:rPr>
                <w:t xml:space="preserve">Prisons </w:t>
              </w:r>
              <w:r w:rsidR="008418DE" w:rsidRPr="008418DE">
                <w:rPr>
                  <w:rStyle w:val="Hyperlink"/>
                  <w:i/>
                </w:rPr>
                <w:lastRenderedPageBreak/>
                <w:t>Act 1981</w:t>
              </w:r>
            </w:hyperlink>
            <w:r w:rsidRPr="00FF20B8">
              <w:rPr>
                <w:rFonts w:cs="Arial"/>
              </w:rPr>
              <w:t xml:space="preserve"> to an office designated by rules for the purposes only of this definition, who has successfully completed the </w:t>
            </w:r>
            <w:r>
              <w:rPr>
                <w:rFonts w:cs="Arial"/>
              </w:rPr>
              <w:t>Department’s Prison Officer Entry Level Training Program (</w:t>
            </w:r>
            <w:r w:rsidRPr="00FF20B8">
              <w:rPr>
                <w:rFonts w:cs="Arial"/>
              </w:rPr>
              <w:t>ELTP</w:t>
            </w:r>
            <w:r>
              <w:rPr>
                <w:rFonts w:cs="Arial"/>
              </w:rPr>
              <w:t>)</w:t>
            </w:r>
            <w:r w:rsidRPr="00FF20B8">
              <w:rPr>
                <w:rFonts w:cs="Arial"/>
              </w:rPr>
              <w:t xml:space="preserve"> and Senior Officer promotional process.</w:t>
            </w:r>
          </w:p>
        </w:tc>
      </w:tr>
      <w:tr w:rsidR="00622EBE" w14:paraId="59177BCD" w14:textId="77777777" w:rsidTr="00DB6606">
        <w:tc>
          <w:tcPr>
            <w:tcW w:w="2087" w:type="dxa"/>
          </w:tcPr>
          <w:p w14:paraId="2ECB9488" w14:textId="77777777" w:rsidR="00622EBE" w:rsidRPr="00567D77" w:rsidRDefault="00622EBE" w:rsidP="00DB6606">
            <w:pPr>
              <w:pStyle w:val="Tabledata"/>
              <w:rPr>
                <w:b/>
              </w:rPr>
            </w:pPr>
            <w:r w:rsidRPr="00567D77">
              <w:rPr>
                <w:rFonts w:cs="Arial"/>
              </w:rPr>
              <w:lastRenderedPageBreak/>
              <w:t>Special Operations Group (SOG)</w:t>
            </w:r>
          </w:p>
        </w:tc>
        <w:tc>
          <w:tcPr>
            <w:tcW w:w="7117" w:type="dxa"/>
          </w:tcPr>
          <w:p w14:paraId="530DF25B" w14:textId="77777777" w:rsidR="00622EBE" w:rsidRPr="00FF20B8" w:rsidRDefault="00622EBE" w:rsidP="00DB6606">
            <w:pPr>
              <w:pStyle w:val="Tabledata"/>
            </w:pPr>
            <w:r w:rsidRPr="00FF20B8">
              <w:rPr>
                <w:rFonts w:cs="Arial"/>
              </w:rPr>
              <w:t>Provides specialist emergency response and security support services for all correctional facilities within the State.</w:t>
            </w:r>
          </w:p>
        </w:tc>
      </w:tr>
      <w:tr w:rsidR="00622EBE" w14:paraId="5AC13A80" w14:textId="77777777" w:rsidTr="00DB6606">
        <w:tc>
          <w:tcPr>
            <w:tcW w:w="2087" w:type="dxa"/>
          </w:tcPr>
          <w:p w14:paraId="3210A9C0" w14:textId="580FF95B" w:rsidR="00622EBE" w:rsidRPr="00D60169" w:rsidRDefault="00622EBE" w:rsidP="00DB6606">
            <w:pPr>
              <w:pStyle w:val="Tabledata"/>
              <w:rPr>
                <w:rFonts w:cs="Arial"/>
                <w:b/>
              </w:rPr>
            </w:pPr>
            <w:r w:rsidRPr="00D60169">
              <w:rPr>
                <w:rFonts w:cs="Arial"/>
              </w:rPr>
              <w:t>Staff</w:t>
            </w:r>
          </w:p>
        </w:tc>
        <w:tc>
          <w:tcPr>
            <w:tcW w:w="7117" w:type="dxa"/>
          </w:tcPr>
          <w:p w14:paraId="444D0B8F" w14:textId="591A3598" w:rsidR="00622EBE" w:rsidRPr="00EE3398" w:rsidRDefault="00622EBE" w:rsidP="00DB6606">
            <w:pPr>
              <w:pStyle w:val="Tabledata"/>
              <w:rPr>
                <w:rFonts w:cs="Arial"/>
              </w:rPr>
            </w:pPr>
            <w:r w:rsidRPr="00EE3398">
              <w:rPr>
                <w:rFonts w:cs="Arial"/>
              </w:rPr>
              <w:t xml:space="preserve">Any person in the paid or unpaid employment of the Department of Justice, Corrective Services, including contractors, </w:t>
            </w:r>
            <w:r w:rsidR="00D06183" w:rsidRPr="00EE3398">
              <w:rPr>
                <w:rFonts w:cs="Arial"/>
              </w:rPr>
              <w:t>subcontractors,</w:t>
            </w:r>
            <w:r w:rsidRPr="00EE3398">
              <w:rPr>
                <w:rFonts w:cs="Arial"/>
              </w:rPr>
              <w:t xml:space="preserve"> and volunteers.</w:t>
            </w:r>
          </w:p>
        </w:tc>
      </w:tr>
      <w:tr w:rsidR="00D37646" w14:paraId="3BAF30B5" w14:textId="77777777" w:rsidTr="00DB6606">
        <w:tc>
          <w:tcPr>
            <w:tcW w:w="2087" w:type="dxa"/>
          </w:tcPr>
          <w:p w14:paraId="342C1442" w14:textId="5EE1B7E4" w:rsidR="00D37646" w:rsidRPr="00D60169" w:rsidRDefault="00D37646" w:rsidP="00DB6606">
            <w:pPr>
              <w:pStyle w:val="Tabledata"/>
              <w:rPr>
                <w:rFonts w:cs="Arial"/>
                <w:b/>
              </w:rPr>
            </w:pPr>
            <w:r w:rsidRPr="00567D77">
              <w:rPr>
                <w:rFonts w:cs="Arial"/>
              </w:rPr>
              <w:t>Superinten</w:t>
            </w:r>
            <w:r>
              <w:rPr>
                <w:rFonts w:cs="Arial"/>
              </w:rPr>
              <w:t>dent</w:t>
            </w:r>
          </w:p>
        </w:tc>
        <w:tc>
          <w:tcPr>
            <w:tcW w:w="7117" w:type="dxa"/>
          </w:tcPr>
          <w:p w14:paraId="1A11E5F2" w14:textId="18554E4D" w:rsidR="00D37646" w:rsidRPr="00EE3398" w:rsidRDefault="00D37646" w:rsidP="00DB6606">
            <w:pPr>
              <w:pStyle w:val="Tabledata"/>
              <w:rPr>
                <w:rFonts w:cs="Arial"/>
              </w:rPr>
            </w:pPr>
            <w:r w:rsidRPr="00D37646">
              <w:rPr>
                <w:rFonts w:cs="Arial"/>
              </w:rPr>
              <w:t xml:space="preserve">The Superintendent as defined in s. 36 </w:t>
            </w:r>
            <w:hyperlink w:anchor="_top" w:history="1">
              <w:r w:rsidR="008418DE" w:rsidRPr="008418DE">
                <w:rPr>
                  <w:rStyle w:val="Hyperlink"/>
                  <w:i/>
                </w:rPr>
                <w:t>Prisons Act 1981</w:t>
              </w:r>
            </w:hyperlink>
            <w:r w:rsidR="008418DE">
              <w:rPr>
                <w:rFonts w:cs="Arial"/>
              </w:rPr>
              <w:t xml:space="preserve"> </w:t>
            </w:r>
            <w:r w:rsidRPr="00D37646">
              <w:rPr>
                <w:rFonts w:cs="Arial"/>
              </w:rPr>
              <w:t xml:space="preserve">includes any reference to the position responsible for the management of a private prison under Part IIIA </w:t>
            </w:r>
            <w:hyperlink w:anchor="_top" w:history="1">
              <w:r w:rsidR="008418DE" w:rsidRPr="008418DE">
                <w:rPr>
                  <w:rStyle w:val="Hyperlink"/>
                  <w:i/>
                </w:rPr>
                <w:t>Prisons Act 1981</w:t>
              </w:r>
            </w:hyperlink>
            <w:r w:rsidRPr="00D37646">
              <w:rPr>
                <w:rFonts w:cs="Arial"/>
              </w:rPr>
              <w:t>.</w:t>
            </w:r>
          </w:p>
        </w:tc>
      </w:tr>
      <w:tr w:rsidR="00D37646" w14:paraId="7C7CCC32" w14:textId="77777777" w:rsidTr="00DB6606">
        <w:tc>
          <w:tcPr>
            <w:tcW w:w="2087" w:type="dxa"/>
          </w:tcPr>
          <w:p w14:paraId="40A9EC10" w14:textId="5D86E714" w:rsidR="00D37646" w:rsidRPr="00D37646" w:rsidRDefault="00D37646" w:rsidP="00DB6606">
            <w:pPr>
              <w:pStyle w:val="Tabledata"/>
              <w:rPr>
                <w:rFonts w:cs="Arial"/>
                <w:b/>
              </w:rPr>
            </w:pPr>
            <w:r w:rsidRPr="00D37646">
              <w:rPr>
                <w:rFonts w:cs="Arial"/>
              </w:rPr>
              <w:t xml:space="preserve">Total Offender Management </w:t>
            </w:r>
            <w:r w:rsidR="00D06183" w:rsidRPr="00D37646">
              <w:rPr>
                <w:rFonts w:cs="Arial"/>
              </w:rPr>
              <w:t>Solution (</w:t>
            </w:r>
            <w:r w:rsidRPr="00D37646">
              <w:rPr>
                <w:rFonts w:cs="Arial"/>
              </w:rPr>
              <w:t>TOMS)</w:t>
            </w:r>
          </w:p>
        </w:tc>
        <w:tc>
          <w:tcPr>
            <w:tcW w:w="7117" w:type="dxa"/>
          </w:tcPr>
          <w:p w14:paraId="51D1E64C" w14:textId="71698D16" w:rsidR="00D37646" w:rsidRPr="00EE3398" w:rsidRDefault="00D37646" w:rsidP="00DB6606">
            <w:pPr>
              <w:pStyle w:val="Tabledata"/>
              <w:rPr>
                <w:rFonts w:cs="Arial"/>
              </w:rPr>
            </w:pPr>
            <w:r w:rsidRPr="00A76013">
              <w:rPr>
                <w:rFonts w:cs="Arial"/>
              </w:rPr>
              <w:t xml:space="preserve">An electronic database used by the Department of </w:t>
            </w:r>
            <w:r w:rsidR="002A1150">
              <w:rPr>
                <w:rFonts w:cs="Arial"/>
              </w:rPr>
              <w:t xml:space="preserve">Justice </w:t>
            </w:r>
            <w:r w:rsidRPr="00A76013">
              <w:rPr>
                <w:rFonts w:cs="Arial"/>
              </w:rPr>
              <w:t>to record and manage comprehensive information relating to prisoners</w:t>
            </w:r>
            <w:r>
              <w:rPr>
                <w:rFonts w:cs="Arial"/>
              </w:rPr>
              <w:t xml:space="preserve"> and detainees.</w:t>
            </w:r>
          </w:p>
        </w:tc>
      </w:tr>
      <w:tr w:rsidR="00622EBE" w14:paraId="2E7DD72A" w14:textId="77777777" w:rsidTr="00DB6606">
        <w:tc>
          <w:tcPr>
            <w:tcW w:w="2087" w:type="dxa"/>
          </w:tcPr>
          <w:p w14:paraId="78854A04" w14:textId="2CB42EA4" w:rsidR="00622EBE" w:rsidRPr="00567D77" w:rsidRDefault="00622EBE" w:rsidP="00DB6606">
            <w:pPr>
              <w:pStyle w:val="Tabledata"/>
              <w:rPr>
                <w:rFonts w:cs="Arial"/>
                <w:b/>
              </w:rPr>
            </w:pPr>
            <w:r>
              <w:rPr>
                <w:rFonts w:cs="Arial"/>
              </w:rPr>
              <w:t>Vehicle</w:t>
            </w:r>
          </w:p>
        </w:tc>
        <w:tc>
          <w:tcPr>
            <w:tcW w:w="7117" w:type="dxa"/>
          </w:tcPr>
          <w:p w14:paraId="2C7563AE" w14:textId="1B5BC275" w:rsidR="00622EBE" w:rsidRPr="00FF20B8" w:rsidRDefault="00622EBE" w:rsidP="008418DE">
            <w:pPr>
              <w:pStyle w:val="Tabledata"/>
            </w:pPr>
            <w:r w:rsidRPr="00C914B9">
              <w:rPr>
                <w:rFonts w:cs="Arial"/>
              </w:rPr>
              <w:t>A vehicle propelled by any means, other than</w:t>
            </w:r>
            <w:r w:rsidR="008418DE">
              <w:rPr>
                <w:rFonts w:cs="Arial"/>
              </w:rPr>
              <w:t xml:space="preserve"> </w:t>
            </w:r>
            <w:r w:rsidRPr="00C914B9">
              <w:rPr>
                <w:rFonts w:cs="Arial"/>
              </w:rPr>
              <w:t>animal or human power, and includes an aircraft and a vessel,</w:t>
            </w:r>
            <w:r w:rsidR="008418DE">
              <w:rPr>
                <w:rFonts w:cs="Arial"/>
              </w:rPr>
              <w:t xml:space="preserve"> </w:t>
            </w:r>
            <w:r w:rsidRPr="00C914B9">
              <w:rPr>
                <w:rFonts w:eastAsia="Calibri" w:cs="Arial"/>
              </w:rPr>
              <w:t xml:space="preserve">but does not include a vehicle used on a railway. This includes but not limited to a car, van, </w:t>
            </w:r>
            <w:r w:rsidR="00D06183" w:rsidRPr="00C914B9">
              <w:rPr>
                <w:rFonts w:eastAsia="Calibri" w:cs="Arial"/>
              </w:rPr>
              <w:t>truck,</w:t>
            </w:r>
            <w:r w:rsidRPr="00C914B9">
              <w:rPr>
                <w:rFonts w:eastAsia="Calibri" w:cs="Arial"/>
              </w:rPr>
              <w:t xml:space="preserve"> or utility, including escort vehicles.</w:t>
            </w:r>
          </w:p>
        </w:tc>
      </w:tr>
      <w:tr w:rsidR="008A6202" w14:paraId="3015D26C" w14:textId="77777777" w:rsidTr="00DB6606">
        <w:tc>
          <w:tcPr>
            <w:tcW w:w="2087" w:type="dxa"/>
          </w:tcPr>
          <w:p w14:paraId="76E8C949" w14:textId="50364177" w:rsidR="008A6202" w:rsidRPr="008A6202" w:rsidRDefault="008A6202" w:rsidP="00DB6606">
            <w:pPr>
              <w:pStyle w:val="Tabledata"/>
              <w:rPr>
                <w:rFonts w:cs="Arial"/>
                <w:b/>
              </w:rPr>
            </w:pPr>
            <w:r w:rsidRPr="008A6202">
              <w:rPr>
                <w:rFonts w:cs="Arial"/>
              </w:rPr>
              <w:t>WA</w:t>
            </w:r>
          </w:p>
        </w:tc>
        <w:tc>
          <w:tcPr>
            <w:tcW w:w="7117" w:type="dxa"/>
          </w:tcPr>
          <w:p w14:paraId="5B7EF1F9" w14:textId="58B36694" w:rsidR="008A6202" w:rsidRPr="00C914B9" w:rsidRDefault="008A6202" w:rsidP="00DB6606">
            <w:pPr>
              <w:pStyle w:val="Tabledata"/>
              <w:rPr>
                <w:rFonts w:cs="Arial"/>
              </w:rPr>
            </w:pPr>
            <w:r>
              <w:rPr>
                <w:rFonts w:cs="Arial"/>
              </w:rPr>
              <w:t>Western Australia</w:t>
            </w:r>
          </w:p>
        </w:tc>
      </w:tr>
    </w:tbl>
    <w:p w14:paraId="5FE0926C" w14:textId="7AA04714" w:rsidR="00335823" w:rsidRPr="00535C94" w:rsidRDefault="00335823" w:rsidP="00DB6606">
      <w:pPr>
        <w:pStyle w:val="Heading2"/>
      </w:pPr>
      <w:bookmarkStart w:id="92" w:name="_Toc536015243"/>
      <w:bookmarkStart w:id="93" w:name="_Toc223435037"/>
      <w:r w:rsidRPr="00535C94">
        <w:t>Related legislation</w:t>
      </w:r>
      <w:bookmarkEnd w:id="92"/>
      <w:bookmarkEnd w:id="93"/>
    </w:p>
    <w:p w14:paraId="68429790" w14:textId="5DBD5956" w:rsidR="00E732C6" w:rsidRPr="008418DE" w:rsidRDefault="00E732C6" w:rsidP="008418DE">
      <w:pPr>
        <w:pStyle w:val="ListBullet"/>
        <w:rPr>
          <w:rFonts w:eastAsia="MS Gothic"/>
          <w:i/>
          <w:iCs/>
        </w:rPr>
      </w:pPr>
      <w:r w:rsidRPr="008418DE">
        <w:rPr>
          <w:i/>
          <w:iCs/>
        </w:rPr>
        <w:t>Prisons Act 1981</w:t>
      </w:r>
    </w:p>
    <w:p w14:paraId="455E21D3" w14:textId="23BAC5ED" w:rsidR="00335823" w:rsidRPr="008418DE" w:rsidRDefault="00335823" w:rsidP="008418DE">
      <w:pPr>
        <w:pStyle w:val="ListBullet"/>
      </w:pPr>
      <w:hyperlink w:anchor="_top" w:history="1">
        <w:r w:rsidRPr="00013280">
          <w:rPr>
            <w:rStyle w:val="Hyperlink"/>
            <w:bCs/>
            <w:i/>
            <w:iCs/>
            <w:color w:val="auto"/>
            <w:u w:val="none"/>
          </w:rPr>
          <w:t>Road Traffic Act 1974</w:t>
        </w:r>
      </w:hyperlink>
    </w:p>
    <w:p w14:paraId="6C17338A" w14:textId="3063C04D" w:rsidR="00C6068D" w:rsidRPr="008418DE" w:rsidRDefault="00335823" w:rsidP="008418DE">
      <w:pPr>
        <w:pStyle w:val="ListBullet"/>
      </w:pPr>
      <w:hyperlink w:anchor="_top" w:history="1">
        <w:r w:rsidRPr="008418DE">
          <w:rPr>
            <w:rStyle w:val="Hyperlink"/>
            <w:bCs/>
            <w:iCs/>
            <w:color w:val="auto"/>
            <w:u w:val="none"/>
          </w:rPr>
          <w:t>Road Traffic (Vehicles) Regulations 2014</w:t>
        </w:r>
      </w:hyperlink>
    </w:p>
    <w:p w14:paraId="29592911" w14:textId="77777777" w:rsidR="008C6ED7" w:rsidRPr="009D516D" w:rsidRDefault="008C6ED7" w:rsidP="00DB6606">
      <w:pPr>
        <w:pStyle w:val="Heading1"/>
      </w:pPr>
      <w:bookmarkStart w:id="94" w:name="_Toc223435038"/>
      <w:r w:rsidRPr="009D516D">
        <w:t>Assurance</w:t>
      </w:r>
      <w:bookmarkEnd w:id="94"/>
    </w:p>
    <w:p w14:paraId="63D4D359" w14:textId="4C009E10" w:rsidR="00CA3E33" w:rsidRPr="00606FAA" w:rsidRDefault="00CA3E33" w:rsidP="00DB6606">
      <w:r w:rsidRPr="00606FAA">
        <w:t>It is expected that:</w:t>
      </w:r>
    </w:p>
    <w:p w14:paraId="76BCD991" w14:textId="16C14D7D" w:rsidR="00CA3E33" w:rsidRPr="00606FAA" w:rsidRDefault="00CA3E33" w:rsidP="00DB6606">
      <w:pPr>
        <w:pStyle w:val="ListBullet"/>
        <w:rPr>
          <w:rFonts w:eastAsia="Calibri"/>
        </w:rPr>
      </w:pPr>
      <w:r w:rsidRPr="00606FAA">
        <w:rPr>
          <w:rFonts w:eastAsia="Calibri"/>
        </w:rPr>
        <w:t xml:space="preserve">Prisons will undertake local compliance in accordance with the </w:t>
      </w:r>
      <w:hyperlink r:id="rId24" w:history="1">
        <w:r w:rsidR="00D1719A" w:rsidRPr="00D1719A">
          <w:rPr>
            <w:rStyle w:val="Hyperlink"/>
            <w:rFonts w:eastAsia="Calibri"/>
          </w:rPr>
          <w:t xml:space="preserve">Prison </w:t>
        </w:r>
        <w:r w:rsidRPr="00D1719A">
          <w:rPr>
            <w:rStyle w:val="Hyperlink"/>
            <w:rFonts w:eastAsia="Calibri"/>
          </w:rPr>
          <w:t>Compliance Manual</w:t>
        </w:r>
      </w:hyperlink>
      <w:r w:rsidRPr="00606FAA">
        <w:rPr>
          <w:rFonts w:eastAsia="Calibri"/>
        </w:rPr>
        <w:t>.</w:t>
      </w:r>
    </w:p>
    <w:p w14:paraId="45F38085" w14:textId="77777777" w:rsidR="00CA3E33" w:rsidRPr="00606FAA" w:rsidRDefault="00CA3E33" w:rsidP="00DB6606">
      <w:pPr>
        <w:pStyle w:val="ListBullet"/>
        <w:rPr>
          <w:rFonts w:eastAsia="Calibri"/>
        </w:rPr>
      </w:pPr>
      <w:r w:rsidRPr="00606FAA">
        <w:rPr>
          <w:rFonts w:eastAsia="Calibri"/>
        </w:rPr>
        <w:t xml:space="preserve">The relevant Deputy Commissioner will undertake management oversight as required. </w:t>
      </w:r>
    </w:p>
    <w:p w14:paraId="29963713" w14:textId="79566EB6" w:rsidR="00CA3E33" w:rsidRPr="00606FAA" w:rsidRDefault="00CA3E33" w:rsidP="00DB6606">
      <w:pPr>
        <w:pStyle w:val="ListBullet"/>
        <w:rPr>
          <w:rFonts w:eastAsia="Calibri"/>
        </w:rPr>
      </w:pPr>
      <w:r>
        <w:rPr>
          <w:rFonts w:eastAsia="Calibri"/>
        </w:rPr>
        <w:t xml:space="preserve">Operational </w:t>
      </w:r>
      <w:r w:rsidRPr="00606FAA">
        <w:rPr>
          <w:rFonts w:eastAsia="Calibri"/>
        </w:rPr>
        <w:t xml:space="preserve">Compliance Branch will undertake checks in accordance with the </w:t>
      </w:r>
      <w:hyperlink r:id="rId25" w:history="1">
        <w:r w:rsidR="006C3BAA">
          <w:rPr>
            <w:rStyle w:val="Hyperlink"/>
            <w:rFonts w:eastAsia="Calibri"/>
          </w:rPr>
          <w:t>Operational</w:t>
        </w:r>
        <w:r w:rsidR="006C3BAA" w:rsidRPr="00DB6606">
          <w:rPr>
            <w:rStyle w:val="Hyperlink"/>
            <w:rFonts w:eastAsia="Calibri"/>
          </w:rPr>
          <w:t xml:space="preserve"> Compliance Framework</w:t>
        </w:r>
      </w:hyperlink>
      <w:r w:rsidRPr="00606FAA">
        <w:rPr>
          <w:rFonts w:eastAsia="Calibri"/>
        </w:rPr>
        <w:t>.</w:t>
      </w:r>
    </w:p>
    <w:p w14:paraId="02CB95B2" w14:textId="77777777" w:rsidR="00CA3E33" w:rsidRPr="00606FAA" w:rsidRDefault="00CA3E33" w:rsidP="00DB6606">
      <w:pPr>
        <w:pStyle w:val="ListBullet"/>
        <w:rPr>
          <w:rFonts w:eastAsia="Calibri"/>
        </w:rPr>
      </w:pPr>
      <w:r w:rsidRPr="00606FAA">
        <w:rPr>
          <w:rFonts w:eastAsia="Calibri"/>
        </w:rPr>
        <w:t xml:space="preserve">Independent oversight will be undertaken as required. </w:t>
      </w:r>
    </w:p>
    <w:p w14:paraId="4616F268" w14:textId="2185A04C" w:rsidR="00FF20B8" w:rsidRPr="00AD660E" w:rsidRDefault="00AD660E">
      <w:r>
        <w:br w:type="page"/>
      </w:r>
    </w:p>
    <w:p w14:paraId="0D3323FA" w14:textId="215146D4" w:rsidR="00AE1F47" w:rsidRDefault="00AE1F47" w:rsidP="00DB6606">
      <w:pPr>
        <w:pStyle w:val="Heading1"/>
      </w:pPr>
      <w:bookmarkStart w:id="95" w:name="_Toc223435039"/>
      <w:r>
        <w:lastRenderedPageBreak/>
        <w:t>Document Information</w:t>
      </w:r>
      <w:bookmarkEnd w:id="95"/>
    </w:p>
    <w:p w14:paraId="7DF7F6E0" w14:textId="77777777" w:rsidR="00245869" w:rsidRDefault="00245869" w:rsidP="00DB6606">
      <w:pPr>
        <w:pStyle w:val="Heading2"/>
      </w:pPr>
      <w:bookmarkStart w:id="96" w:name="_Toc223435040"/>
      <w:r>
        <w:t>Document version history</w:t>
      </w:r>
      <w:bookmarkEnd w:id="96"/>
    </w:p>
    <w:tbl>
      <w:tblPr>
        <w:tblStyle w:val="DCStable"/>
        <w:tblW w:w="9121" w:type="dxa"/>
        <w:tblLook w:val="0620" w:firstRow="1" w:lastRow="0" w:firstColumn="0" w:lastColumn="0" w:noHBand="1" w:noVBand="1"/>
      </w:tblPr>
      <w:tblGrid>
        <w:gridCol w:w="1051"/>
        <w:gridCol w:w="1531"/>
        <w:gridCol w:w="3175"/>
        <w:gridCol w:w="1690"/>
        <w:gridCol w:w="1674"/>
      </w:tblGrid>
      <w:tr w:rsidR="00AE5934" w:rsidRPr="007D3C6F" w14:paraId="0A1C7AE9" w14:textId="0936BC2E" w:rsidTr="001E5D54">
        <w:trPr>
          <w:cnfStyle w:val="100000000000" w:firstRow="1" w:lastRow="0" w:firstColumn="0" w:lastColumn="0" w:oddVBand="0" w:evenVBand="0" w:oddHBand="0" w:evenHBand="0" w:firstRowFirstColumn="0" w:firstRowLastColumn="0" w:lastRowFirstColumn="0" w:lastRowLastColumn="0"/>
          <w:trHeight w:val="603"/>
        </w:trPr>
        <w:tc>
          <w:tcPr>
            <w:tcW w:w="1051" w:type="dxa"/>
          </w:tcPr>
          <w:p w14:paraId="2CC6E408" w14:textId="77777777" w:rsidR="00AE5934" w:rsidRPr="007D3C6F" w:rsidRDefault="00AE5934" w:rsidP="008418DE">
            <w:pPr>
              <w:pStyle w:val="Tableheading"/>
            </w:pPr>
            <w:r w:rsidRPr="007D3C6F">
              <w:t>Version no</w:t>
            </w:r>
          </w:p>
        </w:tc>
        <w:tc>
          <w:tcPr>
            <w:tcW w:w="1531" w:type="dxa"/>
          </w:tcPr>
          <w:p w14:paraId="6526CA6A" w14:textId="77777777" w:rsidR="00AE5934" w:rsidRPr="007D3C6F" w:rsidRDefault="00AE5934" w:rsidP="008418DE">
            <w:pPr>
              <w:pStyle w:val="Tableheading"/>
            </w:pPr>
            <w:r w:rsidRPr="007D3C6F">
              <w:t>Primary author(s)</w:t>
            </w:r>
          </w:p>
        </w:tc>
        <w:tc>
          <w:tcPr>
            <w:tcW w:w="3175" w:type="dxa"/>
          </w:tcPr>
          <w:p w14:paraId="1C30379A" w14:textId="77777777" w:rsidR="00AE5934" w:rsidRPr="007D3C6F" w:rsidRDefault="00AE5934" w:rsidP="008418DE">
            <w:pPr>
              <w:pStyle w:val="Tableheading"/>
            </w:pPr>
            <w:r w:rsidRPr="007D3C6F">
              <w:t>Description of version</w:t>
            </w:r>
          </w:p>
        </w:tc>
        <w:tc>
          <w:tcPr>
            <w:tcW w:w="1690" w:type="dxa"/>
          </w:tcPr>
          <w:p w14:paraId="00D1C26D" w14:textId="77777777" w:rsidR="00AE5934" w:rsidRPr="007D3C6F" w:rsidRDefault="00AE5934" w:rsidP="008418DE">
            <w:pPr>
              <w:pStyle w:val="Tableheading"/>
            </w:pPr>
            <w:r w:rsidRPr="007D3C6F">
              <w:t>Date completed</w:t>
            </w:r>
          </w:p>
        </w:tc>
        <w:tc>
          <w:tcPr>
            <w:tcW w:w="1674" w:type="dxa"/>
          </w:tcPr>
          <w:p w14:paraId="13DDF905" w14:textId="5DCBC3E3" w:rsidR="00AE5934" w:rsidRPr="007D3C6F" w:rsidRDefault="00AE5934" w:rsidP="008418DE">
            <w:pPr>
              <w:pStyle w:val="Tableheading"/>
            </w:pPr>
            <w:r>
              <w:t>Effective date</w:t>
            </w:r>
          </w:p>
        </w:tc>
      </w:tr>
      <w:tr w:rsidR="00AE5934" w:rsidRPr="007D3C6F" w14:paraId="2F71F5E9" w14:textId="7CFDE4B6" w:rsidTr="001E5D54">
        <w:trPr>
          <w:trHeight w:val="868"/>
        </w:trPr>
        <w:tc>
          <w:tcPr>
            <w:tcW w:w="1051" w:type="dxa"/>
          </w:tcPr>
          <w:p w14:paraId="7280F3B4" w14:textId="41F3A916" w:rsidR="00AE5934" w:rsidRDefault="00AE5934" w:rsidP="00AE5934">
            <w:pPr>
              <w:pStyle w:val="Tabledata"/>
            </w:pPr>
            <w:r>
              <w:t>1.0</w:t>
            </w:r>
          </w:p>
        </w:tc>
        <w:tc>
          <w:tcPr>
            <w:tcW w:w="1531" w:type="dxa"/>
          </w:tcPr>
          <w:p w14:paraId="58122458" w14:textId="5EC996D0" w:rsidR="00AE5934" w:rsidRDefault="00AE5934" w:rsidP="00AE5934">
            <w:pPr>
              <w:pStyle w:val="Tabledata"/>
            </w:pPr>
            <w:r w:rsidRPr="002D6497">
              <w:t>Operational Policy</w:t>
            </w:r>
          </w:p>
        </w:tc>
        <w:tc>
          <w:tcPr>
            <w:tcW w:w="3175" w:type="dxa"/>
          </w:tcPr>
          <w:p w14:paraId="4B0929CC" w14:textId="5FAC2FB0" w:rsidR="00AE5934" w:rsidRDefault="00AE5934" w:rsidP="00AE5934">
            <w:pPr>
              <w:pStyle w:val="Tabledata"/>
            </w:pPr>
            <w:r w:rsidRPr="00163A78">
              <w:t>Approved by the Director Operational Policy, Compliance and Contracts</w:t>
            </w:r>
          </w:p>
        </w:tc>
        <w:tc>
          <w:tcPr>
            <w:tcW w:w="1690" w:type="dxa"/>
          </w:tcPr>
          <w:p w14:paraId="39954B2E" w14:textId="08AA30B0" w:rsidR="00AE5934" w:rsidRDefault="00AE5934" w:rsidP="00AE5934">
            <w:pPr>
              <w:pStyle w:val="Tabledata"/>
            </w:pPr>
            <w:r>
              <w:t>21 August 2020</w:t>
            </w:r>
          </w:p>
        </w:tc>
        <w:tc>
          <w:tcPr>
            <w:tcW w:w="1674" w:type="dxa"/>
          </w:tcPr>
          <w:p w14:paraId="333C14A0" w14:textId="1CAB65EC" w:rsidR="00AE5934" w:rsidRDefault="00CC2067" w:rsidP="00AE5934">
            <w:pPr>
              <w:pStyle w:val="Tabledata"/>
            </w:pPr>
            <w:r>
              <w:t>28 September 2020</w:t>
            </w:r>
          </w:p>
        </w:tc>
      </w:tr>
      <w:tr w:rsidR="00AE5934" w:rsidRPr="007D3C6F" w14:paraId="0BF0CF1A" w14:textId="481E69AF" w:rsidTr="001E5D54">
        <w:trPr>
          <w:trHeight w:val="883"/>
        </w:trPr>
        <w:tc>
          <w:tcPr>
            <w:tcW w:w="1051" w:type="dxa"/>
          </w:tcPr>
          <w:p w14:paraId="51DC1F2F" w14:textId="3045C135" w:rsidR="00AE5934" w:rsidRDefault="00AE5934" w:rsidP="008418DE">
            <w:pPr>
              <w:pStyle w:val="Tabledata"/>
            </w:pPr>
            <w:r>
              <w:t>2.0</w:t>
            </w:r>
          </w:p>
        </w:tc>
        <w:tc>
          <w:tcPr>
            <w:tcW w:w="1531" w:type="dxa"/>
          </w:tcPr>
          <w:p w14:paraId="04A52080" w14:textId="7E09306B" w:rsidR="00AE5934" w:rsidRPr="002D6497" w:rsidRDefault="00AE5934" w:rsidP="008418DE">
            <w:pPr>
              <w:pStyle w:val="Tabledata"/>
            </w:pPr>
            <w:r w:rsidRPr="00993707">
              <w:t>Operational Policy</w:t>
            </w:r>
          </w:p>
        </w:tc>
        <w:tc>
          <w:tcPr>
            <w:tcW w:w="3175" w:type="dxa"/>
          </w:tcPr>
          <w:p w14:paraId="4DDC7A7B" w14:textId="2ECC328C" w:rsidR="00AE5934" w:rsidRPr="00163A78" w:rsidRDefault="00AE5934" w:rsidP="008418DE">
            <w:pPr>
              <w:pStyle w:val="Tabledata"/>
            </w:pPr>
            <w:r w:rsidRPr="00993707">
              <w:t>Approved by the Director Operational Policy, Compliance and Contracts</w:t>
            </w:r>
          </w:p>
        </w:tc>
        <w:tc>
          <w:tcPr>
            <w:tcW w:w="1690" w:type="dxa"/>
          </w:tcPr>
          <w:p w14:paraId="1E53B26D" w14:textId="075F1B74" w:rsidR="00AE5934" w:rsidRDefault="00AE5934" w:rsidP="008418DE">
            <w:pPr>
              <w:pStyle w:val="Tabledata"/>
            </w:pPr>
            <w:r>
              <w:t>1 September 2020</w:t>
            </w:r>
          </w:p>
        </w:tc>
        <w:tc>
          <w:tcPr>
            <w:tcW w:w="1674" w:type="dxa"/>
          </w:tcPr>
          <w:p w14:paraId="51C929E0" w14:textId="7DB714CD" w:rsidR="00AE5934" w:rsidRDefault="00AE5934" w:rsidP="008418DE">
            <w:pPr>
              <w:pStyle w:val="Tabledata"/>
            </w:pPr>
            <w:r>
              <w:t>28 September 2020</w:t>
            </w:r>
          </w:p>
        </w:tc>
      </w:tr>
      <w:tr w:rsidR="002A1150" w:rsidRPr="007D3C6F" w14:paraId="35CC1282" w14:textId="77777777" w:rsidTr="001E5D54">
        <w:trPr>
          <w:trHeight w:val="624"/>
        </w:trPr>
        <w:tc>
          <w:tcPr>
            <w:tcW w:w="1051" w:type="dxa"/>
          </w:tcPr>
          <w:p w14:paraId="6DD60BC0" w14:textId="38EF307C" w:rsidR="002A1150" w:rsidRDefault="002A1150" w:rsidP="008418DE">
            <w:pPr>
              <w:pStyle w:val="Tabledata"/>
            </w:pPr>
            <w:r>
              <w:t>3.0</w:t>
            </w:r>
          </w:p>
        </w:tc>
        <w:tc>
          <w:tcPr>
            <w:tcW w:w="1531" w:type="dxa"/>
          </w:tcPr>
          <w:p w14:paraId="478DA6FB" w14:textId="0ED60958" w:rsidR="002A1150" w:rsidRPr="00993707" w:rsidRDefault="002A1150" w:rsidP="008418DE">
            <w:pPr>
              <w:pStyle w:val="Tabledata"/>
            </w:pPr>
            <w:r w:rsidRPr="002A1150">
              <w:t>Operational Policy</w:t>
            </w:r>
          </w:p>
        </w:tc>
        <w:tc>
          <w:tcPr>
            <w:tcW w:w="3175" w:type="dxa"/>
          </w:tcPr>
          <w:p w14:paraId="204BCA1F" w14:textId="577F69E6" w:rsidR="002A1150" w:rsidRPr="00993707" w:rsidRDefault="00D8355A" w:rsidP="008418DE">
            <w:pPr>
              <w:pStyle w:val="Tabledata"/>
            </w:pPr>
            <w:r>
              <w:t xml:space="preserve">Scheduled Review </w:t>
            </w:r>
          </w:p>
        </w:tc>
        <w:tc>
          <w:tcPr>
            <w:tcW w:w="1690" w:type="dxa"/>
          </w:tcPr>
          <w:p w14:paraId="1695C00F" w14:textId="756A191F" w:rsidR="002A1150" w:rsidRDefault="001C5EEF" w:rsidP="008418DE">
            <w:pPr>
              <w:pStyle w:val="Tabledata"/>
            </w:pPr>
            <w:r>
              <w:t>28 June 2022</w:t>
            </w:r>
          </w:p>
        </w:tc>
        <w:tc>
          <w:tcPr>
            <w:tcW w:w="1674" w:type="dxa"/>
          </w:tcPr>
          <w:p w14:paraId="09F5CD27" w14:textId="1A4A1788" w:rsidR="002A1150" w:rsidRDefault="001C5EEF" w:rsidP="008418DE">
            <w:pPr>
              <w:pStyle w:val="Tabledata"/>
            </w:pPr>
            <w:r>
              <w:t>6 July 2022</w:t>
            </w:r>
          </w:p>
        </w:tc>
      </w:tr>
      <w:tr w:rsidR="000E0A76" w:rsidRPr="007D3C6F" w14:paraId="6A705125" w14:textId="77777777" w:rsidTr="001E5D54">
        <w:trPr>
          <w:trHeight w:val="624"/>
        </w:trPr>
        <w:tc>
          <w:tcPr>
            <w:tcW w:w="1051" w:type="dxa"/>
          </w:tcPr>
          <w:p w14:paraId="52A080C8" w14:textId="30A35533" w:rsidR="000E0A76" w:rsidRDefault="000E0A76" w:rsidP="008418DE">
            <w:pPr>
              <w:pStyle w:val="Tabledata"/>
            </w:pPr>
            <w:r>
              <w:t>4.0</w:t>
            </w:r>
          </w:p>
        </w:tc>
        <w:tc>
          <w:tcPr>
            <w:tcW w:w="1531" w:type="dxa"/>
          </w:tcPr>
          <w:p w14:paraId="72796B72" w14:textId="62D75E9C" w:rsidR="000E0A76" w:rsidRPr="002A1150" w:rsidRDefault="000E0A76" w:rsidP="008418DE">
            <w:pPr>
              <w:pStyle w:val="Tabledata"/>
            </w:pPr>
            <w:r>
              <w:t>Operational Policy</w:t>
            </w:r>
          </w:p>
        </w:tc>
        <w:tc>
          <w:tcPr>
            <w:tcW w:w="3175" w:type="dxa"/>
          </w:tcPr>
          <w:p w14:paraId="119DC6AA" w14:textId="77777777" w:rsidR="000E0A76" w:rsidRDefault="000E0A76" w:rsidP="008418DE">
            <w:pPr>
              <w:pStyle w:val="Tabledata"/>
            </w:pPr>
            <w:r>
              <w:t xml:space="preserve">Scheduled Review </w:t>
            </w:r>
          </w:p>
          <w:p w14:paraId="30615B9A" w14:textId="77777777" w:rsidR="000E0A76" w:rsidRDefault="000E0A76" w:rsidP="008418DE">
            <w:pPr>
              <w:pStyle w:val="Tabledata"/>
            </w:pPr>
            <w:r>
              <w:t>CM Ref: S26/17303</w:t>
            </w:r>
          </w:p>
          <w:p w14:paraId="371BD8BE" w14:textId="678D94BB" w:rsidR="002A776F" w:rsidRPr="002A776F" w:rsidRDefault="002A776F" w:rsidP="002A776F">
            <w:pPr>
              <w:pStyle w:val="ListBullet"/>
              <w:numPr>
                <w:ilvl w:val="0"/>
                <w:numId w:val="0"/>
              </w:numPr>
              <w:rPr>
                <w:sz w:val="16"/>
                <w:szCs w:val="16"/>
              </w:rPr>
            </w:pPr>
            <w:r w:rsidRPr="002A776F">
              <w:rPr>
                <w:sz w:val="16"/>
                <w:szCs w:val="16"/>
              </w:rPr>
              <w:t xml:space="preserve">*Note broadcast not sent as </w:t>
            </w:r>
            <w:r w:rsidR="00F97329">
              <w:rPr>
                <w:sz w:val="16"/>
                <w:szCs w:val="16"/>
              </w:rPr>
              <w:t xml:space="preserve">no operational changes, </w:t>
            </w:r>
            <w:r w:rsidRPr="002A776F">
              <w:rPr>
                <w:sz w:val="16"/>
                <w:szCs w:val="16"/>
              </w:rPr>
              <w:t>only hyperlinks and guiding principles updated.</w:t>
            </w:r>
          </w:p>
        </w:tc>
        <w:tc>
          <w:tcPr>
            <w:tcW w:w="1690" w:type="dxa"/>
          </w:tcPr>
          <w:p w14:paraId="4256D341" w14:textId="277944F9" w:rsidR="000E0A76" w:rsidRDefault="00181D99" w:rsidP="008418DE">
            <w:pPr>
              <w:pStyle w:val="Tabledata"/>
            </w:pPr>
            <w:r>
              <w:t>03 March 2026</w:t>
            </w:r>
          </w:p>
        </w:tc>
        <w:tc>
          <w:tcPr>
            <w:tcW w:w="1674" w:type="dxa"/>
          </w:tcPr>
          <w:p w14:paraId="17F3437A" w14:textId="5285F45E" w:rsidR="000E0A76" w:rsidRDefault="002A776F" w:rsidP="008418DE">
            <w:pPr>
              <w:pStyle w:val="Tabledata"/>
            </w:pPr>
            <w:r>
              <w:t>10 March 2026*</w:t>
            </w:r>
          </w:p>
        </w:tc>
      </w:tr>
    </w:tbl>
    <w:p w14:paraId="32AEA70D" w14:textId="77777777" w:rsidR="00245869" w:rsidRPr="00D05B49" w:rsidRDefault="00245869" w:rsidP="00D05B49"/>
    <w:sectPr w:rsidR="00245869" w:rsidRPr="00D05B49" w:rsidSect="00656F4A">
      <w:headerReference w:type="even" r:id="rId26"/>
      <w:headerReference w:type="default" r:id="rId27"/>
      <w:footerReference w:type="default" r:id="rId28"/>
      <w:headerReference w:type="first" r:id="rId29"/>
      <w:pgSz w:w="11900" w:h="16840"/>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EDAE5" w14:textId="77777777" w:rsidR="00243E72" w:rsidRDefault="00243E72" w:rsidP="00D06E62">
      <w:r>
        <w:separator/>
      </w:r>
    </w:p>
  </w:endnote>
  <w:endnote w:type="continuationSeparator" w:id="0">
    <w:p w14:paraId="242397B9" w14:textId="77777777" w:rsidR="00243E72" w:rsidRDefault="00243E7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BC3D" w14:textId="6B8D5B74" w:rsidR="00C914B9" w:rsidRDefault="00C914B9" w:rsidP="008418DE">
    <w:pPr>
      <w:pStyle w:val="Footer"/>
      <w:tabs>
        <w:tab w:val="clear" w:pos="9026"/>
        <w:tab w:val="left" w:pos="1095"/>
        <w:tab w:val="left" w:pos="8080"/>
      </w:tabs>
      <w:ind w:right="-178"/>
    </w:pPr>
    <w:r w:rsidRPr="00627992">
      <w:rPr>
        <w:color w:val="C00000"/>
      </w:rPr>
      <w:t xml:space="preserve">The current version of this document is maintained on </w:t>
    </w:r>
    <w:r>
      <w:rPr>
        <w:color w:val="C00000"/>
      </w:rPr>
      <w:t>the Custodial Ops</w:t>
    </w:r>
    <w:r w:rsidRPr="00627992">
      <w:rPr>
        <w:color w:val="C00000"/>
      </w:rPr>
      <w:t xml:space="preserve"> intranet page</w:t>
    </w:r>
    <w:r w:rsidR="008418DE">
      <w:tab/>
    </w:r>
    <w:r w:rsidRPr="00627992">
      <w:t xml:space="preserve">Page </w:t>
    </w:r>
    <w:r w:rsidRPr="00627992">
      <w:fldChar w:fldCharType="begin"/>
    </w:r>
    <w:r w:rsidRPr="00627992">
      <w:instrText xml:space="preserve"> PAGE  \* Arabic  \* MERGEFORMAT </w:instrText>
    </w:r>
    <w:r w:rsidRPr="00627992">
      <w:fldChar w:fldCharType="separate"/>
    </w:r>
    <w:r w:rsidR="00090D58">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090D58">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74F1" w14:textId="77777777" w:rsidR="00243E72" w:rsidRDefault="00243E72" w:rsidP="00D06E62">
      <w:r>
        <w:separator/>
      </w:r>
    </w:p>
  </w:footnote>
  <w:footnote w:type="continuationSeparator" w:id="0">
    <w:p w14:paraId="008CFA58" w14:textId="77777777" w:rsidR="00243E72" w:rsidRDefault="00243E72" w:rsidP="00D06E62">
      <w:r>
        <w:continuationSeparator/>
      </w:r>
    </w:p>
  </w:footnote>
  <w:footnote w:id="1">
    <w:p w14:paraId="28AC6D9F" w14:textId="77777777" w:rsidR="00C914B9" w:rsidRDefault="00C914B9" w:rsidP="00E579A8">
      <w:pPr>
        <w:pStyle w:val="FootnoteText"/>
      </w:pPr>
      <w:r>
        <w:rPr>
          <w:rStyle w:val="FootnoteReference"/>
        </w:rPr>
        <w:footnoteRef/>
      </w:r>
      <w:r>
        <w:t xml:space="preserve"> </w:t>
      </w:r>
      <w:r w:rsidRPr="00032815">
        <w:rPr>
          <w:i/>
        </w:rPr>
        <w:t>Road Traffic Act 1974</w:t>
      </w:r>
    </w:p>
  </w:footnote>
  <w:footnote w:id="2">
    <w:p w14:paraId="79F62C26" w14:textId="36A05355" w:rsidR="00C914B9" w:rsidRDefault="00C914B9">
      <w:pPr>
        <w:pStyle w:val="FootnoteText"/>
      </w:pPr>
      <w:r>
        <w:rPr>
          <w:rStyle w:val="FootnoteReference"/>
        </w:rPr>
        <w:footnoteRef/>
      </w:r>
      <w:r>
        <w:t xml:space="preserve"> r. 388 </w:t>
      </w:r>
      <w:r w:rsidRPr="00B27961">
        <w:rPr>
          <w:iCs/>
        </w:rPr>
        <w:t>Road Traffic (Vehicles) Regulations 2014</w:t>
      </w:r>
    </w:p>
  </w:footnote>
  <w:footnote w:id="3">
    <w:p w14:paraId="032F87D3" w14:textId="2F53C43D" w:rsidR="00C914B9" w:rsidRDefault="00C914B9" w:rsidP="00BF3FD8">
      <w:pPr>
        <w:pStyle w:val="FootnoteText"/>
      </w:pPr>
      <w:r>
        <w:rPr>
          <w:rStyle w:val="FootnoteReference"/>
        </w:rPr>
        <w:footnoteRef/>
      </w:r>
      <w:r>
        <w:t xml:space="preserve"> </w:t>
      </w:r>
      <w:r w:rsidR="00A95E1C">
        <w:t>s</w:t>
      </w:r>
      <w:r w:rsidR="00A95E1C">
        <w:rPr>
          <w:i/>
        </w:rPr>
        <w:t xml:space="preserve">. </w:t>
      </w:r>
      <w:r w:rsidR="00A95E1C" w:rsidRPr="00900700">
        <w:rPr>
          <w:i/>
        </w:rPr>
        <w:t>54</w:t>
      </w:r>
      <w:r w:rsidRPr="00900700">
        <w:rPr>
          <w:i/>
        </w:rPr>
        <w:t>Road Traffic Act 1974</w:t>
      </w:r>
    </w:p>
  </w:footnote>
  <w:footnote w:id="4">
    <w:p w14:paraId="798DE62D" w14:textId="12B8672B" w:rsidR="008B5021" w:rsidRDefault="008B5021">
      <w:pPr>
        <w:pStyle w:val="FootnoteText"/>
      </w:pPr>
      <w:r>
        <w:rPr>
          <w:rStyle w:val="FootnoteReference"/>
        </w:rPr>
        <w:footnoteRef/>
      </w:r>
      <w:r>
        <w:t xml:space="preserve"> </w:t>
      </w:r>
      <w:r w:rsidRPr="008B5021">
        <w:t xml:space="preserve">  r. 64(1) </w:t>
      </w:r>
      <w:r w:rsidRPr="00B27961">
        <w:rPr>
          <w:iCs/>
        </w:rPr>
        <w:t>Road Traffic (Vehicles) Regulations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0F12" w14:textId="54465CCA" w:rsidR="00C914B9" w:rsidRDefault="00E66AE7">
    <w:pPr>
      <w:pStyle w:val="Header"/>
    </w:pPr>
    <w:r>
      <w:rPr>
        <w:noProof/>
      </w:rPr>
      <w:pict w14:anchorId="6E645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22.1pt;height:24.85pt;rotation:315;z-index:-251640832;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33D2" w14:textId="2A629FC1" w:rsidR="00C914B9" w:rsidRPr="00C15CE3" w:rsidRDefault="00E66AE7" w:rsidP="00EA7EAC">
    <w:pPr>
      <w:pStyle w:val="Subtitle"/>
      <w:rPr>
        <w:rFonts w:hint="eastAsia"/>
      </w:rPr>
    </w:pPr>
    <w:r>
      <w:rPr>
        <w:rFonts w:hint="eastAsia"/>
        <w:noProof/>
      </w:rPr>
      <w:pict w14:anchorId="1B3BBE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22.1pt;height:24.85pt;rotation:315;z-index:-251638784;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r w:rsidR="00C914B9" w:rsidRPr="00C15CE3">
      <w:t xml:space="preserve">Commissioner’s Operating </w:t>
    </w:r>
  </w:p>
  <w:p w14:paraId="7CE1F081" w14:textId="77777777" w:rsidR="00C914B9" w:rsidRPr="00C15CE3" w:rsidRDefault="00C914B9" w:rsidP="00EA7EAC">
    <w:pPr>
      <w:pStyle w:val="Subtitle"/>
      <w:rPr>
        <w:rFonts w:hint="eastAsia"/>
      </w:rPr>
    </w:pPr>
    <w:r w:rsidRPr="008114B3">
      <w:rPr>
        <w:rFonts w:cs="Arial"/>
        <w:noProof/>
        <w:sz w:val="56"/>
        <w:szCs w:val="56"/>
        <w:lang w:eastAsia="en-AU"/>
      </w:rPr>
      <mc:AlternateContent>
        <mc:Choice Requires="wps">
          <w:drawing>
            <wp:anchor distT="0" distB="0" distL="114300" distR="114300" simplePos="0" relativeHeight="251659264" behindDoc="0" locked="0" layoutInCell="1" allowOverlap="1" wp14:anchorId="5E17C948" wp14:editId="5191CACA">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29C9FD4A" w14:textId="77777777" w:rsidR="00C914B9" w:rsidRPr="00464E72" w:rsidRDefault="00C914B9"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7C948"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29C9FD4A" w14:textId="77777777" w:rsidR="00C914B9" w:rsidRPr="00464E72" w:rsidRDefault="00C914B9"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02D47051" w14:textId="77777777" w:rsidR="00C914B9" w:rsidRDefault="00C914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C040" w14:textId="66688F17" w:rsidR="00C914B9" w:rsidRDefault="00C914B9">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2440CC7" wp14:editId="47AB0C07">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3290A33E" w14:textId="77777777" w:rsidR="00C914B9" w:rsidRPr="00464E72" w:rsidRDefault="00C914B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440CC7"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3290A33E" w14:textId="77777777" w:rsidR="00C914B9" w:rsidRPr="00464E72" w:rsidRDefault="00C914B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71552" behindDoc="1" locked="0" layoutInCell="1" allowOverlap="1" wp14:anchorId="07F94B4D" wp14:editId="01CA8BE3">
          <wp:simplePos x="0" y="0"/>
          <wp:positionH relativeFrom="page">
            <wp:posOffset>-29210</wp:posOffset>
          </wp:positionH>
          <wp:positionV relativeFrom="page">
            <wp:posOffset>7620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5408" behindDoc="0" locked="0" layoutInCell="1" allowOverlap="1" wp14:anchorId="52653ECF" wp14:editId="11275FA6">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2DEF1" w14:textId="77777777" w:rsidR="00C914B9" w:rsidRDefault="00C914B9"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53ECF" id="Text Box 21" o:spid="_x0000_s1028" type="#_x0000_t202" style="position:absolute;margin-left:201.8pt;margin-top:3.1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5322DEF1" w14:textId="77777777" w:rsidR="00C914B9" w:rsidRDefault="00C914B9"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D812" w14:textId="61E147AB" w:rsidR="00C914B9" w:rsidRDefault="00E66AE7">
    <w:pPr>
      <w:pStyle w:val="Header"/>
    </w:pPr>
    <w:r>
      <w:rPr>
        <w:noProof/>
      </w:rPr>
      <w:pict w14:anchorId="2E8D2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2.1pt;height:24.85pt;rotation:315;z-index:-251634688;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3A02F" w14:textId="1A875346" w:rsidR="00C914B9" w:rsidRDefault="00C914B9" w:rsidP="004D040B">
    <w:pPr>
      <w:pStyle w:val="Header"/>
      <w:pBdr>
        <w:bottom w:val="single" w:sz="4" w:space="3" w:color="auto"/>
      </w:pBdr>
    </w:pPr>
    <w:r>
      <w:rPr>
        <w:noProof/>
      </w:rPr>
      <w:t xml:space="preserve">COPP 11.6 Vehicle Management </w:t>
    </w:r>
    <w:r w:rsidR="00A2486C">
      <w:rPr>
        <w:noProof/>
      </w:rPr>
      <w:t>v</w:t>
    </w:r>
    <w:r w:rsidR="00F70112">
      <w:rPr>
        <w:noProof/>
      </w:rPr>
      <w:t>4.0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AB74" w14:textId="249777F2" w:rsidR="00C914B9" w:rsidRDefault="00E66AE7">
    <w:pPr>
      <w:pStyle w:val="Header"/>
    </w:pPr>
    <w:r>
      <w:rPr>
        <w:noProof/>
      </w:rPr>
      <w:pict w14:anchorId="031A7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22.1pt;height:24.85pt;rotation:315;z-index:-251636736;mso-position-horizontal:center;mso-position-horizontal-relative:margin;mso-position-vertical:center;mso-position-vertical-relative:margin" o:allowincell="f" fillcolor="silver"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FDC84B"/>
    <w:multiLevelType w:val="hybridMultilevel"/>
    <w:tmpl w:val="8B766F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55233"/>
    <w:multiLevelType w:val="hybridMultilevel"/>
    <w:tmpl w:val="572A4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B8113D"/>
    <w:multiLevelType w:val="multilevel"/>
    <w:tmpl w:val="E7F074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292A73"/>
    <w:multiLevelType w:val="hybridMultilevel"/>
    <w:tmpl w:val="F1AC044C"/>
    <w:lvl w:ilvl="0" w:tplc="0C090017">
      <w:start w:val="5"/>
      <w:numFmt w:val="lowerLetter"/>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D67D4A"/>
    <w:multiLevelType w:val="hybridMultilevel"/>
    <w:tmpl w:val="85CA048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630D38"/>
    <w:multiLevelType w:val="hybridMultilevel"/>
    <w:tmpl w:val="7DA4661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C6B60BB"/>
    <w:multiLevelType w:val="hybridMultilevel"/>
    <w:tmpl w:val="3D92883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337AFA"/>
    <w:multiLevelType w:val="hybridMultilevel"/>
    <w:tmpl w:val="758CF7F2"/>
    <w:lvl w:ilvl="0" w:tplc="1354BCC0">
      <w:start w:val="1"/>
      <w:numFmt w:val="bullet"/>
      <w:lvlText w:val=""/>
      <w:lvlJc w:val="left"/>
      <w:pPr>
        <w:tabs>
          <w:tab w:val="num" w:pos="286"/>
        </w:tabs>
        <w:ind w:left="286" w:hanging="286"/>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256DEE"/>
    <w:multiLevelType w:val="hybridMultilevel"/>
    <w:tmpl w:val="225436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70D21B1"/>
    <w:multiLevelType w:val="hybridMultilevel"/>
    <w:tmpl w:val="807EF4F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391B70F4"/>
    <w:multiLevelType w:val="hybridMultilevel"/>
    <w:tmpl w:val="07AC94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1C84DF8"/>
    <w:multiLevelType w:val="multilevel"/>
    <w:tmpl w:val="7020EAF2"/>
    <w:lvl w:ilvl="0">
      <w:start w:val="1"/>
      <w:numFmt w:val="decimal"/>
      <w:pStyle w:val="Style14ptBoldBlackLeftAfter125pt"/>
      <w:isLgl/>
      <w:lvlText w:val="%1."/>
      <w:lvlJc w:val="left"/>
      <w:pPr>
        <w:tabs>
          <w:tab w:val="num" w:pos="851"/>
        </w:tabs>
        <w:ind w:left="851" w:hanging="851"/>
      </w:pPr>
      <w:rPr>
        <w:rFonts w:ascii="Arial Bold" w:hAnsi="Arial Bold" w:cs="Lucida Sans" w:hint="default"/>
        <w:b/>
        <w:i w:val="0"/>
        <w:caps w:val="0"/>
        <w:strike w:val="0"/>
        <w:dstrike w:val="0"/>
        <w:outline w:val="0"/>
        <w:shadow w:val="0"/>
        <w:emboss w:val="0"/>
        <w:imprint w:val="0"/>
        <w:vanish w:val="0"/>
        <w:color w:val="auto"/>
        <w:sz w:val="28"/>
        <w:szCs w:val="28"/>
        <w:u w:val="none"/>
        <w:vertAlign w:val="baseline"/>
      </w:rPr>
    </w:lvl>
    <w:lvl w:ilvl="1">
      <w:start w:val="1"/>
      <w:numFmt w:val="decimal"/>
      <w:pStyle w:val="StyleStyleHeading2Before0ptAfter0ptLeft0cmH1"/>
      <w:lvlText w:val="%1.%2"/>
      <w:lvlJc w:val="left"/>
      <w:pPr>
        <w:tabs>
          <w:tab w:val="num" w:pos="851"/>
        </w:tabs>
        <w:ind w:left="851" w:hanging="851"/>
      </w:pPr>
      <w:rPr>
        <w:rFonts w:ascii="Arial" w:hAnsi="Arial" w:cs="Arial" w:hint="default"/>
        <w:b w:val="0"/>
        <w:i w:val="0"/>
        <w:color w:val="auto"/>
        <w:sz w:val="24"/>
        <w:szCs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decimal"/>
      <w:lvlText w:val="%4"/>
      <w:lvlJc w:val="left"/>
      <w:pPr>
        <w:tabs>
          <w:tab w:val="num" w:pos="567"/>
        </w:tabs>
        <w:ind w:left="1134" w:hanging="567"/>
      </w:pPr>
      <w:rPr>
        <w:rFonts w:cs="Lucida Sans" w:hint="default"/>
      </w:rPr>
    </w:lvl>
    <w:lvl w:ilvl="4">
      <w:start w:val="1"/>
      <w:numFmt w:val="decimal"/>
      <w:lvlText w:val="%1.%2.%3.%4.%5"/>
      <w:lvlJc w:val="left"/>
      <w:pPr>
        <w:tabs>
          <w:tab w:val="num" w:pos="1008"/>
        </w:tabs>
        <w:ind w:left="1008" w:hanging="1008"/>
      </w:pPr>
      <w:rPr>
        <w:rFonts w:cs="Lucida Sans" w:hint="default"/>
      </w:rPr>
    </w:lvl>
    <w:lvl w:ilvl="5">
      <w:start w:val="1"/>
      <w:numFmt w:val="decimal"/>
      <w:lvlText w:val="%1.%2.%3.%4.%5.%6"/>
      <w:lvlJc w:val="left"/>
      <w:pPr>
        <w:tabs>
          <w:tab w:val="num" w:pos="1152"/>
        </w:tabs>
        <w:ind w:left="1152" w:hanging="1152"/>
      </w:pPr>
      <w:rPr>
        <w:rFonts w:cs="Lucida Sans" w:hint="default"/>
      </w:rPr>
    </w:lvl>
    <w:lvl w:ilvl="6">
      <w:start w:val="1"/>
      <w:numFmt w:val="decimal"/>
      <w:lvlText w:val="%1.%2.%3.%4.%5.%6.%7"/>
      <w:lvlJc w:val="left"/>
      <w:pPr>
        <w:tabs>
          <w:tab w:val="num" w:pos="1296"/>
        </w:tabs>
        <w:ind w:left="1296" w:hanging="1296"/>
      </w:pPr>
      <w:rPr>
        <w:rFonts w:cs="Lucida Sans" w:hint="default"/>
      </w:rPr>
    </w:lvl>
    <w:lvl w:ilvl="7">
      <w:start w:val="1"/>
      <w:numFmt w:val="decimal"/>
      <w:lvlText w:val="%1.%2.%3.%4.%5.%6.%7.%8"/>
      <w:lvlJc w:val="left"/>
      <w:pPr>
        <w:tabs>
          <w:tab w:val="num" w:pos="1440"/>
        </w:tabs>
        <w:ind w:left="1440" w:hanging="1440"/>
      </w:pPr>
      <w:rPr>
        <w:rFonts w:cs="Lucida Sans" w:hint="default"/>
      </w:rPr>
    </w:lvl>
    <w:lvl w:ilvl="8">
      <w:start w:val="1"/>
      <w:numFmt w:val="decimal"/>
      <w:lvlText w:val="%1.%2.%3.%4.%5.%6.%7.%8.%9"/>
      <w:lvlJc w:val="left"/>
      <w:pPr>
        <w:tabs>
          <w:tab w:val="num" w:pos="1584"/>
        </w:tabs>
        <w:ind w:left="1584" w:hanging="1584"/>
      </w:pPr>
      <w:rPr>
        <w:rFonts w:cs="Lucida Sans" w:hint="default"/>
      </w:rPr>
    </w:lvl>
  </w:abstractNum>
  <w:abstractNum w:abstractNumId="18" w15:restartNumberingAfterBreak="0">
    <w:nsid w:val="47485B6D"/>
    <w:multiLevelType w:val="hybridMultilevel"/>
    <w:tmpl w:val="4686D136"/>
    <w:lvl w:ilvl="0" w:tplc="96F84F5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D31DC8"/>
    <w:multiLevelType w:val="hybridMultilevel"/>
    <w:tmpl w:val="99E2183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3E6642"/>
    <w:multiLevelType w:val="hybridMultilevel"/>
    <w:tmpl w:val="6B340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0D47E7"/>
    <w:multiLevelType w:val="hybridMultilevel"/>
    <w:tmpl w:val="5854F14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050290E"/>
    <w:multiLevelType w:val="hybridMultilevel"/>
    <w:tmpl w:val="7AE4F4D2"/>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60527F4B"/>
    <w:multiLevelType w:val="hybridMultilevel"/>
    <w:tmpl w:val="6628772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A2009C9"/>
    <w:multiLevelType w:val="hybridMultilevel"/>
    <w:tmpl w:val="138425E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EC4391"/>
    <w:multiLevelType w:val="hybridMultilevel"/>
    <w:tmpl w:val="8070DB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4D419D"/>
    <w:multiLevelType w:val="hybridMultilevel"/>
    <w:tmpl w:val="6D7A4550"/>
    <w:lvl w:ilvl="0" w:tplc="5B30B6E8">
      <w:start w:val="4"/>
      <w:numFmt w:val="bullet"/>
      <w:lvlText w:val="-"/>
      <w:lvlJc w:val="left"/>
      <w:pPr>
        <w:ind w:left="420" w:hanging="360"/>
      </w:pPr>
      <w:rPr>
        <w:rFonts w:ascii="Arial" w:eastAsia="MS Mincho"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7" w15:restartNumberingAfterBreak="0">
    <w:nsid w:val="74286C95"/>
    <w:multiLevelType w:val="hybridMultilevel"/>
    <w:tmpl w:val="CAFA608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5580A3D"/>
    <w:multiLevelType w:val="hybridMultilevel"/>
    <w:tmpl w:val="F6E68A88"/>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BF046F"/>
    <w:multiLevelType w:val="hybridMultilevel"/>
    <w:tmpl w:val="8070DB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75211101">
    <w:abstractNumId w:val="13"/>
  </w:num>
  <w:num w:numId="2" w16cid:durableId="2081444263">
    <w:abstractNumId w:val="9"/>
  </w:num>
  <w:num w:numId="3" w16cid:durableId="117336914">
    <w:abstractNumId w:val="3"/>
  </w:num>
  <w:num w:numId="4" w16cid:durableId="286159841">
    <w:abstractNumId w:val="1"/>
  </w:num>
  <w:num w:numId="5" w16cid:durableId="880675915">
    <w:abstractNumId w:val="16"/>
  </w:num>
  <w:num w:numId="6" w16cid:durableId="3636039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8479900">
    <w:abstractNumId w:val="12"/>
  </w:num>
  <w:num w:numId="8" w16cid:durableId="437137449">
    <w:abstractNumId w:val="17"/>
  </w:num>
  <w:num w:numId="9" w16cid:durableId="855197337">
    <w:abstractNumId w:val="29"/>
  </w:num>
  <w:num w:numId="10" w16cid:durableId="294992811">
    <w:abstractNumId w:val="4"/>
  </w:num>
  <w:num w:numId="11" w16cid:durableId="2138445521">
    <w:abstractNumId w:val="0"/>
  </w:num>
  <w:num w:numId="12" w16cid:durableId="1213082043">
    <w:abstractNumId w:val="11"/>
  </w:num>
  <w:num w:numId="13" w16cid:durableId="887451382">
    <w:abstractNumId w:val="7"/>
  </w:num>
  <w:num w:numId="14" w16cid:durableId="1668829643">
    <w:abstractNumId w:val="8"/>
  </w:num>
  <w:num w:numId="15" w16cid:durableId="1198011394">
    <w:abstractNumId w:val="30"/>
  </w:num>
  <w:num w:numId="16" w16cid:durableId="852260918">
    <w:abstractNumId w:val="5"/>
  </w:num>
  <w:num w:numId="17" w16cid:durableId="563494292">
    <w:abstractNumId w:val="21"/>
  </w:num>
  <w:num w:numId="18" w16cid:durableId="835536166">
    <w:abstractNumId w:val="18"/>
  </w:num>
  <w:num w:numId="19" w16cid:durableId="19861756">
    <w:abstractNumId w:val="19"/>
  </w:num>
  <w:num w:numId="20" w16cid:durableId="1008796908">
    <w:abstractNumId w:val="23"/>
  </w:num>
  <w:num w:numId="21" w16cid:durableId="467089710">
    <w:abstractNumId w:val="14"/>
  </w:num>
  <w:num w:numId="22" w16cid:durableId="725103736">
    <w:abstractNumId w:val="10"/>
  </w:num>
  <w:num w:numId="23" w16cid:durableId="917177606">
    <w:abstractNumId w:val="24"/>
  </w:num>
  <w:num w:numId="24" w16cid:durableId="444889474">
    <w:abstractNumId w:val="22"/>
  </w:num>
  <w:num w:numId="25" w16cid:durableId="760024948">
    <w:abstractNumId w:val="28"/>
  </w:num>
  <w:num w:numId="26" w16cid:durableId="1928266236">
    <w:abstractNumId w:val="25"/>
  </w:num>
  <w:num w:numId="27" w16cid:durableId="222720025">
    <w:abstractNumId w:val="15"/>
  </w:num>
  <w:num w:numId="28" w16cid:durableId="1715033379">
    <w:abstractNumId w:val="20"/>
  </w:num>
  <w:num w:numId="29" w16cid:durableId="1706295959">
    <w:abstractNumId w:val="27"/>
  </w:num>
  <w:num w:numId="30" w16cid:durableId="205945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2233574">
    <w:abstractNumId w:val="26"/>
  </w:num>
  <w:num w:numId="32" w16cid:durableId="20094767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6725568">
    <w:abstractNumId w:val="6"/>
  </w:num>
  <w:num w:numId="34" w16cid:durableId="65892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m2KzTLZksna14Hda+Zaa0W/JLSMiFmg4X3tY91vvk9f7bXonrPy2MxsYWbN/laSB7f0/J6O4CCSFMJQpR+RRg==" w:salt="ODRtMNhBvcbJC9nLrZzMuw=="/>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A0C98"/>
    <w:rsid w:val="00013212"/>
    <w:rsid w:val="00013280"/>
    <w:rsid w:val="000203FF"/>
    <w:rsid w:val="000278F6"/>
    <w:rsid w:val="00040E10"/>
    <w:rsid w:val="00045F51"/>
    <w:rsid w:val="00055FF4"/>
    <w:rsid w:val="000633AB"/>
    <w:rsid w:val="00067F85"/>
    <w:rsid w:val="00072156"/>
    <w:rsid w:val="000755EE"/>
    <w:rsid w:val="0007604D"/>
    <w:rsid w:val="00085F41"/>
    <w:rsid w:val="00090D58"/>
    <w:rsid w:val="000925A5"/>
    <w:rsid w:val="00095339"/>
    <w:rsid w:val="00097511"/>
    <w:rsid w:val="000A013B"/>
    <w:rsid w:val="000A259B"/>
    <w:rsid w:val="000B5307"/>
    <w:rsid w:val="000B6320"/>
    <w:rsid w:val="000C3B54"/>
    <w:rsid w:val="000C5292"/>
    <w:rsid w:val="000D008C"/>
    <w:rsid w:val="000D3683"/>
    <w:rsid w:val="000D63AB"/>
    <w:rsid w:val="000D684A"/>
    <w:rsid w:val="000D69A3"/>
    <w:rsid w:val="000D6E80"/>
    <w:rsid w:val="000E0A76"/>
    <w:rsid w:val="000F7531"/>
    <w:rsid w:val="00101452"/>
    <w:rsid w:val="001035D6"/>
    <w:rsid w:val="00111B90"/>
    <w:rsid w:val="00113519"/>
    <w:rsid w:val="001158E9"/>
    <w:rsid w:val="00126611"/>
    <w:rsid w:val="00131037"/>
    <w:rsid w:val="00131716"/>
    <w:rsid w:val="001428AB"/>
    <w:rsid w:val="00144A1B"/>
    <w:rsid w:val="00146739"/>
    <w:rsid w:val="00150099"/>
    <w:rsid w:val="00150F94"/>
    <w:rsid w:val="00155864"/>
    <w:rsid w:val="00160BA4"/>
    <w:rsid w:val="00163A78"/>
    <w:rsid w:val="001757E8"/>
    <w:rsid w:val="001807CF"/>
    <w:rsid w:val="00181D99"/>
    <w:rsid w:val="00181DE7"/>
    <w:rsid w:val="00193880"/>
    <w:rsid w:val="001B4168"/>
    <w:rsid w:val="001C5EEF"/>
    <w:rsid w:val="001D24A4"/>
    <w:rsid w:val="001D2E43"/>
    <w:rsid w:val="001D5329"/>
    <w:rsid w:val="001D54E2"/>
    <w:rsid w:val="001E5D54"/>
    <w:rsid w:val="001E67B2"/>
    <w:rsid w:val="001F44D0"/>
    <w:rsid w:val="001F76D1"/>
    <w:rsid w:val="002175CD"/>
    <w:rsid w:val="002178FA"/>
    <w:rsid w:val="00243E72"/>
    <w:rsid w:val="002457AA"/>
    <w:rsid w:val="00245869"/>
    <w:rsid w:val="00250C62"/>
    <w:rsid w:val="00252390"/>
    <w:rsid w:val="00254316"/>
    <w:rsid w:val="00256544"/>
    <w:rsid w:val="00261774"/>
    <w:rsid w:val="00261F23"/>
    <w:rsid w:val="00262FA4"/>
    <w:rsid w:val="00265971"/>
    <w:rsid w:val="002669B8"/>
    <w:rsid w:val="00272E7F"/>
    <w:rsid w:val="0027609B"/>
    <w:rsid w:val="00282642"/>
    <w:rsid w:val="00282B8D"/>
    <w:rsid w:val="00285795"/>
    <w:rsid w:val="00286245"/>
    <w:rsid w:val="002A1150"/>
    <w:rsid w:val="002A26A7"/>
    <w:rsid w:val="002A2E31"/>
    <w:rsid w:val="002A3862"/>
    <w:rsid w:val="002A4392"/>
    <w:rsid w:val="002A776F"/>
    <w:rsid w:val="002B06C5"/>
    <w:rsid w:val="002D1C44"/>
    <w:rsid w:val="002D31A0"/>
    <w:rsid w:val="002D47B1"/>
    <w:rsid w:val="002D6497"/>
    <w:rsid w:val="002E447F"/>
    <w:rsid w:val="002E6F7B"/>
    <w:rsid w:val="002F0151"/>
    <w:rsid w:val="00301AC2"/>
    <w:rsid w:val="00302144"/>
    <w:rsid w:val="00306CF2"/>
    <w:rsid w:val="00307964"/>
    <w:rsid w:val="0031660B"/>
    <w:rsid w:val="00322EA2"/>
    <w:rsid w:val="00323D15"/>
    <w:rsid w:val="003356CA"/>
    <w:rsid w:val="00335823"/>
    <w:rsid w:val="0034232F"/>
    <w:rsid w:val="00357EA7"/>
    <w:rsid w:val="00380258"/>
    <w:rsid w:val="00380AB3"/>
    <w:rsid w:val="00384D75"/>
    <w:rsid w:val="003944C5"/>
    <w:rsid w:val="003A0C98"/>
    <w:rsid w:val="003A34E0"/>
    <w:rsid w:val="003A477F"/>
    <w:rsid w:val="003B15F6"/>
    <w:rsid w:val="003B1EC8"/>
    <w:rsid w:val="003C1B90"/>
    <w:rsid w:val="003D6014"/>
    <w:rsid w:val="003D6E7D"/>
    <w:rsid w:val="003D708E"/>
    <w:rsid w:val="003E3552"/>
    <w:rsid w:val="003E6CE1"/>
    <w:rsid w:val="00400DF5"/>
    <w:rsid w:val="0040182D"/>
    <w:rsid w:val="004018A5"/>
    <w:rsid w:val="0040796F"/>
    <w:rsid w:val="00407AD8"/>
    <w:rsid w:val="004126C8"/>
    <w:rsid w:val="00415858"/>
    <w:rsid w:val="00420FE2"/>
    <w:rsid w:val="00422620"/>
    <w:rsid w:val="004239C5"/>
    <w:rsid w:val="00425B29"/>
    <w:rsid w:val="0043439E"/>
    <w:rsid w:val="00443A63"/>
    <w:rsid w:val="00444B9A"/>
    <w:rsid w:val="00457598"/>
    <w:rsid w:val="00464E72"/>
    <w:rsid w:val="004837DC"/>
    <w:rsid w:val="00490500"/>
    <w:rsid w:val="00493A9A"/>
    <w:rsid w:val="004B297E"/>
    <w:rsid w:val="004B307A"/>
    <w:rsid w:val="004B3803"/>
    <w:rsid w:val="004B4485"/>
    <w:rsid w:val="004B6106"/>
    <w:rsid w:val="004C040F"/>
    <w:rsid w:val="004C220F"/>
    <w:rsid w:val="004C3213"/>
    <w:rsid w:val="004C72AA"/>
    <w:rsid w:val="004D040B"/>
    <w:rsid w:val="004D76C6"/>
    <w:rsid w:val="004E571B"/>
    <w:rsid w:val="00517318"/>
    <w:rsid w:val="00521AF0"/>
    <w:rsid w:val="00523054"/>
    <w:rsid w:val="00527AFB"/>
    <w:rsid w:val="00537200"/>
    <w:rsid w:val="00540808"/>
    <w:rsid w:val="00543BAD"/>
    <w:rsid w:val="00551AC8"/>
    <w:rsid w:val="005538BC"/>
    <w:rsid w:val="00554385"/>
    <w:rsid w:val="005657AE"/>
    <w:rsid w:val="0056604A"/>
    <w:rsid w:val="00567D77"/>
    <w:rsid w:val="00576EFF"/>
    <w:rsid w:val="00580572"/>
    <w:rsid w:val="00592112"/>
    <w:rsid w:val="00594836"/>
    <w:rsid w:val="005A07DC"/>
    <w:rsid w:val="005A3EA6"/>
    <w:rsid w:val="005C36F8"/>
    <w:rsid w:val="005C3D4E"/>
    <w:rsid w:val="005D5570"/>
    <w:rsid w:val="005E566A"/>
    <w:rsid w:val="005E6A02"/>
    <w:rsid w:val="005F2BCE"/>
    <w:rsid w:val="005F3A77"/>
    <w:rsid w:val="00606760"/>
    <w:rsid w:val="006123AC"/>
    <w:rsid w:val="006126DF"/>
    <w:rsid w:val="00621EAD"/>
    <w:rsid w:val="00622EBE"/>
    <w:rsid w:val="00627992"/>
    <w:rsid w:val="006335A4"/>
    <w:rsid w:val="00634C54"/>
    <w:rsid w:val="006377BC"/>
    <w:rsid w:val="00642BF6"/>
    <w:rsid w:val="006444FB"/>
    <w:rsid w:val="00644A2D"/>
    <w:rsid w:val="00647C64"/>
    <w:rsid w:val="00651D27"/>
    <w:rsid w:val="00656F4A"/>
    <w:rsid w:val="006867F7"/>
    <w:rsid w:val="00690255"/>
    <w:rsid w:val="00690567"/>
    <w:rsid w:val="006B3601"/>
    <w:rsid w:val="006B60C0"/>
    <w:rsid w:val="006C3BAA"/>
    <w:rsid w:val="006D5780"/>
    <w:rsid w:val="006D622C"/>
    <w:rsid w:val="006F7A12"/>
    <w:rsid w:val="00700318"/>
    <w:rsid w:val="007117F2"/>
    <w:rsid w:val="00711C79"/>
    <w:rsid w:val="00715807"/>
    <w:rsid w:val="00727801"/>
    <w:rsid w:val="0073517E"/>
    <w:rsid w:val="0073738C"/>
    <w:rsid w:val="00737D08"/>
    <w:rsid w:val="007444AC"/>
    <w:rsid w:val="00752A9E"/>
    <w:rsid w:val="0076339F"/>
    <w:rsid w:val="00763E13"/>
    <w:rsid w:val="007666B1"/>
    <w:rsid w:val="00775238"/>
    <w:rsid w:val="007A390C"/>
    <w:rsid w:val="007A6969"/>
    <w:rsid w:val="007C7440"/>
    <w:rsid w:val="007D3C6F"/>
    <w:rsid w:val="007E67F4"/>
    <w:rsid w:val="007F4AE0"/>
    <w:rsid w:val="008000C6"/>
    <w:rsid w:val="00803710"/>
    <w:rsid w:val="00805272"/>
    <w:rsid w:val="00811348"/>
    <w:rsid w:val="008114B3"/>
    <w:rsid w:val="0082541A"/>
    <w:rsid w:val="008418DE"/>
    <w:rsid w:val="00844223"/>
    <w:rsid w:val="00852BD0"/>
    <w:rsid w:val="00857A48"/>
    <w:rsid w:val="0086067A"/>
    <w:rsid w:val="00866B3A"/>
    <w:rsid w:val="008703AC"/>
    <w:rsid w:val="00880E3E"/>
    <w:rsid w:val="008976B1"/>
    <w:rsid w:val="008A5DCC"/>
    <w:rsid w:val="008A6202"/>
    <w:rsid w:val="008A747B"/>
    <w:rsid w:val="008B35D2"/>
    <w:rsid w:val="008B5021"/>
    <w:rsid w:val="008B5E88"/>
    <w:rsid w:val="008C1064"/>
    <w:rsid w:val="008C190E"/>
    <w:rsid w:val="008C6ED7"/>
    <w:rsid w:val="008D3DE0"/>
    <w:rsid w:val="008D51C1"/>
    <w:rsid w:val="008E5A70"/>
    <w:rsid w:val="008E72E8"/>
    <w:rsid w:val="008F17E8"/>
    <w:rsid w:val="00904390"/>
    <w:rsid w:val="0091065E"/>
    <w:rsid w:val="00913321"/>
    <w:rsid w:val="00930B45"/>
    <w:rsid w:val="009476A0"/>
    <w:rsid w:val="00957CFE"/>
    <w:rsid w:val="0096091F"/>
    <w:rsid w:val="00960920"/>
    <w:rsid w:val="00965849"/>
    <w:rsid w:val="00972C21"/>
    <w:rsid w:val="00993707"/>
    <w:rsid w:val="0099593F"/>
    <w:rsid w:val="009962C0"/>
    <w:rsid w:val="00996318"/>
    <w:rsid w:val="009A0344"/>
    <w:rsid w:val="009A19E1"/>
    <w:rsid w:val="009B03FE"/>
    <w:rsid w:val="009B67F9"/>
    <w:rsid w:val="009B751B"/>
    <w:rsid w:val="009E1ED3"/>
    <w:rsid w:val="009F70E8"/>
    <w:rsid w:val="00A05FA6"/>
    <w:rsid w:val="00A07D58"/>
    <w:rsid w:val="00A11A60"/>
    <w:rsid w:val="00A21A24"/>
    <w:rsid w:val="00A2486C"/>
    <w:rsid w:val="00A261BD"/>
    <w:rsid w:val="00A26A99"/>
    <w:rsid w:val="00A31894"/>
    <w:rsid w:val="00A34B9F"/>
    <w:rsid w:val="00A37664"/>
    <w:rsid w:val="00A43D05"/>
    <w:rsid w:val="00A65D50"/>
    <w:rsid w:val="00A820CD"/>
    <w:rsid w:val="00A854BE"/>
    <w:rsid w:val="00A87EC9"/>
    <w:rsid w:val="00A95E1C"/>
    <w:rsid w:val="00AA2710"/>
    <w:rsid w:val="00AA6BC9"/>
    <w:rsid w:val="00AC5A1F"/>
    <w:rsid w:val="00AC5EAE"/>
    <w:rsid w:val="00AC6F7A"/>
    <w:rsid w:val="00AD660E"/>
    <w:rsid w:val="00AE1F47"/>
    <w:rsid w:val="00AE3362"/>
    <w:rsid w:val="00AE5934"/>
    <w:rsid w:val="00AE70E8"/>
    <w:rsid w:val="00AF4C82"/>
    <w:rsid w:val="00AF7DDC"/>
    <w:rsid w:val="00B01F53"/>
    <w:rsid w:val="00B02B08"/>
    <w:rsid w:val="00B27961"/>
    <w:rsid w:val="00B30FFD"/>
    <w:rsid w:val="00B356C4"/>
    <w:rsid w:val="00B41068"/>
    <w:rsid w:val="00B62A38"/>
    <w:rsid w:val="00B64A9B"/>
    <w:rsid w:val="00B66D61"/>
    <w:rsid w:val="00B74EA3"/>
    <w:rsid w:val="00B848F7"/>
    <w:rsid w:val="00B85648"/>
    <w:rsid w:val="00B937D8"/>
    <w:rsid w:val="00B949C8"/>
    <w:rsid w:val="00B97D8F"/>
    <w:rsid w:val="00BA2293"/>
    <w:rsid w:val="00BA6FF9"/>
    <w:rsid w:val="00BB04E9"/>
    <w:rsid w:val="00BB385B"/>
    <w:rsid w:val="00BB7672"/>
    <w:rsid w:val="00BD56E0"/>
    <w:rsid w:val="00BF3FD8"/>
    <w:rsid w:val="00C06A93"/>
    <w:rsid w:val="00C0767A"/>
    <w:rsid w:val="00C106F1"/>
    <w:rsid w:val="00C11C3C"/>
    <w:rsid w:val="00C15484"/>
    <w:rsid w:val="00C2101E"/>
    <w:rsid w:val="00C21B00"/>
    <w:rsid w:val="00C32588"/>
    <w:rsid w:val="00C34111"/>
    <w:rsid w:val="00C444C5"/>
    <w:rsid w:val="00C6068D"/>
    <w:rsid w:val="00C8272F"/>
    <w:rsid w:val="00C914B9"/>
    <w:rsid w:val="00CA3E33"/>
    <w:rsid w:val="00CA54C3"/>
    <w:rsid w:val="00CB27A8"/>
    <w:rsid w:val="00CB39DF"/>
    <w:rsid w:val="00CC2067"/>
    <w:rsid w:val="00CC25CD"/>
    <w:rsid w:val="00CE04A9"/>
    <w:rsid w:val="00CE0629"/>
    <w:rsid w:val="00CE1A06"/>
    <w:rsid w:val="00CF0568"/>
    <w:rsid w:val="00CF5170"/>
    <w:rsid w:val="00D05B49"/>
    <w:rsid w:val="00D06183"/>
    <w:rsid w:val="00D06E62"/>
    <w:rsid w:val="00D10226"/>
    <w:rsid w:val="00D139F9"/>
    <w:rsid w:val="00D1719A"/>
    <w:rsid w:val="00D20E41"/>
    <w:rsid w:val="00D215E6"/>
    <w:rsid w:val="00D2443A"/>
    <w:rsid w:val="00D26E5D"/>
    <w:rsid w:val="00D34E8B"/>
    <w:rsid w:val="00D37646"/>
    <w:rsid w:val="00D4185B"/>
    <w:rsid w:val="00D45C09"/>
    <w:rsid w:val="00D52373"/>
    <w:rsid w:val="00D60169"/>
    <w:rsid w:val="00D60A5A"/>
    <w:rsid w:val="00D637FF"/>
    <w:rsid w:val="00D65015"/>
    <w:rsid w:val="00D72856"/>
    <w:rsid w:val="00D73875"/>
    <w:rsid w:val="00D8355A"/>
    <w:rsid w:val="00D85573"/>
    <w:rsid w:val="00D9330E"/>
    <w:rsid w:val="00DA47D5"/>
    <w:rsid w:val="00DA683F"/>
    <w:rsid w:val="00DB0237"/>
    <w:rsid w:val="00DB51DC"/>
    <w:rsid w:val="00DB6606"/>
    <w:rsid w:val="00DC127D"/>
    <w:rsid w:val="00DC4D1B"/>
    <w:rsid w:val="00DD0C3D"/>
    <w:rsid w:val="00DE6259"/>
    <w:rsid w:val="00DF778C"/>
    <w:rsid w:val="00E02096"/>
    <w:rsid w:val="00E102E9"/>
    <w:rsid w:val="00E22B94"/>
    <w:rsid w:val="00E2616E"/>
    <w:rsid w:val="00E37318"/>
    <w:rsid w:val="00E579A8"/>
    <w:rsid w:val="00E66AE7"/>
    <w:rsid w:val="00E732C6"/>
    <w:rsid w:val="00E84D53"/>
    <w:rsid w:val="00E94C90"/>
    <w:rsid w:val="00EA143A"/>
    <w:rsid w:val="00EA19D3"/>
    <w:rsid w:val="00EA2F74"/>
    <w:rsid w:val="00EA6531"/>
    <w:rsid w:val="00EA7EAC"/>
    <w:rsid w:val="00EC11D3"/>
    <w:rsid w:val="00EC2113"/>
    <w:rsid w:val="00EC5AF1"/>
    <w:rsid w:val="00EC64DC"/>
    <w:rsid w:val="00EC7AB2"/>
    <w:rsid w:val="00ED52D0"/>
    <w:rsid w:val="00EE245A"/>
    <w:rsid w:val="00EE3398"/>
    <w:rsid w:val="00EE45BF"/>
    <w:rsid w:val="00EF1CBD"/>
    <w:rsid w:val="00EF2200"/>
    <w:rsid w:val="00F07AE4"/>
    <w:rsid w:val="00F07C62"/>
    <w:rsid w:val="00F126EA"/>
    <w:rsid w:val="00F34087"/>
    <w:rsid w:val="00F42C08"/>
    <w:rsid w:val="00F45492"/>
    <w:rsid w:val="00F60389"/>
    <w:rsid w:val="00F70112"/>
    <w:rsid w:val="00F746A7"/>
    <w:rsid w:val="00F75AF5"/>
    <w:rsid w:val="00F933CE"/>
    <w:rsid w:val="00F948E8"/>
    <w:rsid w:val="00F97329"/>
    <w:rsid w:val="00FA06E2"/>
    <w:rsid w:val="00FA1D8B"/>
    <w:rsid w:val="00FA430D"/>
    <w:rsid w:val="00FC0127"/>
    <w:rsid w:val="00FD1F5D"/>
    <w:rsid w:val="00FD4E72"/>
    <w:rsid w:val="00FE207C"/>
    <w:rsid w:val="00FE62C1"/>
    <w:rsid w:val="00FF05AA"/>
    <w:rsid w:val="00FF20B8"/>
    <w:rsid w:val="00FF2E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36F0BB"/>
  <w14:defaultImageDpi w14:val="300"/>
  <w15:docId w15:val="{268C0751-9D4C-4107-A8E5-94899AE0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DE"/>
    <w:pPr>
      <w:spacing w:after="120"/>
    </w:pPr>
    <w:rPr>
      <w:rFonts w:ascii="Arial" w:hAnsi="Arial"/>
      <w:sz w:val="24"/>
      <w:szCs w:val="24"/>
      <w:lang w:eastAsia="en-US"/>
    </w:rPr>
  </w:style>
  <w:style w:type="paragraph" w:styleId="Heading1">
    <w:name w:val="heading 1"/>
    <w:basedOn w:val="Normal"/>
    <w:next w:val="Normal"/>
    <w:link w:val="Heading1Char"/>
    <w:uiPriority w:val="9"/>
    <w:qFormat/>
    <w:rsid w:val="00DB6606"/>
    <w:pPr>
      <w:keepNext/>
      <w:keepLines/>
      <w:numPr>
        <w:numId w:val="3"/>
      </w:numPr>
      <w:spacing w:before="240"/>
      <w:ind w:left="728" w:hanging="728"/>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DB6606"/>
    <w:pPr>
      <w:numPr>
        <w:ilvl w:val="1"/>
      </w:numPr>
      <w:ind w:left="756" w:hanging="756"/>
      <w:outlineLvl w:val="1"/>
    </w:pPr>
    <w:rPr>
      <w:bCs w:val="0"/>
      <w:sz w:val="24"/>
      <w:szCs w:val="26"/>
    </w:rPr>
  </w:style>
  <w:style w:type="paragraph" w:styleId="Heading3">
    <w:name w:val="heading 3"/>
    <w:basedOn w:val="Heading2"/>
    <w:next w:val="Normal"/>
    <w:link w:val="Heading3Char"/>
    <w:uiPriority w:val="9"/>
    <w:unhideWhenUsed/>
    <w:qFormat/>
    <w:rsid w:val="00DB6606"/>
    <w:pPr>
      <w:keepNext w:val="0"/>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pPr>
    <w:rPr>
      <w:b/>
      <w:color w:val="000000" w:themeColor="text1"/>
      <w:sz w:val="32"/>
    </w:rPr>
  </w:style>
  <w:style w:type="character" w:customStyle="1" w:styleId="Heading1Char">
    <w:name w:val="Heading 1 Char"/>
    <w:link w:val="Heading1"/>
    <w:uiPriority w:val="9"/>
    <w:rsid w:val="00DB6606"/>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DB6606"/>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DB6606"/>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866B3A"/>
    <w:pPr>
      <w:spacing w:after="100"/>
    </w:pPr>
    <w:rPr>
      <w:b/>
    </w:rPr>
  </w:style>
  <w:style w:type="paragraph" w:styleId="TOC2">
    <w:name w:val="toc 2"/>
    <w:basedOn w:val="Normal"/>
    <w:next w:val="Normal"/>
    <w:autoRedefine/>
    <w:uiPriority w:val="39"/>
    <w:unhideWhenUsed/>
    <w:rsid w:val="00913321"/>
    <w:pPr>
      <w:tabs>
        <w:tab w:val="left" w:pos="1134"/>
        <w:tab w:val="left" w:pos="1560"/>
        <w:tab w:val="right" w:leader="dot" w:pos="9168"/>
      </w:tabs>
      <w:spacing w:after="100"/>
      <w:ind w:left="567"/>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DB6606"/>
    <w:pPr>
      <w:spacing w:before="2280" w:after="240"/>
    </w:pPr>
    <w:rPr>
      <w:rFonts w:ascii="Arial Bold" w:hAnsi="Arial Bold"/>
      <w:b/>
      <w:color w:val="6A1A41"/>
      <w:sz w:val="36"/>
      <w:szCs w:val="56"/>
    </w:rPr>
  </w:style>
  <w:style w:type="character" w:customStyle="1" w:styleId="TitleChar">
    <w:name w:val="Title Char"/>
    <w:link w:val="Title"/>
    <w:uiPriority w:val="10"/>
    <w:rsid w:val="00DB6606"/>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B6606"/>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57" w:type="dxa"/>
        <w:left w:w="85" w:type="dxa"/>
        <w:bottom w:w="57"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DB6606"/>
    <w:pPr>
      <w:keepNext/>
      <w:keepLines/>
      <w:numPr>
        <w:numId w:val="4"/>
      </w:numPr>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DB6606"/>
    <w:pPr>
      <w:spacing w:after="6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customStyle="1" w:styleId="Style14ptBoldBlackLeftAfter125pt">
    <w:name w:val="Style 14 pt Bold Black Left After:  1.25 pt"/>
    <w:basedOn w:val="Normal"/>
    <w:rsid w:val="008C6ED7"/>
    <w:pPr>
      <w:numPr>
        <w:numId w:val="8"/>
      </w:numPr>
      <w:tabs>
        <w:tab w:val="left" w:pos="794"/>
      </w:tabs>
      <w:spacing w:after="25"/>
    </w:pPr>
    <w:rPr>
      <w:rFonts w:eastAsia="Times New Roman"/>
      <w:b/>
      <w:bCs/>
      <w:color w:val="000000"/>
      <w:sz w:val="28"/>
      <w:szCs w:val="20"/>
      <w:lang w:eastAsia="en-AU"/>
    </w:rPr>
  </w:style>
  <w:style w:type="paragraph" w:customStyle="1" w:styleId="StyleStyleHeading2Before0ptAfter0ptLeft0cmH1">
    <w:name w:val="Style Style Heading 2 + Before:  0 pt After:  0 pt + Left:  0 cm H...1"/>
    <w:basedOn w:val="Normal"/>
    <w:rsid w:val="008C6ED7"/>
    <w:pPr>
      <w:numPr>
        <w:ilvl w:val="1"/>
        <w:numId w:val="8"/>
      </w:numPr>
      <w:jc w:val="both"/>
    </w:pPr>
    <w:rPr>
      <w:rFonts w:eastAsia="Times New Roman"/>
      <w:lang w:eastAsia="en-AU"/>
    </w:rPr>
  </w:style>
  <w:style w:type="paragraph" w:styleId="ListNumber">
    <w:name w:val="List Number"/>
    <w:basedOn w:val="ListParagraph"/>
    <w:uiPriority w:val="99"/>
    <w:unhideWhenUsed/>
    <w:rsid w:val="008C6ED7"/>
    <w:pPr>
      <w:numPr>
        <w:numId w:val="9"/>
      </w:numPr>
      <w:spacing w:before="120"/>
      <w:ind w:hanging="578"/>
      <w:contextualSpacing w:val="0"/>
    </w:pPr>
    <w:rPr>
      <w:rFonts w:eastAsiaTheme="minorHAnsi"/>
      <w:szCs w:val="22"/>
    </w:rPr>
  </w:style>
  <w:style w:type="paragraph" w:styleId="FootnoteText">
    <w:name w:val="footnote text"/>
    <w:basedOn w:val="Normal"/>
    <w:link w:val="FootnoteTextChar"/>
    <w:uiPriority w:val="99"/>
    <w:semiHidden/>
    <w:unhideWhenUsed/>
    <w:rsid w:val="00335823"/>
    <w:rPr>
      <w:sz w:val="20"/>
      <w:szCs w:val="20"/>
    </w:rPr>
  </w:style>
  <w:style w:type="character" w:customStyle="1" w:styleId="FootnoteTextChar">
    <w:name w:val="Footnote Text Char"/>
    <w:basedOn w:val="DefaultParagraphFont"/>
    <w:link w:val="FootnoteText"/>
    <w:uiPriority w:val="99"/>
    <w:semiHidden/>
    <w:rsid w:val="00335823"/>
    <w:rPr>
      <w:rFonts w:ascii="Arial" w:hAnsi="Arial"/>
      <w:lang w:eastAsia="en-US"/>
    </w:rPr>
  </w:style>
  <w:style w:type="character" w:styleId="FootnoteReference">
    <w:name w:val="footnote reference"/>
    <w:basedOn w:val="DefaultParagraphFont"/>
    <w:uiPriority w:val="99"/>
    <w:semiHidden/>
    <w:unhideWhenUsed/>
    <w:rsid w:val="00335823"/>
    <w:rPr>
      <w:vertAlign w:val="superscript"/>
    </w:rPr>
  </w:style>
  <w:style w:type="character" w:styleId="CommentReference">
    <w:name w:val="annotation reference"/>
    <w:basedOn w:val="DefaultParagraphFont"/>
    <w:uiPriority w:val="99"/>
    <w:semiHidden/>
    <w:unhideWhenUsed/>
    <w:rsid w:val="00335823"/>
    <w:rPr>
      <w:sz w:val="16"/>
      <w:szCs w:val="16"/>
    </w:rPr>
  </w:style>
  <w:style w:type="paragraph" w:styleId="CommentText">
    <w:name w:val="annotation text"/>
    <w:basedOn w:val="Normal"/>
    <w:link w:val="CommentTextChar"/>
    <w:uiPriority w:val="99"/>
    <w:unhideWhenUsed/>
    <w:rsid w:val="00335823"/>
    <w:rPr>
      <w:sz w:val="20"/>
      <w:szCs w:val="20"/>
    </w:rPr>
  </w:style>
  <w:style w:type="character" w:customStyle="1" w:styleId="CommentTextChar">
    <w:name w:val="Comment Text Char"/>
    <w:basedOn w:val="DefaultParagraphFont"/>
    <w:link w:val="CommentText"/>
    <w:uiPriority w:val="99"/>
    <w:rsid w:val="00335823"/>
    <w:rPr>
      <w:rFonts w:ascii="Arial" w:hAnsi="Arial"/>
      <w:lang w:eastAsia="en-US"/>
    </w:rPr>
  </w:style>
  <w:style w:type="paragraph" w:styleId="TOC3">
    <w:name w:val="toc 3"/>
    <w:basedOn w:val="Normal"/>
    <w:next w:val="Normal"/>
    <w:autoRedefine/>
    <w:uiPriority w:val="39"/>
    <w:unhideWhenUsed/>
    <w:rsid w:val="00A07D58"/>
    <w:pPr>
      <w:spacing w:after="100"/>
      <w:ind w:left="480"/>
    </w:pPr>
  </w:style>
  <w:style w:type="paragraph" w:styleId="CommentSubject">
    <w:name w:val="annotation subject"/>
    <w:basedOn w:val="CommentText"/>
    <w:next w:val="CommentText"/>
    <w:link w:val="CommentSubjectChar"/>
    <w:uiPriority w:val="99"/>
    <w:semiHidden/>
    <w:unhideWhenUsed/>
    <w:rsid w:val="00B97D8F"/>
    <w:rPr>
      <w:b/>
      <w:bCs/>
    </w:rPr>
  </w:style>
  <w:style w:type="character" w:customStyle="1" w:styleId="CommentSubjectChar">
    <w:name w:val="Comment Subject Char"/>
    <w:basedOn w:val="CommentTextChar"/>
    <w:link w:val="CommentSubject"/>
    <w:uiPriority w:val="99"/>
    <w:semiHidden/>
    <w:rsid w:val="00B97D8F"/>
    <w:rPr>
      <w:rFonts w:ascii="Arial" w:hAnsi="Arial"/>
      <w:b/>
      <w:bCs/>
      <w:lang w:eastAsia="en-US"/>
    </w:rPr>
  </w:style>
  <w:style w:type="table" w:customStyle="1" w:styleId="DCStable1">
    <w:name w:val="DCStable1"/>
    <w:basedOn w:val="TableNormal"/>
    <w:uiPriority w:val="99"/>
    <w:rsid w:val="0073517E"/>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character" w:styleId="FollowedHyperlink">
    <w:name w:val="FollowedHyperlink"/>
    <w:basedOn w:val="DefaultParagraphFont"/>
    <w:uiPriority w:val="99"/>
    <w:semiHidden/>
    <w:unhideWhenUsed/>
    <w:rsid w:val="008703AC"/>
    <w:rPr>
      <w:color w:val="800080" w:themeColor="followedHyperlink"/>
      <w:u w:val="single"/>
    </w:rPr>
  </w:style>
  <w:style w:type="character" w:styleId="UnresolvedMention">
    <w:name w:val="Unresolved Mention"/>
    <w:basedOn w:val="DefaultParagraphFont"/>
    <w:uiPriority w:val="99"/>
    <w:semiHidden/>
    <w:unhideWhenUsed/>
    <w:rsid w:val="00D1719A"/>
    <w:rPr>
      <w:color w:val="605E5C"/>
      <w:shd w:val="clear" w:color="auto" w:fill="E1DFDD"/>
    </w:rPr>
  </w:style>
  <w:style w:type="paragraph" w:styleId="Revision">
    <w:name w:val="Revision"/>
    <w:hidden/>
    <w:uiPriority w:val="99"/>
    <w:semiHidden/>
    <w:rsid w:val="00B85648"/>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jwa.sharepoint.com/:w:/r/sites/intranet/prison-operations/_layouts/15/Doc.aspx?sourcedoc=%7BA4ED7623-B741-4B0F-BCAC-6C0203DCBE13%7D&amp;file=Prisoner%20Safety%20Induction%20and%20Training%20Form%20(C002).docx&amp;action=default&amp;mobileredirect=true&amp;DefaultItemOpen=1" TargetMode="External"/><Relationship Id="rId7" Type="http://schemas.openxmlformats.org/officeDocument/2006/relationships/styles" Target="styles.xml"/><Relationship Id="rId12" Type="http://schemas.openxmlformats.org/officeDocument/2006/relationships/hyperlink" Target="http://justu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justus/intranet/department/standards/Documents/monitoring-compliance-framework.docx" TargetMode="External"/><Relationship Id="rId2" Type="http://schemas.openxmlformats.org/officeDocument/2006/relationships/customXml" Target="../customXml/item2.xml"/><Relationship Id="rId16" Type="http://schemas.openxmlformats.org/officeDocument/2006/relationships/hyperlink" Target="https://www.wa.gov.au/government/publications/wa-government-fleet-policy-and-guidelines" TargetMode="External"/><Relationship Id="rId20" Type="http://schemas.openxmlformats.org/officeDocument/2006/relationships/hyperlink" Target="https://dojwa.sharepoint.com/:w:/r/sites/intranet/prison-operations/_layouts/15/Doc.aspx?sourcedoc=%7BA4ED7623-B741-4B0F-BCAC-6C0203DCBE13%7D&amp;file=Prisoner%20Safety%20Induction%20and%20Training%20Form%20(C002).docx&amp;action=default&amp;mobileredirect=true&amp;DefaultItemOpen=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w:/r/sites/intranet/department/standards/_layouts/15/Doc.aspx?sourcedoc=%7B7217F508-63E4-416D-8BB6-F595C94B154D%7D&amp;file=prison-compliance-manual-adult-prisons.docx&amp;action=default&amp;mobileredirect=true&amp;DefaultItemOpen=1"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wa.gov.au/government/publications/wa-government-fleet-policy-and-guideline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dojwa.sharepoint.com/:w:/r/sites/intranet/contracts-purchasing/_layouts/15/Doc.aspx?sourcedoc=%7B7E98219A-8244-4946-8027-87A83B3FF8EF%7D&amp;file=vehicle-standards-prisoner-escort.docx&amp;action=default&amp;mobileredirect=true&amp;DefaultItemOpen=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w:/r/sites/intranet/contracts-purchasing/_layouts/15/Doc.aspx?sourcedoc=%7B7E98219A-8244-4946-8027-87A83B3FF8EF%7D&amp;file=vehicle-standards-prisoner-escort.docx&amp;action=default&amp;mobileredirect=true&amp;DefaultItemOpen=1"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11.6 Vehicle Management</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8FE4A649-A63B-462A-8BC6-D7E6B7DD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2790</Words>
  <Characters>15903</Characters>
  <Application>Microsoft Office Word</Application>
  <DocSecurity>8</DocSecurity>
  <Lines>132</Lines>
  <Paragraphs>37</Paragraphs>
  <ScaleCrop>false</ScaleCrop>
  <HeadingPairs>
    <vt:vector size="2" baseType="variant">
      <vt:variant>
        <vt:lpstr>Title</vt:lpstr>
      </vt:variant>
      <vt:variant>
        <vt:i4>1</vt:i4>
      </vt:variant>
    </vt:vector>
  </HeadingPairs>
  <TitlesOfParts>
    <vt:vector size="1" baseType="lpstr">
      <vt:lpstr>COPP 11.6 Vehicle Management</vt:lpstr>
    </vt:vector>
  </TitlesOfParts>
  <Manager>Nimilandra.Nageswaran@correctiveservices.wa.gov.au</Manager>
  <Company>Department of Justice</Company>
  <LinksUpToDate>false</LinksUpToDate>
  <CharactersWithSpaces>18656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11.6 Vehicle Management</dc:title>
  <dc:subject>Rules</dc:subject>
  <dc:creator>Hillan, Roger</dc:creator>
  <cp:keywords>Commissioner's Operating Policy and Procedure (COPP); Prison Operations; Adult Custodial; Procedures; Policies.</cp:keywords>
  <dc:description/>
  <cp:lastModifiedBy>Stead, Gail</cp:lastModifiedBy>
  <cp:revision>16</cp:revision>
  <cp:lastPrinted>2020-06-16T01:05:00Z</cp:lastPrinted>
  <dcterms:created xsi:type="dcterms:W3CDTF">2026-03-03T03:58:00Z</dcterms:created>
  <dcterms:modified xsi:type="dcterms:W3CDTF">2026-03-10T04:23:00Z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