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3E" w:rsidRDefault="00F52429" w:rsidP="003D3CB1">
      <w:pPr>
        <w:pStyle w:val="BodyText"/>
        <w:spacing w:after="240"/>
        <w:ind w:left="567"/>
        <w:rPr>
          <w:rFonts w:ascii="Times New Roman"/>
          <w:sz w:val="16"/>
        </w:rPr>
      </w:pPr>
      <w:r>
        <w:rPr>
          <w:rFonts w:ascii="Times New Roman"/>
          <w:noProof/>
          <w:sz w:val="20"/>
          <w:lang w:val="en-AU" w:eastAsia="en-AU" w:bidi="ar-SA"/>
        </w:rPr>
        <w:drawing>
          <wp:inline distT="0" distB="0" distL="0" distR="0">
            <wp:extent cx="3640736" cy="709422"/>
            <wp:effectExtent l="0" t="0" r="0" b="0"/>
            <wp:docPr id="1" name="image1.png" descr="Office of the Government Chief Information Officer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40736" cy="709422"/>
                    </a:xfrm>
                    <a:prstGeom prst="rect">
                      <a:avLst/>
                    </a:prstGeom>
                  </pic:spPr>
                </pic:pic>
              </a:graphicData>
            </a:graphic>
          </wp:inline>
        </w:drawing>
      </w:r>
    </w:p>
    <w:p w:rsidR="00A1463E" w:rsidRDefault="00F52429" w:rsidP="003D3CB1">
      <w:pPr>
        <w:spacing w:before="240" w:line="867" w:lineRule="exact"/>
        <w:ind w:left="533"/>
        <w:rPr>
          <w:sz w:val="76"/>
        </w:rPr>
      </w:pPr>
      <w:r>
        <w:rPr>
          <w:color w:val="929460"/>
          <w:sz w:val="76"/>
        </w:rPr>
        <w:t>Office of the Government Chief</w:t>
      </w:r>
    </w:p>
    <w:p w:rsidR="00A1463E" w:rsidRPr="00170AED" w:rsidRDefault="00F52429" w:rsidP="00170AED">
      <w:pPr>
        <w:spacing w:line="920" w:lineRule="exact"/>
        <w:ind w:left="533"/>
        <w:rPr>
          <w:sz w:val="76"/>
        </w:rPr>
      </w:pPr>
      <w:r>
        <w:rPr>
          <w:color w:val="929460"/>
          <w:sz w:val="76"/>
        </w:rPr>
        <w:t>Information Officer</w:t>
      </w:r>
      <w:r w:rsidR="00170AED">
        <w:rPr>
          <w:sz w:val="76"/>
        </w:rPr>
        <w:t xml:space="preserve"> </w:t>
      </w:r>
      <w:r w:rsidRPr="00170AED">
        <w:rPr>
          <w:color w:val="929460"/>
          <w:sz w:val="80"/>
        </w:rPr>
        <w:t>Annual Report 2017 - 18</w:t>
      </w:r>
    </w:p>
    <w:p w:rsidR="00A1463E" w:rsidRDefault="00A1463E">
      <w:pPr>
        <w:spacing w:line="916" w:lineRule="exact"/>
        <w:rPr>
          <w:sz w:val="80"/>
        </w:rPr>
        <w:sectPr w:rsidR="00A1463E">
          <w:type w:val="continuous"/>
          <w:pgSz w:w="16840" w:h="11910" w:orient="landscape"/>
          <w:pgMar w:top="560" w:right="0" w:bottom="0" w:left="0" w:header="720" w:footer="720" w:gutter="0"/>
          <w:cols w:space="720"/>
        </w:sectPr>
      </w:pPr>
    </w:p>
    <w:p w:rsidR="003B1E41" w:rsidRDefault="003B1E41" w:rsidP="003B1E41">
      <w:pPr>
        <w:pStyle w:val="Heading1"/>
      </w:pPr>
      <w:r>
        <w:lastRenderedPageBreak/>
        <w:t>Statement of Compliance</w:t>
      </w:r>
    </w:p>
    <w:p w:rsidR="003B1E41" w:rsidRDefault="0011106D" w:rsidP="003B1E41">
      <w:pPr>
        <w:pStyle w:val="BodyText"/>
        <w:ind w:left="709"/>
      </w:pPr>
      <w:r>
        <w:t xml:space="preserve">Hon Dave Kelly MLA </w:t>
      </w:r>
    </w:p>
    <w:p w:rsidR="0011106D" w:rsidRDefault="0011106D" w:rsidP="003B1E41">
      <w:pPr>
        <w:pStyle w:val="BodyText"/>
        <w:ind w:left="709"/>
      </w:pPr>
      <w:r>
        <w:t xml:space="preserve">Minister for Water; Fisheries; Forestry; </w:t>
      </w:r>
    </w:p>
    <w:p w:rsidR="0011106D" w:rsidRDefault="0011106D" w:rsidP="003B1E41">
      <w:pPr>
        <w:pStyle w:val="BodyText"/>
        <w:ind w:left="709"/>
      </w:pPr>
      <w:r>
        <w:t xml:space="preserve">Innovation and ICT; Science </w:t>
      </w:r>
    </w:p>
    <w:p w:rsidR="0011106D" w:rsidRDefault="0011106D" w:rsidP="003B1E41">
      <w:pPr>
        <w:pStyle w:val="BodyText"/>
        <w:spacing w:after="240"/>
        <w:ind w:left="709"/>
      </w:pPr>
      <w:r>
        <w:t xml:space="preserve">For the year ended 30 June 2018 </w:t>
      </w:r>
    </w:p>
    <w:p w:rsidR="0011106D" w:rsidRDefault="0011106D" w:rsidP="003B1E41">
      <w:pPr>
        <w:pStyle w:val="CM72"/>
        <w:spacing w:after="162" w:line="288" w:lineRule="atLeast"/>
        <w:ind w:left="709" w:right="120"/>
        <w:rPr>
          <w:color w:val="000000"/>
          <w:sz w:val="23"/>
          <w:szCs w:val="23"/>
        </w:rPr>
      </w:pPr>
      <w:r>
        <w:rPr>
          <w:color w:val="000000"/>
          <w:sz w:val="23"/>
          <w:szCs w:val="23"/>
        </w:rPr>
        <w:t xml:space="preserve">In accordance with section 68 of the </w:t>
      </w:r>
      <w:r>
        <w:rPr>
          <w:i/>
          <w:iCs/>
          <w:color w:val="000000"/>
          <w:sz w:val="23"/>
          <w:szCs w:val="23"/>
        </w:rPr>
        <w:t>Financial Management Act 2006</w:t>
      </w:r>
      <w:r>
        <w:rPr>
          <w:color w:val="000000"/>
          <w:sz w:val="23"/>
          <w:szCs w:val="23"/>
        </w:rPr>
        <w:t xml:space="preserve">, I hereby submit for your information and presentation to the Parliament, the Final Report for the Office of the Government Chief Information Officer for the financial year ended 30 June 2018. </w:t>
      </w:r>
    </w:p>
    <w:p w:rsidR="00A1463E" w:rsidRDefault="0011106D" w:rsidP="003B1E41">
      <w:pPr>
        <w:pStyle w:val="BodyText"/>
        <w:spacing w:after="240"/>
        <w:ind w:left="709"/>
      </w:pPr>
      <w:r>
        <w:t xml:space="preserve">The Final Report has been prepared in accordance with the provisions of the </w:t>
      </w:r>
      <w:r>
        <w:rPr>
          <w:i/>
          <w:iCs/>
        </w:rPr>
        <w:t>Financial Management Act 2006.</w:t>
      </w:r>
    </w:p>
    <w:p w:rsidR="003B1E41" w:rsidRDefault="003B1E41" w:rsidP="003B1E41">
      <w:pPr>
        <w:pStyle w:val="Heading2"/>
        <w:ind w:left="709"/>
        <w:rPr>
          <w:lang w:val="en-AU" w:bidi="ar-SA"/>
        </w:rPr>
      </w:pPr>
      <w:r>
        <w:rPr>
          <w:lang w:val="en-AU" w:bidi="ar-SA"/>
        </w:rPr>
        <w:t>About this report</w:t>
      </w:r>
    </w:p>
    <w:p w:rsidR="003B1E41" w:rsidRDefault="003B1E41" w:rsidP="003B1E41">
      <w:pPr>
        <w:widowControl/>
        <w:adjustRightInd w:val="0"/>
        <w:spacing w:after="240"/>
        <w:ind w:left="709"/>
        <w:rPr>
          <w:rFonts w:eastAsiaTheme="minorHAnsi"/>
          <w:color w:val="000000"/>
          <w:sz w:val="23"/>
          <w:szCs w:val="23"/>
          <w:lang w:val="en-AU" w:bidi="ar-SA"/>
        </w:rPr>
      </w:pPr>
      <w:r w:rsidRPr="003B1E41">
        <w:rPr>
          <w:rFonts w:eastAsiaTheme="minorHAnsi"/>
          <w:color w:val="000000"/>
          <w:sz w:val="23"/>
          <w:szCs w:val="23"/>
          <w:lang w:val="en-AU" w:bidi="ar-SA"/>
        </w:rPr>
        <w:t>This Annual Report is divided into five main areas and every effort has been made to ensure the readability and accessibility of this report in print and online. To support sustainability, this report can be viewed online at www.wa.gov.au/agency/ office-of-digital-government. Only limited professional copies have been produced. We encourage your feedback on this report and comments can be provided via the contact details on page 67. ISSN 2206-8899 (Print) ISSN 2206-8902 (Online)</w:t>
      </w:r>
    </w:p>
    <w:p w:rsidR="003B1E41" w:rsidRDefault="003B1E41" w:rsidP="003B1E41">
      <w:pPr>
        <w:pStyle w:val="Heading2"/>
        <w:rPr>
          <w:lang w:val="en-AU" w:bidi="ar-SA"/>
        </w:rPr>
      </w:pPr>
      <w:r>
        <w:rPr>
          <w:lang w:val="en-AU" w:bidi="ar-SA"/>
        </w:rPr>
        <w:t>Key Legislation</w:t>
      </w:r>
    </w:p>
    <w:p w:rsidR="003B1E41" w:rsidRDefault="003B1E41" w:rsidP="003B1E41">
      <w:pPr>
        <w:widowControl/>
        <w:adjustRightInd w:val="0"/>
        <w:ind w:left="709"/>
        <w:rPr>
          <w:rFonts w:eastAsiaTheme="minorHAnsi"/>
          <w:color w:val="000000"/>
          <w:sz w:val="23"/>
          <w:szCs w:val="23"/>
          <w:lang w:val="en-AU" w:bidi="ar-SA"/>
        </w:rPr>
      </w:pPr>
      <w:r>
        <w:rPr>
          <w:rFonts w:eastAsiaTheme="minorHAnsi"/>
          <w:color w:val="000000"/>
          <w:sz w:val="23"/>
          <w:szCs w:val="23"/>
          <w:lang w:val="en-AU" w:bidi="ar-SA"/>
        </w:rPr>
        <w:t xml:space="preserve">The Office of the GCIO complies with all relevant legislation that governs its functions. </w:t>
      </w:r>
    </w:p>
    <w:p w:rsidR="003B1E41" w:rsidRDefault="003B1E41">
      <w:pPr>
        <w:rPr>
          <w:rFonts w:eastAsiaTheme="minorHAnsi"/>
          <w:color w:val="000000"/>
          <w:sz w:val="23"/>
          <w:szCs w:val="23"/>
          <w:lang w:val="en-AU" w:bidi="ar-SA"/>
        </w:rPr>
      </w:pPr>
      <w:r>
        <w:rPr>
          <w:rFonts w:eastAsiaTheme="minorHAnsi"/>
          <w:color w:val="000000"/>
          <w:sz w:val="23"/>
          <w:szCs w:val="23"/>
          <w:lang w:val="en-AU" w:bidi="ar-SA"/>
        </w:rPr>
        <w:br w:type="page"/>
      </w:r>
    </w:p>
    <w:p w:rsidR="00A1463E" w:rsidRDefault="00F52429" w:rsidP="003B1E41">
      <w:pPr>
        <w:pStyle w:val="Heading1"/>
      </w:pPr>
      <w:r>
        <w:lastRenderedPageBreak/>
        <w:t>Contents</w:t>
      </w:r>
    </w:p>
    <w:p w:rsidR="00A1463E" w:rsidRDefault="00A1463E">
      <w:pPr>
        <w:pStyle w:val="BodyText"/>
        <w:spacing w:before="10"/>
        <w:rPr>
          <w:sz w:val="18"/>
        </w:rPr>
      </w:pPr>
    </w:p>
    <w:p w:rsidR="00A1463E" w:rsidRDefault="00A1463E">
      <w:pPr>
        <w:rPr>
          <w:sz w:val="18"/>
        </w:rPr>
        <w:sectPr w:rsidR="00A1463E">
          <w:pgSz w:w="16840" w:h="11910" w:orient="landscape"/>
          <w:pgMar w:top="560" w:right="0" w:bottom="280" w:left="0" w:header="720" w:footer="720" w:gutter="0"/>
          <w:cols w:space="720"/>
        </w:sectPr>
      </w:pPr>
    </w:p>
    <w:sdt>
      <w:sdtPr>
        <w:rPr>
          <w:sz w:val="28"/>
          <w:szCs w:val="28"/>
        </w:rPr>
        <w:id w:val="768967512"/>
        <w:docPartObj>
          <w:docPartGallery w:val="Table of Contents"/>
          <w:docPartUnique/>
        </w:docPartObj>
      </w:sdtPr>
      <w:sdtEndPr/>
      <w:sdtContent>
        <w:p w:rsidR="00A1463E" w:rsidRDefault="00F52429">
          <w:pPr>
            <w:pStyle w:val="TOC1"/>
            <w:tabs>
              <w:tab w:val="right" w:leader="dot" w:pos="8020"/>
            </w:tabs>
            <w:spacing w:before="37"/>
          </w:pPr>
          <w:r>
            <w:rPr>
              <w:color w:val="353434"/>
            </w:rPr>
            <w:t>Overview</w:t>
          </w:r>
          <w:r>
            <w:rPr>
              <w:color w:val="353434"/>
            </w:rPr>
            <w:tab/>
            <w:t>4</w:t>
          </w:r>
        </w:p>
        <w:p w:rsidR="00A1463E" w:rsidRDefault="00F52429">
          <w:pPr>
            <w:pStyle w:val="TOC2"/>
            <w:tabs>
              <w:tab w:val="right" w:leader="dot" w:pos="8020"/>
            </w:tabs>
            <w:spacing w:before="40"/>
          </w:pPr>
          <w:r>
            <w:rPr>
              <w:color w:val="353434"/>
            </w:rPr>
            <w:t>Ex</w:t>
          </w:r>
          <w:hyperlink w:anchor="_bookmark0" w:history="1">
            <w:r>
              <w:rPr>
                <w:color w:val="353434"/>
              </w:rPr>
              <w:t>ecutive</w:t>
            </w:r>
            <w:r>
              <w:rPr>
                <w:color w:val="353434"/>
                <w:spacing w:val="-1"/>
              </w:rPr>
              <w:t xml:space="preserve"> </w:t>
            </w:r>
            <w:r>
              <w:rPr>
                <w:color w:val="353434"/>
              </w:rPr>
              <w:t>summary</w:t>
            </w:r>
          </w:hyperlink>
          <w:r>
            <w:rPr>
              <w:color w:val="353434"/>
            </w:rPr>
            <w:tab/>
            <w:t>4</w:t>
          </w:r>
        </w:p>
        <w:p w:rsidR="00A1463E" w:rsidRDefault="00417327">
          <w:pPr>
            <w:pStyle w:val="TOC2"/>
            <w:tabs>
              <w:tab w:val="right" w:leader="dot" w:pos="8020"/>
            </w:tabs>
          </w:pPr>
          <w:hyperlink w:anchor="_bookmark4" w:history="1">
            <w:r w:rsidR="00F52429">
              <w:rPr>
                <w:color w:val="353434"/>
              </w:rPr>
              <w:t>Operational</w:t>
            </w:r>
            <w:r w:rsidR="00F52429">
              <w:rPr>
                <w:color w:val="353434"/>
                <w:spacing w:val="-2"/>
              </w:rPr>
              <w:t xml:space="preserve"> </w:t>
            </w:r>
            <w:r w:rsidR="00F52429">
              <w:rPr>
                <w:color w:val="353434"/>
              </w:rPr>
              <w:t>structure</w:t>
            </w:r>
          </w:hyperlink>
          <w:r w:rsidR="00F52429">
            <w:rPr>
              <w:color w:val="353434"/>
            </w:rPr>
            <w:tab/>
            <w:t>8</w:t>
          </w:r>
        </w:p>
        <w:p w:rsidR="00A1463E" w:rsidRDefault="00F52429">
          <w:pPr>
            <w:pStyle w:val="TOC2"/>
            <w:tabs>
              <w:tab w:val="right" w:leader="dot" w:pos="8020"/>
            </w:tabs>
            <w:spacing w:before="50"/>
          </w:pPr>
          <w:proofErr w:type="spellStart"/>
          <w:r>
            <w:rPr>
              <w:color w:val="353434"/>
            </w:rPr>
            <w:t>O</w:t>
          </w:r>
          <w:hyperlink w:anchor="_bookmark5" w:history="1">
            <w:r>
              <w:rPr>
                <w:color w:val="353434"/>
              </w:rPr>
              <w:t>rganisational</w:t>
            </w:r>
            <w:proofErr w:type="spellEnd"/>
            <w:r>
              <w:rPr>
                <w:color w:val="353434"/>
                <w:spacing w:val="-2"/>
              </w:rPr>
              <w:t xml:space="preserve"> </w:t>
            </w:r>
            <w:r>
              <w:rPr>
                <w:color w:val="353434"/>
              </w:rPr>
              <w:t>structure</w:t>
            </w:r>
          </w:hyperlink>
          <w:r>
            <w:rPr>
              <w:color w:val="353434"/>
            </w:rPr>
            <w:tab/>
            <w:t>9</w:t>
          </w:r>
        </w:p>
        <w:p w:rsidR="00A1463E" w:rsidRDefault="00F52429">
          <w:pPr>
            <w:pStyle w:val="TOC2"/>
            <w:tabs>
              <w:tab w:val="right" w:leader="dot" w:pos="8020"/>
            </w:tabs>
          </w:pPr>
          <w:r>
            <w:rPr>
              <w:color w:val="353434"/>
            </w:rPr>
            <w:t>P</w:t>
          </w:r>
          <w:hyperlink w:anchor="_bookmark6" w:history="1">
            <w:r>
              <w:rPr>
                <w:color w:val="353434"/>
              </w:rPr>
              <w:t>erformance</w:t>
            </w:r>
            <w:r>
              <w:rPr>
                <w:color w:val="353434"/>
                <w:spacing w:val="-2"/>
              </w:rPr>
              <w:t xml:space="preserve"> </w:t>
            </w:r>
            <w:r>
              <w:rPr>
                <w:color w:val="353434"/>
              </w:rPr>
              <w:t>management</w:t>
            </w:r>
            <w:r>
              <w:rPr>
                <w:color w:val="353434"/>
                <w:spacing w:val="-1"/>
              </w:rPr>
              <w:t xml:space="preserve"> </w:t>
            </w:r>
            <w:r>
              <w:rPr>
                <w:color w:val="353434"/>
              </w:rPr>
              <w:t>framework</w:t>
            </w:r>
          </w:hyperlink>
          <w:r>
            <w:rPr>
              <w:color w:val="353434"/>
            </w:rPr>
            <w:tab/>
            <w:t>10</w:t>
          </w:r>
        </w:p>
        <w:p w:rsidR="00A1463E" w:rsidRDefault="00F52429">
          <w:pPr>
            <w:pStyle w:val="TOC2"/>
            <w:tabs>
              <w:tab w:val="right" w:leader="dot" w:pos="8020"/>
            </w:tabs>
            <w:spacing w:before="99"/>
          </w:pPr>
          <w:r>
            <w:rPr>
              <w:color w:val="353434"/>
            </w:rPr>
            <w:t>Go</w:t>
          </w:r>
          <w:hyperlink w:anchor="_bookmark7" w:history="1">
            <w:r>
              <w:rPr>
                <w:color w:val="353434"/>
              </w:rPr>
              <w:t>vernance</w:t>
            </w:r>
          </w:hyperlink>
          <w:r>
            <w:rPr>
              <w:color w:val="353434"/>
            </w:rPr>
            <w:tab/>
            <w:t>11</w:t>
          </w:r>
        </w:p>
        <w:p w:rsidR="00A1463E" w:rsidRDefault="00417327">
          <w:pPr>
            <w:pStyle w:val="TOC1"/>
            <w:tabs>
              <w:tab w:val="right" w:leader="dot" w:pos="8020"/>
            </w:tabs>
          </w:pPr>
          <w:hyperlink w:anchor="_bookmark9" w:history="1">
            <w:r w:rsidR="00F52429">
              <w:rPr>
                <w:color w:val="353434"/>
              </w:rPr>
              <w:t>Agency</w:t>
            </w:r>
            <w:r w:rsidR="00F52429">
              <w:rPr>
                <w:color w:val="353434"/>
                <w:spacing w:val="-1"/>
              </w:rPr>
              <w:t xml:space="preserve"> </w:t>
            </w:r>
            <w:r w:rsidR="00F52429">
              <w:rPr>
                <w:color w:val="353434"/>
              </w:rPr>
              <w:t>performance</w:t>
            </w:r>
            <w:r w:rsidR="00F52429">
              <w:rPr>
                <w:color w:val="353434"/>
              </w:rPr>
              <w:tab/>
              <w:t>12</w:t>
            </w:r>
          </w:hyperlink>
        </w:p>
        <w:p w:rsidR="00A1463E" w:rsidRDefault="00F52429">
          <w:pPr>
            <w:pStyle w:val="TOC2"/>
            <w:tabs>
              <w:tab w:val="right" w:leader="dot" w:pos="8020"/>
            </w:tabs>
            <w:spacing w:before="40"/>
          </w:pPr>
          <w:r>
            <w:rPr>
              <w:color w:val="353434"/>
            </w:rPr>
            <w:t>Digit</w:t>
          </w:r>
          <w:hyperlink w:anchor="_bookmark8" w:history="1">
            <w:r>
              <w:rPr>
                <w:color w:val="353434"/>
              </w:rPr>
              <w:t>al transformation: leadership</w:t>
            </w:r>
            <w:r>
              <w:rPr>
                <w:color w:val="353434"/>
                <w:spacing w:val="-10"/>
              </w:rPr>
              <w:t xml:space="preserve"> </w:t>
            </w:r>
            <w:r>
              <w:rPr>
                <w:color w:val="353434"/>
              </w:rPr>
              <w:t>through</w:t>
            </w:r>
            <w:r>
              <w:rPr>
                <w:color w:val="353434"/>
                <w:spacing w:val="-4"/>
              </w:rPr>
              <w:t xml:space="preserve"> </w:t>
            </w:r>
            <w:r>
              <w:rPr>
                <w:color w:val="353434"/>
              </w:rPr>
              <w:t>policy</w:t>
            </w:r>
          </w:hyperlink>
          <w:r>
            <w:rPr>
              <w:color w:val="353434"/>
            </w:rPr>
            <w:tab/>
            <w:t>12</w:t>
          </w:r>
        </w:p>
        <w:p w:rsidR="00A1463E" w:rsidRDefault="00417327">
          <w:pPr>
            <w:pStyle w:val="TOC2"/>
            <w:tabs>
              <w:tab w:val="right" w:leader="dot" w:pos="8020"/>
            </w:tabs>
            <w:spacing w:before="56" w:line="235" w:lineRule="auto"/>
          </w:pPr>
          <w:hyperlink w:anchor="_bookmark14" w:history="1">
            <w:r w:rsidR="00F52429">
              <w:rPr>
                <w:color w:val="353434"/>
              </w:rPr>
              <w:t xml:space="preserve">Digital  transformation:  leadership  through  </w:t>
            </w:r>
            <w:r w:rsidR="00F52429">
              <w:rPr>
                <w:color w:val="353434"/>
                <w:spacing w:val="-4"/>
              </w:rPr>
              <w:t xml:space="preserve">key  </w:t>
            </w:r>
            <w:r w:rsidR="00F52429">
              <w:rPr>
                <w:color w:val="353434"/>
                <w:spacing w:val="-3"/>
              </w:rPr>
              <w:t>reform</w:t>
            </w:r>
          </w:hyperlink>
          <w:hyperlink w:anchor="_bookmark14" w:history="1">
            <w:r w:rsidR="00F52429">
              <w:rPr>
                <w:color w:val="353434"/>
                <w:spacing w:val="-3"/>
              </w:rPr>
              <w:t xml:space="preserve"> </w:t>
            </w:r>
            <w:r w:rsidR="00F52429">
              <w:rPr>
                <w:color w:val="353434"/>
              </w:rPr>
              <w:t>projects</w:t>
            </w:r>
          </w:hyperlink>
          <w:r w:rsidR="00F52429">
            <w:rPr>
              <w:color w:val="353434"/>
            </w:rPr>
            <w:tab/>
            <w:t>15</w:t>
          </w:r>
        </w:p>
        <w:p w:rsidR="00A1463E" w:rsidRDefault="00417327">
          <w:pPr>
            <w:pStyle w:val="TOC2"/>
            <w:tabs>
              <w:tab w:val="right" w:leader="dot" w:pos="8020"/>
            </w:tabs>
            <w:spacing w:before="59" w:line="235" w:lineRule="auto"/>
          </w:pPr>
          <w:hyperlink w:anchor="_bookmark15" w:history="1">
            <w:r w:rsidR="00F52429">
              <w:rPr>
                <w:color w:val="353434"/>
              </w:rPr>
              <w:t>Digital transformation: leadership through collaboration and</w:t>
            </w:r>
          </w:hyperlink>
          <w:r w:rsidR="00F52429">
            <w:rPr>
              <w:color w:val="353434"/>
            </w:rPr>
            <w:t xml:space="preserve"> </w:t>
          </w:r>
          <w:hyperlink w:anchor="_bookmark15" w:history="1">
            <w:r w:rsidR="00F52429">
              <w:rPr>
                <w:color w:val="353434"/>
              </w:rPr>
              <w:t>raising</w:t>
            </w:r>
            <w:r w:rsidR="00F52429">
              <w:rPr>
                <w:color w:val="353434"/>
                <w:spacing w:val="-2"/>
              </w:rPr>
              <w:t xml:space="preserve"> </w:t>
            </w:r>
            <w:r w:rsidR="00F52429">
              <w:rPr>
                <w:color w:val="353434"/>
              </w:rPr>
              <w:t>awareness</w:t>
            </w:r>
          </w:hyperlink>
          <w:r w:rsidR="00F52429">
            <w:rPr>
              <w:color w:val="353434"/>
            </w:rPr>
            <w:tab/>
            <w:t>18</w:t>
          </w:r>
        </w:p>
        <w:p w:rsidR="00A1463E" w:rsidRDefault="00417327">
          <w:pPr>
            <w:pStyle w:val="TOC2"/>
            <w:tabs>
              <w:tab w:val="right" w:leader="dot" w:pos="8020"/>
            </w:tabs>
            <w:spacing w:before="58" w:line="235" w:lineRule="auto"/>
          </w:pPr>
          <w:hyperlink w:anchor="_bookmark16" w:history="1">
            <w:r w:rsidR="00F52429">
              <w:rPr>
                <w:color w:val="353434"/>
              </w:rPr>
              <w:t>Digital transformation - looking forward: Significant issues and</w:t>
            </w:r>
          </w:hyperlink>
          <w:r w:rsidR="00F52429">
            <w:rPr>
              <w:color w:val="353434"/>
            </w:rPr>
            <w:t xml:space="preserve"> </w:t>
          </w:r>
          <w:hyperlink w:anchor="_bookmark16" w:history="1">
            <w:r w:rsidR="00F52429">
              <w:rPr>
                <w:color w:val="353434"/>
              </w:rPr>
              <w:t>future</w:t>
            </w:r>
            <w:r w:rsidR="00F52429">
              <w:rPr>
                <w:color w:val="353434"/>
                <w:spacing w:val="-1"/>
              </w:rPr>
              <w:t xml:space="preserve"> </w:t>
            </w:r>
            <w:r w:rsidR="00F52429">
              <w:rPr>
                <w:color w:val="353434"/>
              </w:rPr>
              <w:t>trends</w:t>
            </w:r>
          </w:hyperlink>
          <w:r w:rsidR="00F52429">
            <w:rPr>
              <w:color w:val="353434"/>
            </w:rPr>
            <w:tab/>
            <w:t>20</w:t>
          </w:r>
        </w:p>
        <w:p w:rsidR="00A1463E" w:rsidRDefault="00417327">
          <w:pPr>
            <w:pStyle w:val="TOC2"/>
            <w:tabs>
              <w:tab w:val="right" w:leader="dot" w:pos="8019"/>
            </w:tabs>
            <w:spacing w:before="54"/>
          </w:pPr>
          <w:hyperlink w:anchor="_bookmark17" w:history="1">
            <w:r w:rsidR="00F52429">
              <w:rPr>
                <w:color w:val="353434"/>
              </w:rPr>
              <w:t>Summary of financial performance</w:t>
            </w:r>
            <w:r w:rsidR="00F52429">
              <w:rPr>
                <w:color w:val="353434"/>
                <w:spacing w:val="-7"/>
              </w:rPr>
              <w:t xml:space="preserve"> </w:t>
            </w:r>
            <w:r w:rsidR="00F52429">
              <w:rPr>
                <w:color w:val="353434"/>
                <w:spacing w:val="-3"/>
              </w:rPr>
              <w:t>for</w:t>
            </w:r>
            <w:r w:rsidR="00F52429">
              <w:rPr>
                <w:color w:val="353434"/>
                <w:spacing w:val="-2"/>
              </w:rPr>
              <w:t xml:space="preserve"> </w:t>
            </w:r>
            <w:r w:rsidR="00F52429">
              <w:rPr>
                <w:color w:val="353434"/>
              </w:rPr>
              <w:t>2017-18</w:t>
            </w:r>
          </w:hyperlink>
          <w:r w:rsidR="00F52429">
            <w:rPr>
              <w:color w:val="353434"/>
            </w:rPr>
            <w:tab/>
            <w:t>22</w:t>
          </w:r>
        </w:p>
        <w:p w:rsidR="00A1463E" w:rsidRDefault="00417327">
          <w:pPr>
            <w:pStyle w:val="TOC2"/>
            <w:tabs>
              <w:tab w:val="right" w:leader="dot" w:pos="8019"/>
            </w:tabs>
            <w:spacing w:before="99"/>
            <w:ind w:left="679"/>
          </w:pPr>
          <w:hyperlink w:anchor="_bookmark18" w:history="1">
            <w:r w:rsidR="00F52429">
              <w:rPr>
                <w:color w:val="353434"/>
              </w:rPr>
              <w:t>Summary of non-financial performance</w:t>
            </w:r>
            <w:r w:rsidR="00F52429">
              <w:rPr>
                <w:color w:val="353434"/>
                <w:spacing w:val="-9"/>
              </w:rPr>
              <w:t xml:space="preserve"> </w:t>
            </w:r>
            <w:r w:rsidR="00F52429">
              <w:rPr>
                <w:color w:val="353434"/>
                <w:spacing w:val="-3"/>
              </w:rPr>
              <w:t xml:space="preserve">for </w:t>
            </w:r>
            <w:r w:rsidR="00F52429">
              <w:rPr>
                <w:color w:val="353434"/>
              </w:rPr>
              <w:t>2017-18</w:t>
            </w:r>
          </w:hyperlink>
          <w:r w:rsidR="00F52429">
            <w:rPr>
              <w:color w:val="353434"/>
            </w:rPr>
            <w:tab/>
            <w:t>23</w:t>
          </w:r>
        </w:p>
        <w:p w:rsidR="00A1463E" w:rsidRDefault="00417327">
          <w:pPr>
            <w:pStyle w:val="TOC1"/>
            <w:tabs>
              <w:tab w:val="right" w:leader="dot" w:pos="8020"/>
            </w:tabs>
          </w:pPr>
          <w:hyperlink w:anchor="_bookmark20" w:history="1">
            <w:r w:rsidR="00F52429">
              <w:rPr>
                <w:color w:val="353434"/>
              </w:rPr>
              <w:t>Financial</w:t>
            </w:r>
            <w:r w:rsidR="00F52429">
              <w:rPr>
                <w:color w:val="353434"/>
                <w:spacing w:val="-2"/>
              </w:rPr>
              <w:t xml:space="preserve"> </w:t>
            </w:r>
            <w:r w:rsidR="00F52429">
              <w:rPr>
                <w:color w:val="353434"/>
              </w:rPr>
              <w:t>statements</w:t>
            </w:r>
            <w:r w:rsidR="00F52429">
              <w:rPr>
                <w:color w:val="353434"/>
              </w:rPr>
              <w:tab/>
              <w:t>24</w:t>
            </w:r>
          </w:hyperlink>
        </w:p>
        <w:p w:rsidR="00A1463E" w:rsidRDefault="00417327">
          <w:pPr>
            <w:pStyle w:val="TOC2"/>
            <w:tabs>
              <w:tab w:val="right" w:leader="dot" w:pos="8020"/>
            </w:tabs>
            <w:spacing w:before="40"/>
          </w:pPr>
          <w:hyperlink w:anchor="_bookmark19" w:history="1">
            <w:r w:rsidR="00F52429">
              <w:rPr>
                <w:color w:val="353434"/>
              </w:rPr>
              <w:t>Certification of</w:t>
            </w:r>
            <w:r w:rsidR="00F52429">
              <w:rPr>
                <w:color w:val="353434"/>
                <w:spacing w:val="-4"/>
              </w:rPr>
              <w:t xml:space="preserve"> </w:t>
            </w:r>
            <w:r w:rsidR="00F52429">
              <w:rPr>
                <w:color w:val="353434"/>
              </w:rPr>
              <w:t>financial</w:t>
            </w:r>
            <w:r w:rsidR="00F52429">
              <w:rPr>
                <w:color w:val="353434"/>
                <w:spacing w:val="-2"/>
              </w:rPr>
              <w:t xml:space="preserve"> </w:t>
            </w:r>
            <w:r w:rsidR="00F52429">
              <w:rPr>
                <w:color w:val="353434"/>
              </w:rPr>
              <w:t>statements</w:t>
            </w:r>
          </w:hyperlink>
          <w:r w:rsidR="00F52429">
            <w:rPr>
              <w:color w:val="353434"/>
            </w:rPr>
            <w:tab/>
            <w:t>24</w:t>
          </w:r>
        </w:p>
        <w:p w:rsidR="00A1463E" w:rsidRDefault="00F52429">
          <w:pPr>
            <w:pStyle w:val="TOC2"/>
            <w:tabs>
              <w:tab w:val="right" w:leader="dot" w:pos="8020"/>
            </w:tabs>
          </w:pPr>
          <w:r>
            <w:rPr>
              <w:color w:val="353434"/>
            </w:rPr>
            <w:t>Audit</w:t>
          </w:r>
          <w:r>
            <w:rPr>
              <w:color w:val="353434"/>
              <w:spacing w:val="-1"/>
            </w:rPr>
            <w:t xml:space="preserve"> </w:t>
          </w:r>
          <w:hyperlink w:anchor="_bookmark25" w:history="1">
            <w:r>
              <w:rPr>
                <w:color w:val="353434"/>
              </w:rPr>
              <w:t>opinion</w:t>
            </w:r>
          </w:hyperlink>
          <w:r>
            <w:rPr>
              <w:color w:val="353434"/>
            </w:rPr>
            <w:tab/>
            <w:t>25</w:t>
          </w:r>
        </w:p>
        <w:p w:rsidR="00A1463E" w:rsidRDefault="00F52429">
          <w:pPr>
            <w:pStyle w:val="TOC2"/>
            <w:tabs>
              <w:tab w:val="right" w:leader="dot" w:pos="8020"/>
            </w:tabs>
            <w:spacing w:before="50"/>
          </w:pPr>
          <w:r>
            <w:rPr>
              <w:color w:val="353434"/>
            </w:rPr>
            <w:t>St</w:t>
          </w:r>
          <w:hyperlink w:anchor="_bookmark26" w:history="1">
            <w:r>
              <w:rPr>
                <w:color w:val="353434"/>
              </w:rPr>
              <w:t>atement of</w:t>
            </w:r>
            <w:r>
              <w:rPr>
                <w:color w:val="353434"/>
                <w:spacing w:val="-3"/>
              </w:rPr>
              <w:t xml:space="preserve"> </w:t>
            </w:r>
            <w:r>
              <w:rPr>
                <w:color w:val="353434"/>
              </w:rPr>
              <w:t>comprehensive</w:t>
            </w:r>
            <w:r>
              <w:rPr>
                <w:color w:val="353434"/>
                <w:spacing w:val="-1"/>
              </w:rPr>
              <w:t xml:space="preserve"> </w:t>
            </w:r>
            <w:r>
              <w:rPr>
                <w:color w:val="353434"/>
              </w:rPr>
              <w:t>income</w:t>
            </w:r>
          </w:hyperlink>
          <w:r>
            <w:rPr>
              <w:color w:val="353434"/>
            </w:rPr>
            <w:tab/>
            <w:t>27</w:t>
          </w:r>
        </w:p>
        <w:p w:rsidR="00A1463E" w:rsidRDefault="00F52429">
          <w:pPr>
            <w:pStyle w:val="TOC2"/>
            <w:tabs>
              <w:tab w:val="right" w:leader="dot" w:pos="8020"/>
            </w:tabs>
          </w:pPr>
          <w:r>
            <w:rPr>
              <w:color w:val="353434"/>
            </w:rPr>
            <w:t>St</w:t>
          </w:r>
          <w:hyperlink w:anchor="_bookmark27" w:history="1">
            <w:r>
              <w:rPr>
                <w:color w:val="353434"/>
              </w:rPr>
              <w:t>atement of</w:t>
            </w:r>
            <w:r>
              <w:rPr>
                <w:color w:val="353434"/>
                <w:spacing w:val="-3"/>
              </w:rPr>
              <w:t xml:space="preserve"> </w:t>
            </w:r>
            <w:r>
              <w:rPr>
                <w:color w:val="353434"/>
              </w:rPr>
              <w:t>financial</w:t>
            </w:r>
            <w:r>
              <w:rPr>
                <w:color w:val="353434"/>
                <w:spacing w:val="-2"/>
              </w:rPr>
              <w:t xml:space="preserve"> </w:t>
            </w:r>
            <w:r>
              <w:rPr>
                <w:color w:val="353434"/>
              </w:rPr>
              <w:t>position</w:t>
            </w:r>
          </w:hyperlink>
          <w:r>
            <w:rPr>
              <w:color w:val="353434"/>
            </w:rPr>
            <w:tab/>
            <w:t>28</w:t>
          </w:r>
        </w:p>
        <w:p w:rsidR="00A1463E" w:rsidRDefault="00F52429">
          <w:pPr>
            <w:pStyle w:val="TOC2"/>
            <w:tabs>
              <w:tab w:val="right" w:leader="dot" w:pos="8020"/>
            </w:tabs>
          </w:pPr>
          <w:r>
            <w:rPr>
              <w:color w:val="353434"/>
            </w:rPr>
            <w:t>St</w:t>
          </w:r>
          <w:hyperlink w:anchor="_bookmark28" w:history="1">
            <w:r>
              <w:rPr>
                <w:color w:val="353434"/>
              </w:rPr>
              <w:t>atement of changes</w:t>
            </w:r>
            <w:r>
              <w:rPr>
                <w:color w:val="353434"/>
                <w:spacing w:val="-2"/>
              </w:rPr>
              <w:t xml:space="preserve"> </w:t>
            </w:r>
            <w:r>
              <w:rPr>
                <w:color w:val="353434"/>
              </w:rPr>
              <w:t>in</w:t>
            </w:r>
            <w:r>
              <w:rPr>
                <w:color w:val="353434"/>
                <w:spacing w:val="-2"/>
              </w:rPr>
              <w:t xml:space="preserve"> </w:t>
            </w:r>
            <w:r>
              <w:rPr>
                <w:color w:val="353434"/>
              </w:rPr>
              <w:t>equity</w:t>
            </w:r>
          </w:hyperlink>
          <w:r>
            <w:rPr>
              <w:color w:val="353434"/>
            </w:rPr>
            <w:tab/>
            <w:t>29</w:t>
          </w:r>
        </w:p>
        <w:p w:rsidR="00A1463E" w:rsidRDefault="00F52429">
          <w:pPr>
            <w:pStyle w:val="TOC2"/>
            <w:tabs>
              <w:tab w:val="right" w:leader="dot" w:pos="8019"/>
            </w:tabs>
          </w:pPr>
          <w:r>
            <w:rPr>
              <w:color w:val="353434"/>
            </w:rPr>
            <w:t>St</w:t>
          </w:r>
          <w:hyperlink w:anchor="_bookmark29" w:history="1">
            <w:r>
              <w:rPr>
                <w:color w:val="353434"/>
              </w:rPr>
              <w:t>atement of</w:t>
            </w:r>
            <w:r>
              <w:rPr>
                <w:color w:val="353434"/>
                <w:spacing w:val="-2"/>
              </w:rPr>
              <w:t xml:space="preserve"> </w:t>
            </w:r>
            <w:r>
              <w:rPr>
                <w:color w:val="353434"/>
              </w:rPr>
              <w:t>cash</w:t>
            </w:r>
            <w:r>
              <w:rPr>
                <w:color w:val="353434"/>
                <w:spacing w:val="-2"/>
              </w:rPr>
              <w:t xml:space="preserve"> </w:t>
            </w:r>
            <w:r>
              <w:rPr>
                <w:color w:val="353434"/>
              </w:rPr>
              <w:t>flows</w:t>
            </w:r>
          </w:hyperlink>
          <w:r>
            <w:rPr>
              <w:color w:val="353434"/>
            </w:rPr>
            <w:tab/>
            <w:t>30</w:t>
          </w:r>
        </w:p>
        <w:p w:rsidR="00A1463E" w:rsidRDefault="00417327">
          <w:pPr>
            <w:pStyle w:val="TOC2"/>
            <w:tabs>
              <w:tab w:val="right" w:leader="dot" w:pos="8019"/>
            </w:tabs>
            <w:spacing w:before="42"/>
            <w:ind w:left="679"/>
          </w:pPr>
          <w:hyperlink w:anchor="_bookmark30" w:history="1">
            <w:r w:rsidR="00F52429">
              <w:rPr>
                <w:color w:val="353434"/>
              </w:rPr>
              <w:t>Schedule of income and expenses</w:t>
            </w:r>
            <w:r w:rsidR="00F52429">
              <w:rPr>
                <w:color w:val="353434"/>
                <w:spacing w:val="-9"/>
              </w:rPr>
              <w:t xml:space="preserve"> </w:t>
            </w:r>
            <w:r w:rsidR="00F52429">
              <w:rPr>
                <w:color w:val="353434"/>
              </w:rPr>
              <w:t>by</w:t>
            </w:r>
            <w:r w:rsidR="00F52429">
              <w:rPr>
                <w:color w:val="353434"/>
                <w:spacing w:val="-1"/>
              </w:rPr>
              <w:t xml:space="preserve"> </w:t>
            </w:r>
            <w:r w:rsidR="00F52429">
              <w:rPr>
                <w:color w:val="353434"/>
              </w:rPr>
              <w:t>service</w:t>
            </w:r>
          </w:hyperlink>
          <w:r w:rsidR="00F52429">
            <w:rPr>
              <w:color w:val="353434"/>
            </w:rPr>
            <w:tab/>
            <w:t>31</w:t>
          </w:r>
        </w:p>
        <w:p w:rsidR="00A1463E" w:rsidRDefault="00F52429">
          <w:pPr>
            <w:pStyle w:val="TOC2"/>
            <w:tabs>
              <w:tab w:val="left" w:leader="dot" w:pos="7735"/>
            </w:tabs>
            <w:spacing w:before="44"/>
          </w:pPr>
          <w:r>
            <w:br w:type="column"/>
          </w:r>
          <w:hyperlink w:anchor="_bookmark31" w:history="1">
            <w:r>
              <w:rPr>
                <w:color w:val="353434"/>
              </w:rPr>
              <w:t>Schedule of assets and liabilities</w:t>
            </w:r>
            <w:r>
              <w:rPr>
                <w:color w:val="353434"/>
                <w:spacing w:val="-19"/>
              </w:rPr>
              <w:t xml:space="preserve"> </w:t>
            </w:r>
            <w:r>
              <w:rPr>
                <w:color w:val="353434"/>
              </w:rPr>
              <w:t>by</w:t>
            </w:r>
            <w:r>
              <w:rPr>
                <w:color w:val="353434"/>
                <w:spacing w:val="-3"/>
              </w:rPr>
              <w:t xml:space="preserve"> </w:t>
            </w:r>
            <w:r>
              <w:rPr>
                <w:color w:val="353434"/>
              </w:rPr>
              <w:t>service</w:t>
            </w:r>
          </w:hyperlink>
          <w:r>
            <w:rPr>
              <w:color w:val="353434"/>
            </w:rPr>
            <w:tab/>
            <w:t>32</w:t>
          </w:r>
        </w:p>
        <w:p w:rsidR="00A1463E" w:rsidRDefault="00417327">
          <w:pPr>
            <w:pStyle w:val="TOC2"/>
            <w:tabs>
              <w:tab w:val="left" w:leader="dot" w:pos="7735"/>
            </w:tabs>
            <w:spacing w:before="56" w:line="235" w:lineRule="auto"/>
            <w:ind w:left="679" w:right="737"/>
          </w:pPr>
          <w:hyperlink w:anchor="_bookmark32" w:history="1">
            <w:r w:rsidR="00F52429">
              <w:rPr>
                <w:color w:val="353434"/>
              </w:rPr>
              <w:t>Summary of consolidated account appropriations and income</w:t>
            </w:r>
          </w:hyperlink>
          <w:r w:rsidR="00F52429">
            <w:rPr>
              <w:color w:val="353434"/>
            </w:rPr>
            <w:t xml:space="preserve"> </w:t>
          </w:r>
          <w:hyperlink w:anchor="_bookmark32" w:history="1">
            <w:r w:rsidR="00F52429">
              <w:rPr>
                <w:color w:val="353434"/>
              </w:rPr>
              <w:t>estimates</w:t>
            </w:r>
          </w:hyperlink>
          <w:r w:rsidR="00F52429">
            <w:rPr>
              <w:color w:val="353434"/>
            </w:rPr>
            <w:tab/>
            <w:t>33</w:t>
          </w:r>
        </w:p>
        <w:p w:rsidR="00A1463E" w:rsidRDefault="00417327">
          <w:pPr>
            <w:pStyle w:val="TOC2"/>
            <w:tabs>
              <w:tab w:val="left" w:leader="dot" w:pos="7735"/>
            </w:tabs>
            <w:spacing w:before="102"/>
            <w:ind w:left="679"/>
          </w:pPr>
          <w:hyperlink w:anchor="_bookmark33" w:history="1">
            <w:r w:rsidR="00F52429">
              <w:rPr>
                <w:color w:val="353434"/>
              </w:rPr>
              <w:t>Notes to the</w:t>
            </w:r>
            <w:r w:rsidR="00F52429">
              <w:rPr>
                <w:color w:val="353434"/>
                <w:spacing w:val="-16"/>
              </w:rPr>
              <w:t xml:space="preserve"> </w:t>
            </w:r>
            <w:r w:rsidR="00F52429">
              <w:rPr>
                <w:color w:val="353434"/>
              </w:rPr>
              <w:t>financial</w:t>
            </w:r>
            <w:r w:rsidR="00F52429">
              <w:rPr>
                <w:color w:val="353434"/>
                <w:spacing w:val="-6"/>
              </w:rPr>
              <w:t xml:space="preserve"> </w:t>
            </w:r>
            <w:r w:rsidR="00F52429">
              <w:rPr>
                <w:color w:val="353434"/>
              </w:rPr>
              <w:t>statements</w:t>
            </w:r>
            <w:r w:rsidR="00F52429">
              <w:rPr>
                <w:color w:val="353434"/>
              </w:rPr>
              <w:tab/>
              <w:t>34</w:t>
            </w:r>
          </w:hyperlink>
        </w:p>
        <w:p w:rsidR="00A1463E" w:rsidRDefault="00417327">
          <w:pPr>
            <w:pStyle w:val="TOC1"/>
            <w:tabs>
              <w:tab w:val="left" w:leader="dot" w:pos="7696"/>
            </w:tabs>
          </w:pPr>
          <w:hyperlink w:anchor="_bookmark35" w:history="1">
            <w:r w:rsidR="00F52429">
              <w:rPr>
                <w:color w:val="353434"/>
              </w:rPr>
              <w:t>Performance</w:t>
            </w:r>
            <w:r w:rsidR="00F52429">
              <w:rPr>
                <w:color w:val="353434"/>
                <w:spacing w:val="-4"/>
              </w:rPr>
              <w:t xml:space="preserve"> </w:t>
            </w:r>
            <w:r w:rsidR="00F52429">
              <w:rPr>
                <w:color w:val="353434"/>
                <w:spacing w:val="-3"/>
              </w:rPr>
              <w:t>indicators</w:t>
            </w:r>
            <w:r w:rsidR="00F52429">
              <w:rPr>
                <w:color w:val="353434"/>
                <w:spacing w:val="-3"/>
              </w:rPr>
              <w:tab/>
            </w:r>
            <w:r w:rsidR="00F52429">
              <w:rPr>
                <w:color w:val="353434"/>
              </w:rPr>
              <w:t>58</w:t>
            </w:r>
          </w:hyperlink>
        </w:p>
        <w:p w:rsidR="00A1463E" w:rsidRDefault="00417327">
          <w:pPr>
            <w:pStyle w:val="TOC2"/>
            <w:tabs>
              <w:tab w:val="left" w:leader="dot" w:pos="7736"/>
            </w:tabs>
            <w:spacing w:before="40"/>
          </w:pPr>
          <w:hyperlink w:anchor="_bookmark35" w:history="1">
            <w:r w:rsidR="00F52429">
              <w:rPr>
                <w:color w:val="353434"/>
              </w:rPr>
              <w:t xml:space="preserve">Certification of </w:t>
            </w:r>
            <w:r w:rsidR="00F52429">
              <w:rPr>
                <w:color w:val="353434"/>
                <w:spacing w:val="-4"/>
              </w:rPr>
              <w:t>key</w:t>
            </w:r>
            <w:r w:rsidR="00F52429">
              <w:rPr>
                <w:color w:val="353434"/>
                <w:spacing w:val="-28"/>
              </w:rPr>
              <w:t xml:space="preserve"> </w:t>
            </w:r>
            <w:r w:rsidR="00F52429">
              <w:rPr>
                <w:color w:val="353434"/>
              </w:rPr>
              <w:t>performance</w:t>
            </w:r>
            <w:r w:rsidR="00F52429">
              <w:rPr>
                <w:color w:val="353434"/>
                <w:spacing w:val="-10"/>
              </w:rPr>
              <w:t xml:space="preserve"> </w:t>
            </w:r>
            <w:r w:rsidR="00F52429">
              <w:rPr>
                <w:color w:val="353434"/>
              </w:rPr>
              <w:t>indicators</w:t>
            </w:r>
          </w:hyperlink>
          <w:r w:rsidR="00F52429">
            <w:rPr>
              <w:color w:val="353434"/>
            </w:rPr>
            <w:tab/>
            <w:t>58</w:t>
          </w:r>
        </w:p>
        <w:p w:rsidR="00A1463E" w:rsidRDefault="00F52429">
          <w:pPr>
            <w:pStyle w:val="TOC2"/>
            <w:tabs>
              <w:tab w:val="left" w:leader="dot" w:pos="7736"/>
            </w:tabs>
          </w:pPr>
          <w:r>
            <w:rPr>
              <w:color w:val="353434"/>
            </w:rPr>
            <w:t>P</w:t>
          </w:r>
          <w:hyperlink w:anchor="_bookmark40" w:history="1">
            <w:r>
              <w:rPr>
                <w:color w:val="353434"/>
              </w:rPr>
              <w:t>erformance</w:t>
            </w:r>
            <w:r>
              <w:rPr>
                <w:color w:val="353434"/>
                <w:spacing w:val="-7"/>
              </w:rPr>
              <w:t xml:space="preserve"> </w:t>
            </w:r>
            <w:r>
              <w:rPr>
                <w:color w:val="353434"/>
              </w:rPr>
              <w:t>assessment</w:t>
            </w:r>
          </w:hyperlink>
          <w:r>
            <w:rPr>
              <w:color w:val="353434"/>
            </w:rPr>
            <w:tab/>
            <w:t>59</w:t>
          </w:r>
        </w:p>
        <w:p w:rsidR="00A1463E" w:rsidRDefault="00F52429">
          <w:pPr>
            <w:pStyle w:val="TOC2"/>
            <w:tabs>
              <w:tab w:val="left" w:leader="dot" w:pos="7736"/>
            </w:tabs>
          </w:pPr>
          <w:r>
            <w:rPr>
              <w:color w:val="353434"/>
              <w:spacing w:val="-3"/>
            </w:rPr>
            <w:t>K</w:t>
          </w:r>
          <w:hyperlink w:anchor="_bookmark41" w:history="1">
            <w:r>
              <w:rPr>
                <w:color w:val="353434"/>
                <w:spacing w:val="-3"/>
              </w:rPr>
              <w:t>ey</w:t>
            </w:r>
            <w:r>
              <w:rPr>
                <w:color w:val="353434"/>
                <w:spacing w:val="-9"/>
              </w:rPr>
              <w:t xml:space="preserve"> </w:t>
            </w:r>
            <w:r>
              <w:rPr>
                <w:color w:val="353434"/>
              </w:rPr>
              <w:t>effectiveness</w:t>
            </w:r>
            <w:r>
              <w:rPr>
                <w:color w:val="353434"/>
                <w:spacing w:val="-9"/>
              </w:rPr>
              <w:t xml:space="preserve"> </w:t>
            </w:r>
            <w:r>
              <w:rPr>
                <w:color w:val="353434"/>
              </w:rPr>
              <w:t>indicators</w:t>
            </w:r>
          </w:hyperlink>
          <w:r>
            <w:rPr>
              <w:color w:val="353434"/>
            </w:rPr>
            <w:tab/>
            <w:t>60</w:t>
          </w:r>
        </w:p>
        <w:p w:rsidR="00A1463E" w:rsidRDefault="00F52429">
          <w:pPr>
            <w:pStyle w:val="TOC2"/>
            <w:tabs>
              <w:tab w:val="left" w:leader="dot" w:pos="7736"/>
            </w:tabs>
            <w:spacing w:before="99"/>
          </w:pPr>
          <w:r>
            <w:rPr>
              <w:color w:val="353434"/>
              <w:spacing w:val="-3"/>
            </w:rPr>
            <w:t>K</w:t>
          </w:r>
          <w:hyperlink w:anchor="_bookmark42" w:history="1">
            <w:r>
              <w:rPr>
                <w:color w:val="353434"/>
                <w:spacing w:val="-3"/>
              </w:rPr>
              <w:t>ey</w:t>
            </w:r>
            <w:r>
              <w:rPr>
                <w:color w:val="353434"/>
                <w:spacing w:val="-7"/>
              </w:rPr>
              <w:t xml:space="preserve"> </w:t>
            </w:r>
            <w:r>
              <w:rPr>
                <w:color w:val="353434"/>
              </w:rPr>
              <w:t>efficiency</w:t>
            </w:r>
            <w:r>
              <w:rPr>
                <w:color w:val="353434"/>
                <w:spacing w:val="-7"/>
              </w:rPr>
              <w:t xml:space="preserve"> </w:t>
            </w:r>
            <w:r>
              <w:rPr>
                <w:color w:val="353434"/>
              </w:rPr>
              <w:t>indicators</w:t>
            </w:r>
          </w:hyperlink>
          <w:r>
            <w:rPr>
              <w:color w:val="353434"/>
            </w:rPr>
            <w:tab/>
            <w:t>62</w:t>
          </w:r>
        </w:p>
        <w:p w:rsidR="00A1463E" w:rsidRDefault="00417327">
          <w:pPr>
            <w:pStyle w:val="TOC1"/>
            <w:tabs>
              <w:tab w:val="left" w:leader="dot" w:pos="7695"/>
            </w:tabs>
            <w:spacing w:before="335"/>
          </w:pPr>
          <w:hyperlink w:anchor="_bookmark44" w:history="1">
            <w:r w:rsidR="00F52429">
              <w:rPr>
                <w:color w:val="353434"/>
              </w:rPr>
              <w:t>Disclosures</w:t>
            </w:r>
            <w:r w:rsidR="00F52429">
              <w:rPr>
                <w:color w:val="353434"/>
              </w:rPr>
              <w:tab/>
              <w:t>63</w:t>
            </w:r>
          </w:hyperlink>
        </w:p>
        <w:p w:rsidR="00A1463E" w:rsidRDefault="00417327">
          <w:pPr>
            <w:pStyle w:val="TOC2"/>
            <w:tabs>
              <w:tab w:val="left" w:leader="dot" w:pos="7736"/>
            </w:tabs>
            <w:spacing w:before="41"/>
          </w:pPr>
          <w:hyperlink w:anchor="_bookmark43" w:history="1">
            <w:r w:rsidR="00F52429">
              <w:rPr>
                <w:color w:val="353434"/>
              </w:rPr>
              <w:t>Ministerial</w:t>
            </w:r>
            <w:r w:rsidR="00F52429">
              <w:rPr>
                <w:color w:val="353434"/>
                <w:spacing w:val="-5"/>
              </w:rPr>
              <w:t xml:space="preserve"> </w:t>
            </w:r>
            <w:r w:rsidR="00F52429">
              <w:rPr>
                <w:color w:val="353434"/>
              </w:rPr>
              <w:t>Directives</w:t>
            </w:r>
          </w:hyperlink>
          <w:r w:rsidR="00F52429">
            <w:rPr>
              <w:color w:val="353434"/>
            </w:rPr>
            <w:tab/>
            <w:t>63</w:t>
          </w:r>
        </w:p>
        <w:p w:rsidR="00A1463E" w:rsidRDefault="00417327">
          <w:pPr>
            <w:pStyle w:val="TOC2"/>
            <w:tabs>
              <w:tab w:val="left" w:leader="dot" w:pos="7736"/>
            </w:tabs>
            <w:spacing w:before="50"/>
          </w:pPr>
          <w:hyperlink w:anchor="_bookmark43" w:history="1">
            <w:r w:rsidR="00F52429">
              <w:rPr>
                <w:color w:val="353434"/>
              </w:rPr>
              <w:t>Other</w:t>
            </w:r>
            <w:r w:rsidR="00F52429">
              <w:rPr>
                <w:color w:val="353434"/>
                <w:spacing w:val="-6"/>
              </w:rPr>
              <w:t xml:space="preserve"> </w:t>
            </w:r>
            <w:r w:rsidR="00F52429">
              <w:rPr>
                <w:color w:val="353434"/>
              </w:rPr>
              <w:t>Financial</w:t>
            </w:r>
            <w:r w:rsidR="00F52429">
              <w:rPr>
                <w:color w:val="353434"/>
                <w:spacing w:val="-6"/>
              </w:rPr>
              <w:t xml:space="preserve"> </w:t>
            </w:r>
            <w:r w:rsidR="00F52429">
              <w:rPr>
                <w:color w:val="353434"/>
              </w:rPr>
              <w:t>Disclosures</w:t>
            </w:r>
          </w:hyperlink>
          <w:r w:rsidR="00F52429">
            <w:rPr>
              <w:color w:val="353434"/>
            </w:rPr>
            <w:tab/>
            <w:t>63</w:t>
          </w:r>
        </w:p>
        <w:p w:rsidR="00A1463E" w:rsidRDefault="00417327">
          <w:pPr>
            <w:pStyle w:val="TOC2"/>
            <w:tabs>
              <w:tab w:val="left" w:leader="dot" w:pos="7736"/>
            </w:tabs>
          </w:pPr>
          <w:hyperlink w:anchor="_bookmark49" w:history="1">
            <w:r w:rsidR="00F52429">
              <w:rPr>
                <w:color w:val="353434"/>
              </w:rPr>
              <w:t>Governance</w:t>
            </w:r>
            <w:r w:rsidR="00F52429">
              <w:rPr>
                <w:color w:val="353434"/>
                <w:spacing w:val="-5"/>
              </w:rPr>
              <w:t xml:space="preserve"> </w:t>
            </w:r>
            <w:r w:rsidR="00F52429">
              <w:rPr>
                <w:color w:val="353434"/>
              </w:rPr>
              <w:t>disclosures</w:t>
            </w:r>
          </w:hyperlink>
          <w:r w:rsidR="00F52429">
            <w:rPr>
              <w:color w:val="353434"/>
            </w:rPr>
            <w:tab/>
            <w:t>64</w:t>
          </w:r>
        </w:p>
        <w:p w:rsidR="00A1463E" w:rsidRDefault="00417327">
          <w:pPr>
            <w:pStyle w:val="TOC2"/>
            <w:tabs>
              <w:tab w:val="left" w:leader="dot" w:pos="7736"/>
            </w:tabs>
          </w:pPr>
          <w:hyperlink w:anchor="_bookmark50" w:history="1">
            <w:r w:rsidR="00F52429">
              <w:rPr>
                <w:color w:val="353434"/>
              </w:rPr>
              <w:t>Other</w:t>
            </w:r>
            <w:r w:rsidR="00F52429">
              <w:rPr>
                <w:color w:val="353434"/>
                <w:spacing w:val="-7"/>
              </w:rPr>
              <w:t xml:space="preserve"> </w:t>
            </w:r>
            <w:r w:rsidR="00F52429">
              <w:rPr>
                <w:color w:val="353434"/>
              </w:rPr>
              <w:t>legal</w:t>
            </w:r>
            <w:r w:rsidR="00F52429">
              <w:rPr>
                <w:color w:val="353434"/>
                <w:spacing w:val="-7"/>
              </w:rPr>
              <w:t xml:space="preserve"> </w:t>
            </w:r>
            <w:r w:rsidR="00F52429">
              <w:rPr>
                <w:color w:val="353434"/>
              </w:rPr>
              <w:t>requirements</w:t>
            </w:r>
          </w:hyperlink>
          <w:r w:rsidR="00F52429">
            <w:rPr>
              <w:color w:val="353434"/>
            </w:rPr>
            <w:tab/>
            <w:t>65</w:t>
          </w:r>
        </w:p>
      </w:sdtContent>
    </w:sdt>
    <w:p w:rsidR="00A1463E" w:rsidRDefault="00A1463E">
      <w:pPr>
        <w:sectPr w:rsidR="00A1463E">
          <w:type w:val="continuous"/>
          <w:pgSz w:w="16840" w:h="11910" w:orient="landscape"/>
          <w:pgMar w:top="560" w:right="0" w:bottom="0" w:left="0" w:header="720" w:footer="720" w:gutter="0"/>
          <w:cols w:num="2" w:space="720" w:equalWidth="0">
            <w:col w:w="8021" w:space="58"/>
            <w:col w:w="8761"/>
          </w:cols>
        </w:sectPr>
      </w:pPr>
    </w:p>
    <w:p w:rsidR="00A1463E" w:rsidRDefault="00D2471E" w:rsidP="00C86A99">
      <w:pPr>
        <w:pStyle w:val="Heading1"/>
        <w:spacing w:after="240"/>
        <w:rPr>
          <w:sz w:val="18"/>
        </w:rPr>
      </w:pPr>
      <w:r>
        <w:lastRenderedPageBreak/>
        <w:t>Executive Su</w:t>
      </w:r>
      <w:r w:rsidRPr="0011106D">
        <w:t>mmary</w:t>
      </w:r>
    </w:p>
    <w:p w:rsidR="00A1463E" w:rsidRDefault="00F52429">
      <w:pPr>
        <w:pStyle w:val="BodyText"/>
        <w:spacing w:before="1" w:line="235" w:lineRule="auto"/>
        <w:ind w:left="680" w:right="304"/>
      </w:pPr>
      <w:bookmarkStart w:id="0" w:name="executive_summary"/>
      <w:bookmarkStart w:id="1" w:name="_bookmark0"/>
      <w:bookmarkStart w:id="2" w:name="_bookmark1"/>
      <w:bookmarkStart w:id="3" w:name="_bookmark2"/>
      <w:bookmarkEnd w:id="0"/>
      <w:bookmarkEnd w:id="1"/>
      <w:bookmarkEnd w:id="2"/>
      <w:bookmarkEnd w:id="3"/>
      <w:r>
        <w:t xml:space="preserve">The </w:t>
      </w:r>
      <w:r>
        <w:rPr>
          <w:spacing w:val="-3"/>
        </w:rPr>
        <w:t xml:space="preserve">2017-18 financial year was </w:t>
      </w:r>
      <w:r>
        <w:t xml:space="preserve">the </w:t>
      </w:r>
      <w:r>
        <w:rPr>
          <w:spacing w:val="-3"/>
        </w:rPr>
        <w:t xml:space="preserve">third and </w:t>
      </w:r>
      <w:r>
        <w:t xml:space="preserve">final </w:t>
      </w:r>
      <w:r>
        <w:rPr>
          <w:spacing w:val="-3"/>
        </w:rPr>
        <w:t xml:space="preserve">year </w:t>
      </w:r>
      <w:r>
        <w:t xml:space="preserve">of </w:t>
      </w:r>
      <w:r>
        <w:rPr>
          <w:spacing w:val="-4"/>
        </w:rPr>
        <w:t xml:space="preserve">operations for </w:t>
      </w:r>
      <w:r>
        <w:t xml:space="preserve">the Office of </w:t>
      </w:r>
      <w:r>
        <w:rPr>
          <w:spacing w:val="-3"/>
        </w:rPr>
        <w:t xml:space="preserve">the </w:t>
      </w:r>
      <w:r>
        <w:rPr>
          <w:spacing w:val="-4"/>
        </w:rPr>
        <w:t xml:space="preserve">Government </w:t>
      </w:r>
      <w:r>
        <w:rPr>
          <w:spacing w:val="-3"/>
        </w:rPr>
        <w:t xml:space="preserve">Chief </w:t>
      </w:r>
      <w:r>
        <w:rPr>
          <w:spacing w:val="-4"/>
        </w:rPr>
        <w:t xml:space="preserve">Information </w:t>
      </w:r>
      <w:r>
        <w:t xml:space="preserve">Officer </w:t>
      </w:r>
      <w:r>
        <w:rPr>
          <w:spacing w:val="-3"/>
        </w:rPr>
        <w:t>(GCIO).</w:t>
      </w:r>
    </w:p>
    <w:p w:rsidR="00A1463E" w:rsidRDefault="00F52429">
      <w:pPr>
        <w:pStyle w:val="BodyText"/>
        <w:spacing w:before="172" w:line="235" w:lineRule="auto"/>
        <w:ind w:left="680" w:right="226"/>
      </w:pPr>
      <w:r>
        <w:t>Over the past three years, the Office has been</w:t>
      </w:r>
      <w:r>
        <w:rPr>
          <w:spacing w:val="-7"/>
        </w:rPr>
        <w:t xml:space="preserve"> </w:t>
      </w:r>
      <w:r>
        <w:t>establishing</w:t>
      </w:r>
      <w:r>
        <w:rPr>
          <w:spacing w:val="-7"/>
        </w:rPr>
        <w:t xml:space="preserve"> </w:t>
      </w:r>
      <w:r>
        <w:t>the</w:t>
      </w:r>
      <w:r>
        <w:rPr>
          <w:spacing w:val="-7"/>
        </w:rPr>
        <w:t xml:space="preserve"> </w:t>
      </w:r>
      <w:r>
        <w:t>foundations</w:t>
      </w:r>
      <w:r>
        <w:rPr>
          <w:spacing w:val="-7"/>
        </w:rPr>
        <w:t xml:space="preserve"> </w:t>
      </w:r>
      <w:r>
        <w:t>for</w:t>
      </w:r>
      <w:r>
        <w:rPr>
          <w:spacing w:val="-7"/>
        </w:rPr>
        <w:t xml:space="preserve"> </w:t>
      </w:r>
      <w:r>
        <w:t>a</w:t>
      </w:r>
      <w:r>
        <w:rPr>
          <w:spacing w:val="-7"/>
        </w:rPr>
        <w:t xml:space="preserve"> </w:t>
      </w:r>
      <w:r>
        <w:t>digital</w:t>
      </w:r>
    </w:p>
    <w:p w:rsidR="00A1463E" w:rsidRDefault="00F52429">
      <w:pPr>
        <w:pStyle w:val="BodyText"/>
        <w:spacing w:before="2" w:line="235" w:lineRule="auto"/>
        <w:ind w:left="680" w:right="-5"/>
      </w:pPr>
      <w:r>
        <w:t xml:space="preserve">transformation of the </w:t>
      </w:r>
      <w:r>
        <w:rPr>
          <w:spacing w:val="-3"/>
        </w:rPr>
        <w:t xml:space="preserve">Western </w:t>
      </w:r>
      <w:r>
        <w:t>Australian public sector to enable government to improve the delivery of services.</w:t>
      </w:r>
    </w:p>
    <w:p w:rsidR="00A1463E" w:rsidRDefault="00F52429">
      <w:pPr>
        <w:pStyle w:val="BodyText"/>
        <w:spacing w:before="173" w:line="235" w:lineRule="auto"/>
        <w:ind w:left="680" w:right="409"/>
      </w:pPr>
      <w:r>
        <w:rPr>
          <w:spacing w:val="-3"/>
        </w:rPr>
        <w:t xml:space="preserve">New technologies are </w:t>
      </w:r>
      <w:r>
        <w:rPr>
          <w:spacing w:val="-4"/>
        </w:rPr>
        <w:t xml:space="preserve">providing </w:t>
      </w:r>
      <w:r>
        <w:t xml:space="preserve">the </w:t>
      </w:r>
      <w:r>
        <w:rPr>
          <w:spacing w:val="-3"/>
        </w:rPr>
        <w:t xml:space="preserve">means to meet community demand </w:t>
      </w:r>
      <w:r>
        <w:rPr>
          <w:spacing w:val="-4"/>
        </w:rPr>
        <w:t>for</w:t>
      </w:r>
      <w:r>
        <w:rPr>
          <w:spacing w:val="-1"/>
        </w:rPr>
        <w:t xml:space="preserve"> </w:t>
      </w:r>
      <w:r>
        <w:rPr>
          <w:spacing w:val="-4"/>
        </w:rPr>
        <w:t>government</w:t>
      </w:r>
    </w:p>
    <w:p w:rsidR="00A1463E" w:rsidRDefault="00F52429">
      <w:pPr>
        <w:pStyle w:val="BodyText"/>
        <w:spacing w:before="2" w:line="235" w:lineRule="auto"/>
        <w:ind w:left="680"/>
      </w:pPr>
      <w:r>
        <w:rPr>
          <w:spacing w:val="-3"/>
        </w:rPr>
        <w:t xml:space="preserve">services </w:t>
      </w:r>
      <w:r>
        <w:rPr>
          <w:spacing w:val="-4"/>
        </w:rPr>
        <w:t xml:space="preserve">delivered anywhere, </w:t>
      </w:r>
      <w:r>
        <w:rPr>
          <w:spacing w:val="-3"/>
        </w:rPr>
        <w:t xml:space="preserve">anytime </w:t>
      </w:r>
      <w:r>
        <w:t xml:space="preserve">and on </w:t>
      </w:r>
      <w:r>
        <w:rPr>
          <w:spacing w:val="-4"/>
        </w:rPr>
        <w:t xml:space="preserve">any </w:t>
      </w:r>
      <w:r>
        <w:rPr>
          <w:spacing w:val="-3"/>
        </w:rPr>
        <w:t xml:space="preserve">device.  </w:t>
      </w:r>
      <w:r>
        <w:rPr>
          <w:spacing w:val="-5"/>
        </w:rPr>
        <w:t xml:space="preserve">Technology </w:t>
      </w:r>
      <w:r>
        <w:t xml:space="preserve">is </w:t>
      </w:r>
      <w:r>
        <w:rPr>
          <w:spacing w:val="-3"/>
        </w:rPr>
        <w:t xml:space="preserve">also enabling services to </w:t>
      </w:r>
      <w:r>
        <w:t xml:space="preserve">be </w:t>
      </w:r>
      <w:r>
        <w:rPr>
          <w:spacing w:val="-4"/>
        </w:rPr>
        <w:t xml:space="preserve">informed </w:t>
      </w:r>
      <w:r>
        <w:t xml:space="preserve">by </w:t>
      </w:r>
      <w:r>
        <w:rPr>
          <w:spacing w:val="-3"/>
        </w:rPr>
        <w:t xml:space="preserve">quality </w:t>
      </w:r>
      <w:r>
        <w:rPr>
          <w:spacing w:val="-4"/>
        </w:rPr>
        <w:t xml:space="preserve">data </w:t>
      </w:r>
      <w:r>
        <w:rPr>
          <w:spacing w:val="-3"/>
        </w:rPr>
        <w:t xml:space="preserve">that are </w:t>
      </w:r>
      <w:r>
        <w:rPr>
          <w:spacing w:val="-4"/>
        </w:rPr>
        <w:t xml:space="preserve">delivered </w:t>
      </w:r>
      <w:r>
        <w:rPr>
          <w:spacing w:val="-3"/>
        </w:rPr>
        <w:t xml:space="preserve">seamlessly </w:t>
      </w:r>
      <w:r>
        <w:t xml:space="preserve">by an </w:t>
      </w:r>
      <w:r>
        <w:rPr>
          <w:spacing w:val="-4"/>
        </w:rPr>
        <w:t xml:space="preserve">interconnected </w:t>
      </w:r>
      <w:r>
        <w:rPr>
          <w:spacing w:val="-3"/>
        </w:rPr>
        <w:t>public</w:t>
      </w:r>
      <w:r>
        <w:rPr>
          <w:spacing w:val="-16"/>
        </w:rPr>
        <w:t xml:space="preserve"> </w:t>
      </w:r>
      <w:r>
        <w:rPr>
          <w:spacing w:val="-7"/>
        </w:rPr>
        <w:t>sector.</w:t>
      </w:r>
    </w:p>
    <w:p w:rsidR="00A1463E" w:rsidRDefault="00F52429">
      <w:pPr>
        <w:pStyle w:val="BodyText"/>
        <w:spacing w:before="3" w:line="235" w:lineRule="auto"/>
        <w:ind w:left="680" w:right="393"/>
      </w:pPr>
      <w:r>
        <w:rPr>
          <w:spacing w:val="-4"/>
        </w:rPr>
        <w:t xml:space="preserve">Broader </w:t>
      </w:r>
      <w:r>
        <w:rPr>
          <w:spacing w:val="-3"/>
        </w:rPr>
        <w:t xml:space="preserve">social </w:t>
      </w:r>
      <w:r>
        <w:t xml:space="preserve">and </w:t>
      </w:r>
      <w:r>
        <w:rPr>
          <w:spacing w:val="-3"/>
        </w:rPr>
        <w:t xml:space="preserve">economic benefits are also possible, such </w:t>
      </w:r>
      <w:r>
        <w:t xml:space="preserve">as </w:t>
      </w:r>
      <w:r>
        <w:rPr>
          <w:spacing w:val="-4"/>
        </w:rPr>
        <w:t xml:space="preserve">overcoming geographic </w:t>
      </w:r>
      <w:r>
        <w:rPr>
          <w:spacing w:val="-3"/>
        </w:rPr>
        <w:t xml:space="preserve">isolation, </w:t>
      </w:r>
      <w:r>
        <w:rPr>
          <w:spacing w:val="-4"/>
        </w:rPr>
        <w:t xml:space="preserve">facilitating </w:t>
      </w:r>
      <w:r>
        <w:rPr>
          <w:spacing w:val="-3"/>
        </w:rPr>
        <w:t xml:space="preserve">community </w:t>
      </w:r>
      <w:r>
        <w:rPr>
          <w:spacing w:val="-4"/>
        </w:rPr>
        <w:t xml:space="preserve">engagement </w:t>
      </w:r>
      <w:r>
        <w:rPr>
          <w:spacing w:val="-3"/>
        </w:rPr>
        <w:t xml:space="preserve">with </w:t>
      </w:r>
      <w:r>
        <w:rPr>
          <w:spacing w:val="-4"/>
        </w:rPr>
        <w:t xml:space="preserve">government, </w:t>
      </w:r>
      <w:r>
        <w:t xml:space="preserve">and </w:t>
      </w:r>
      <w:r>
        <w:rPr>
          <w:spacing w:val="-3"/>
        </w:rPr>
        <w:t xml:space="preserve">increased </w:t>
      </w:r>
      <w:r>
        <w:rPr>
          <w:spacing w:val="-4"/>
        </w:rPr>
        <w:t>efficiencies.</w:t>
      </w:r>
    </w:p>
    <w:p w:rsidR="00A1463E" w:rsidRDefault="00F52429">
      <w:pPr>
        <w:pStyle w:val="BodyText"/>
        <w:spacing w:before="174" w:line="235" w:lineRule="auto"/>
        <w:ind w:left="680" w:right="-5"/>
      </w:pPr>
      <w:r>
        <w:t xml:space="preserve">The framework </w:t>
      </w:r>
      <w:r>
        <w:rPr>
          <w:spacing w:val="-3"/>
        </w:rPr>
        <w:t xml:space="preserve">for </w:t>
      </w:r>
      <w:r>
        <w:t xml:space="preserve">digital transformation is the </w:t>
      </w:r>
      <w:r>
        <w:rPr>
          <w:spacing w:val="-4"/>
        </w:rPr>
        <w:t xml:space="preserve">State’s </w:t>
      </w:r>
      <w:r>
        <w:t xml:space="preserve">first ICT </w:t>
      </w:r>
      <w:r>
        <w:rPr>
          <w:spacing w:val="-4"/>
        </w:rPr>
        <w:t xml:space="preserve">Strategy, </w:t>
      </w:r>
      <w:r>
        <w:t xml:space="preserve">the </w:t>
      </w:r>
      <w:r>
        <w:rPr>
          <w:spacing w:val="-3"/>
        </w:rPr>
        <w:t xml:space="preserve">Western </w:t>
      </w:r>
      <w:r>
        <w:t xml:space="preserve">Australian Government Information and Communications </w:t>
      </w:r>
      <w:r>
        <w:rPr>
          <w:spacing w:val="-3"/>
        </w:rPr>
        <w:t xml:space="preserve">Technology </w:t>
      </w:r>
      <w:r>
        <w:t>(ICT) Strategy 2016-2020 (</w:t>
      </w:r>
      <w:r>
        <w:rPr>
          <w:i/>
        </w:rPr>
        <w:t xml:space="preserve">Digital </w:t>
      </w:r>
      <w:r>
        <w:rPr>
          <w:i/>
          <w:spacing w:val="-3"/>
        </w:rPr>
        <w:t>WA</w:t>
      </w:r>
      <w:r>
        <w:rPr>
          <w:spacing w:val="-3"/>
        </w:rPr>
        <w:t xml:space="preserve">), </w:t>
      </w:r>
      <w:r>
        <w:t>which the Office of the GCIO developed</w:t>
      </w:r>
    </w:p>
    <w:p w:rsidR="00A1463E" w:rsidRDefault="00F52429">
      <w:pPr>
        <w:pStyle w:val="BodyText"/>
        <w:spacing w:before="5" w:line="235" w:lineRule="auto"/>
        <w:ind w:left="680" w:right="304"/>
      </w:pPr>
      <w:r>
        <w:t>in 2016. This has been supported by a range of whole of government policies, tools and guidance materials which the Office has delivered over the past three years to assist agencies in reforming their approach to ICT.</w:t>
      </w:r>
    </w:p>
    <w:p w:rsidR="00A1463E" w:rsidRDefault="00F52429">
      <w:pPr>
        <w:pStyle w:val="BodyText"/>
        <w:spacing w:before="174" w:line="235" w:lineRule="auto"/>
        <w:ind w:left="680" w:right="-5"/>
      </w:pPr>
      <w:r>
        <w:t>In 2016-17, the Office of the GCIO was also responsible for the innovation function and developed the State’s first Innovation Strategy which was partly aimed at facilitating agencies</w:t>
      </w:r>
    </w:p>
    <w:p w:rsidR="00A1463E" w:rsidRDefault="00F52429" w:rsidP="00C86A99">
      <w:pPr>
        <w:pStyle w:val="BodyText"/>
        <w:rPr>
          <w:sz w:val="18"/>
        </w:rPr>
      </w:pPr>
      <w:r>
        <w:br w:type="column"/>
      </w:r>
    </w:p>
    <w:p w:rsidR="00A1463E" w:rsidRDefault="00F52429">
      <w:pPr>
        <w:pStyle w:val="BodyText"/>
        <w:spacing w:line="235" w:lineRule="auto"/>
        <w:ind w:left="665" w:right="112"/>
      </w:pPr>
      <w:r>
        <w:t>working with local innovators to improve service delivery.</w:t>
      </w:r>
    </w:p>
    <w:p w:rsidR="00A1463E" w:rsidRDefault="00F52429">
      <w:pPr>
        <w:pStyle w:val="BodyText"/>
        <w:spacing w:before="172" w:line="235" w:lineRule="auto"/>
        <w:ind w:left="665" w:right="-19"/>
      </w:pPr>
      <w:r>
        <w:t xml:space="preserve">In addition to developing the strategic parameters, the Office of the GCIO was involved in the implementation of service delivery and ICT </w:t>
      </w:r>
      <w:r>
        <w:rPr>
          <w:spacing w:val="-3"/>
        </w:rPr>
        <w:t xml:space="preserve">reforms </w:t>
      </w:r>
      <w:r>
        <w:t xml:space="preserve">through its two flagship programs: </w:t>
      </w:r>
      <w:proofErr w:type="spellStart"/>
      <w:r>
        <w:t>ServiceWA</w:t>
      </w:r>
      <w:proofErr w:type="spellEnd"/>
      <w:r>
        <w:t xml:space="preserve"> and </w:t>
      </w:r>
      <w:proofErr w:type="spellStart"/>
      <w:r>
        <w:rPr>
          <w:spacing w:val="-4"/>
        </w:rPr>
        <w:t>GovNext</w:t>
      </w:r>
      <w:proofErr w:type="spellEnd"/>
      <w:r>
        <w:rPr>
          <w:spacing w:val="-4"/>
        </w:rPr>
        <w:t xml:space="preserve">-ICT. </w:t>
      </w:r>
      <w:r>
        <w:t xml:space="preserve">These programs underpin Digital </w:t>
      </w:r>
      <w:r>
        <w:rPr>
          <w:spacing w:val="-6"/>
        </w:rPr>
        <w:t xml:space="preserve">WA </w:t>
      </w:r>
      <w:r>
        <w:t xml:space="preserve">by developing the structure to deliver the </w:t>
      </w:r>
      <w:r>
        <w:rPr>
          <w:spacing w:val="-3"/>
        </w:rPr>
        <w:t xml:space="preserve">‘one </w:t>
      </w:r>
      <w:r>
        <w:t xml:space="preserve">government’ approach to service </w:t>
      </w:r>
      <w:r>
        <w:rPr>
          <w:spacing w:val="-3"/>
        </w:rPr>
        <w:t>delivery.</w:t>
      </w:r>
    </w:p>
    <w:p w:rsidR="00A1463E" w:rsidRDefault="00F52429">
      <w:pPr>
        <w:pStyle w:val="BodyText"/>
        <w:spacing w:before="177" w:line="235" w:lineRule="auto"/>
        <w:ind w:left="665" w:right="112"/>
      </w:pPr>
      <w:r>
        <w:t xml:space="preserve">This year saw many of the projects, policies and initiatives outlined in Digital </w:t>
      </w:r>
      <w:r>
        <w:rPr>
          <w:spacing w:val="-6"/>
        </w:rPr>
        <w:t xml:space="preserve">WA </w:t>
      </w:r>
      <w:r>
        <w:t>move into</w:t>
      </w:r>
    </w:p>
    <w:p w:rsidR="00A1463E" w:rsidRDefault="00F52429">
      <w:pPr>
        <w:pStyle w:val="BodyText"/>
        <w:spacing w:before="2" w:line="235" w:lineRule="auto"/>
        <w:ind w:left="665" w:right="6"/>
      </w:pPr>
      <w:r>
        <w:t>delivery stages. One of the major achievements for 2017-18 was the release of the redeveloped, whole-of-government website; WA.gov.au. This website is the single entry point to government online services and the public ‘face’ of the</w:t>
      </w:r>
    </w:p>
    <w:p w:rsidR="00A1463E" w:rsidRDefault="00F52429">
      <w:pPr>
        <w:pStyle w:val="BodyText"/>
        <w:spacing w:before="4" w:line="235" w:lineRule="auto"/>
        <w:ind w:left="665" w:right="275"/>
      </w:pPr>
      <w:r>
        <w:t xml:space="preserve">one government approach. Following on from the release of the beta or test website in 2016, the Office </w:t>
      </w:r>
      <w:r>
        <w:rPr>
          <w:spacing w:val="-3"/>
        </w:rPr>
        <w:t xml:space="preserve">worked </w:t>
      </w:r>
      <w:r>
        <w:t>closely with a user</w:t>
      </w:r>
    </w:p>
    <w:p w:rsidR="00A1463E" w:rsidRDefault="00F52429">
      <w:pPr>
        <w:pStyle w:val="BodyText"/>
        <w:spacing w:before="3" w:line="235" w:lineRule="auto"/>
        <w:ind w:left="665" w:right="83"/>
      </w:pPr>
      <w:r>
        <w:t>experience group, external website developers and subject matter experts to ensure the design of the website addressed both user and agency requirements. Visitor numbers to the redeveloped site increased by over 300</w:t>
      </w:r>
      <w:r>
        <w:rPr>
          <w:spacing w:val="-35"/>
        </w:rPr>
        <w:t xml:space="preserve"> </w:t>
      </w:r>
      <w:r>
        <w:t>percent in the first six months of going</w:t>
      </w:r>
      <w:r>
        <w:rPr>
          <w:spacing w:val="-11"/>
        </w:rPr>
        <w:t xml:space="preserve"> </w:t>
      </w:r>
      <w:r>
        <w:t>live.</w:t>
      </w:r>
    </w:p>
    <w:p w:rsidR="00A1463E" w:rsidRDefault="00F52429">
      <w:pPr>
        <w:pStyle w:val="BodyText"/>
        <w:spacing w:before="176" w:line="235" w:lineRule="auto"/>
        <w:ind w:left="665" w:right="-3"/>
      </w:pPr>
      <w:r>
        <w:t>In developing the website, the Office of the GCIO also tested a number of policies and guidelines relating to digital services which</w:t>
      </w:r>
      <w:r>
        <w:rPr>
          <w:spacing w:val="-29"/>
        </w:rPr>
        <w:t xml:space="preserve"> </w:t>
      </w:r>
      <w:r>
        <w:t xml:space="preserve">were then released as whole of government policies during the </w:t>
      </w:r>
      <w:r>
        <w:rPr>
          <w:spacing w:val="-6"/>
        </w:rPr>
        <w:t xml:space="preserve">year. </w:t>
      </w:r>
      <w:r>
        <w:t xml:space="preserve">These will assist the sector in moving to one government approach to online service </w:t>
      </w:r>
      <w:r>
        <w:rPr>
          <w:spacing w:val="-3"/>
        </w:rPr>
        <w:t>delivery.</w:t>
      </w:r>
    </w:p>
    <w:p w:rsidR="00A1463E" w:rsidRDefault="00F52429" w:rsidP="00C86A99">
      <w:pPr>
        <w:pStyle w:val="BodyText"/>
        <w:rPr>
          <w:sz w:val="18"/>
        </w:rPr>
      </w:pPr>
      <w:r>
        <w:br w:type="column"/>
      </w:r>
    </w:p>
    <w:p w:rsidR="00A1463E" w:rsidRDefault="00F52429">
      <w:pPr>
        <w:pStyle w:val="BodyText"/>
        <w:spacing w:line="235" w:lineRule="auto"/>
        <w:ind w:left="639" w:right="924"/>
      </w:pPr>
      <w:r>
        <w:t xml:space="preserve">In 2017-18, the </w:t>
      </w:r>
      <w:proofErr w:type="spellStart"/>
      <w:r>
        <w:t>GovNext</w:t>
      </w:r>
      <w:proofErr w:type="spellEnd"/>
      <w:r>
        <w:t xml:space="preserve">-ICT program moved from the planning and establishment phase to implementation. As at 30 June 2018, 29 agencies had started transitioning to </w:t>
      </w:r>
      <w:proofErr w:type="spellStart"/>
      <w:r>
        <w:t>GovNext</w:t>
      </w:r>
      <w:proofErr w:type="spellEnd"/>
      <w:r>
        <w:t xml:space="preserve">-ICT services </w:t>
      </w:r>
      <w:proofErr w:type="spellStart"/>
      <w:r>
        <w:t>realising</w:t>
      </w:r>
      <w:proofErr w:type="spellEnd"/>
      <w:r>
        <w:t xml:space="preserve"> benefits including faster turnaround times for patient test results at </w:t>
      </w:r>
      <w:proofErr w:type="spellStart"/>
      <w:r>
        <w:t>PathWest</w:t>
      </w:r>
      <w:proofErr w:type="spellEnd"/>
      <w:r>
        <w:t>, enabling the introduction of new technologies to provide enhanced information to first</w:t>
      </w:r>
      <w:r>
        <w:rPr>
          <w:spacing w:val="27"/>
        </w:rPr>
        <w:t xml:space="preserve"> </w:t>
      </w:r>
      <w:r>
        <w:t>responders</w:t>
      </w:r>
    </w:p>
    <w:p w:rsidR="00A1463E" w:rsidRDefault="00F52429">
      <w:pPr>
        <w:pStyle w:val="BodyText"/>
        <w:spacing w:before="8" w:line="235" w:lineRule="auto"/>
        <w:ind w:left="639" w:right="924"/>
      </w:pPr>
      <w:r>
        <w:t xml:space="preserve">in emergency situations, a more connected workforce through an upgraded telephony system at Fremantle Ports, and increased bandwidth and reduced costs at </w:t>
      </w:r>
      <w:proofErr w:type="spellStart"/>
      <w:r>
        <w:t>Healthway</w:t>
      </w:r>
      <w:proofErr w:type="spellEnd"/>
      <w:r>
        <w:t>.</w:t>
      </w:r>
    </w:p>
    <w:p w:rsidR="00A1463E" w:rsidRDefault="00F52429">
      <w:pPr>
        <w:pStyle w:val="BodyText"/>
        <w:spacing w:before="174" w:line="235" w:lineRule="auto"/>
        <w:ind w:left="639" w:right="764"/>
      </w:pPr>
      <w:r>
        <w:t xml:space="preserve">The </w:t>
      </w:r>
      <w:proofErr w:type="spellStart"/>
      <w:r>
        <w:t>GovNext</w:t>
      </w:r>
      <w:proofErr w:type="spellEnd"/>
      <w:r>
        <w:t xml:space="preserve">-ICT program was included within a number of reviews during the year. These highlighted some areas for improvement, including governance, transparency and planning for implementation. The outcomes and recommendations of these reviews will shape the direction for </w:t>
      </w:r>
      <w:proofErr w:type="spellStart"/>
      <w:r>
        <w:t>GovNext</w:t>
      </w:r>
      <w:proofErr w:type="spellEnd"/>
      <w:r>
        <w:t>-ICT in the next financial year.</w:t>
      </w:r>
    </w:p>
    <w:p w:rsidR="00A1463E" w:rsidRDefault="00F52429">
      <w:pPr>
        <w:pStyle w:val="BodyText"/>
        <w:spacing w:before="177" w:line="235" w:lineRule="auto"/>
        <w:ind w:left="639" w:right="955"/>
      </w:pPr>
      <w:r>
        <w:t xml:space="preserve">In 2017-18, the need </w:t>
      </w:r>
      <w:r>
        <w:rPr>
          <w:spacing w:val="-3"/>
        </w:rPr>
        <w:t xml:space="preserve">for </w:t>
      </w:r>
      <w:r>
        <w:t>better cyber</w:t>
      </w:r>
      <w:r>
        <w:rPr>
          <w:spacing w:val="-22"/>
        </w:rPr>
        <w:t xml:space="preserve"> </w:t>
      </w:r>
      <w:r>
        <w:t>security policies and procedures to protect the public sector became a high priority for the Office of the GCIO. A range of initiatives were introduced, including the</w:t>
      </w:r>
      <w:r>
        <w:rPr>
          <w:spacing w:val="-9"/>
        </w:rPr>
        <w:t xml:space="preserve"> </w:t>
      </w:r>
      <w:r>
        <w:t>establishment</w:t>
      </w:r>
    </w:p>
    <w:p w:rsidR="00A1463E" w:rsidRDefault="00F52429">
      <w:pPr>
        <w:pStyle w:val="BodyText"/>
        <w:spacing w:before="5" w:line="235" w:lineRule="auto"/>
        <w:ind w:left="639" w:right="924"/>
      </w:pPr>
      <w:r>
        <w:t>of the Cyber Security Working Group and partnering with Edith Cowan University, the Federal Government and others to establish the Cyber Security Research Centre. The CRC will place Western Australia at the forefront of cyber security within Australia, with the State benefiting as participants from state</w:t>
      </w:r>
    </w:p>
    <w:p w:rsidR="00A1463E" w:rsidRDefault="00A1463E">
      <w:pPr>
        <w:spacing w:line="235" w:lineRule="auto"/>
        <w:sectPr w:rsidR="00A1463E">
          <w:headerReference w:type="default" r:id="rId9"/>
          <w:footerReference w:type="default" r:id="rId10"/>
          <w:pgSz w:w="16840" w:h="11910" w:orient="landscape"/>
          <w:pgMar w:top="220" w:right="0" w:bottom="340" w:left="0" w:header="29" w:footer="145" w:gutter="0"/>
          <w:pgNumType w:start="4"/>
          <w:cols w:num="3" w:space="720" w:equalWidth="0">
            <w:col w:w="5361" w:space="40"/>
            <w:col w:w="5372" w:space="39"/>
            <w:col w:w="6028"/>
          </w:cols>
        </w:sectPr>
      </w:pPr>
    </w:p>
    <w:p w:rsidR="00A1463E" w:rsidRDefault="00A1463E">
      <w:pPr>
        <w:pStyle w:val="BodyText"/>
        <w:rPr>
          <w:sz w:val="20"/>
        </w:rPr>
      </w:pPr>
    </w:p>
    <w:p w:rsidR="00A1463E" w:rsidRDefault="00A1463E">
      <w:pPr>
        <w:pStyle w:val="BodyText"/>
        <w:spacing w:before="2"/>
        <w:rPr>
          <w:sz w:val="19"/>
        </w:rPr>
      </w:pPr>
    </w:p>
    <w:p w:rsidR="00A1463E" w:rsidRDefault="00A1463E">
      <w:pPr>
        <w:pStyle w:val="BodyText"/>
        <w:spacing w:before="10"/>
        <w:rPr>
          <w:sz w:val="9"/>
        </w:rPr>
      </w:pPr>
    </w:p>
    <w:p w:rsidR="00A1463E" w:rsidRDefault="00A1463E">
      <w:pPr>
        <w:rPr>
          <w:sz w:val="9"/>
        </w:rPr>
        <w:sectPr w:rsidR="00A1463E">
          <w:headerReference w:type="default" r:id="rId11"/>
          <w:pgSz w:w="16840" w:h="11910" w:orient="landscape"/>
          <w:pgMar w:top="220" w:right="0" w:bottom="360" w:left="0" w:header="29" w:footer="145" w:gutter="0"/>
          <w:cols w:space="720"/>
        </w:sectPr>
      </w:pPr>
    </w:p>
    <w:p w:rsidR="00A1463E" w:rsidRDefault="00F52429" w:rsidP="00D2471E">
      <w:pPr>
        <w:pStyle w:val="BodyText"/>
        <w:spacing w:before="57" w:line="235" w:lineRule="auto"/>
        <w:ind w:left="709"/>
      </w:pPr>
      <w:r>
        <w:t>government, university, industry and research fields work together to deliver cyber security solutions and practices.</w:t>
      </w:r>
    </w:p>
    <w:p w:rsidR="00A1463E" w:rsidRDefault="00F52429">
      <w:pPr>
        <w:pStyle w:val="BodyText"/>
        <w:spacing w:before="172" w:line="235" w:lineRule="auto"/>
        <w:ind w:left="680"/>
      </w:pPr>
      <w:r>
        <w:t xml:space="preserve">Whole of government reform is difficult, particularly when being driven by a small </w:t>
      </w:r>
      <w:proofErr w:type="spellStart"/>
      <w:r>
        <w:t>organisation</w:t>
      </w:r>
      <w:proofErr w:type="spellEnd"/>
      <w:r>
        <w:t xml:space="preserve"> with a large agenda and a </w:t>
      </w:r>
      <w:proofErr w:type="gramStart"/>
      <w:r>
        <w:t>three year</w:t>
      </w:r>
      <w:proofErr w:type="gramEnd"/>
      <w:r>
        <w:t xml:space="preserve"> lifespan. The Office of the GCIO has collaborated with and leveraged the business and technical expertise and skills of other agencies to inform the Office’s activities over the past three years.</w:t>
      </w:r>
    </w:p>
    <w:p w:rsidR="00A1463E" w:rsidRDefault="00F52429">
      <w:pPr>
        <w:pStyle w:val="BodyText"/>
        <w:spacing w:before="178" w:line="235" w:lineRule="auto"/>
        <w:ind w:left="680"/>
      </w:pPr>
      <w:r>
        <w:t xml:space="preserve">As of 1 July 2018, the Office of GCIO will become a discrete business unit within the Department of the Premier and Cabinet (DPC) and renamed the Office of Digital Government. This move will provide the Office with the mandate to drive </w:t>
      </w:r>
      <w:r>
        <w:rPr>
          <w:spacing w:val="-3"/>
        </w:rPr>
        <w:t xml:space="preserve">reform, </w:t>
      </w:r>
      <w:r>
        <w:t xml:space="preserve">including supporting the sector deliver digital services, improving cyber </w:t>
      </w:r>
      <w:r>
        <w:rPr>
          <w:spacing w:val="-3"/>
        </w:rPr>
        <w:t xml:space="preserve">security, </w:t>
      </w:r>
      <w:r>
        <w:t>facilitating data sharing,</w:t>
      </w:r>
      <w:r>
        <w:rPr>
          <w:spacing w:val="-29"/>
        </w:rPr>
        <w:t xml:space="preserve"> </w:t>
      </w:r>
      <w:r>
        <w:t>building</w:t>
      </w:r>
    </w:p>
    <w:p w:rsidR="00A1463E" w:rsidRDefault="00F52429">
      <w:pPr>
        <w:pStyle w:val="BodyText"/>
        <w:spacing w:before="3"/>
        <w:rPr>
          <w:sz w:val="8"/>
        </w:rPr>
      </w:pPr>
      <w:r>
        <w:br w:type="column"/>
      </w:r>
    </w:p>
    <w:p w:rsidR="00A1463E" w:rsidRDefault="00F52429">
      <w:pPr>
        <w:pStyle w:val="BodyText"/>
        <w:ind w:left="685"/>
        <w:rPr>
          <w:sz w:val="20"/>
        </w:rPr>
      </w:pPr>
      <w:r>
        <w:rPr>
          <w:noProof/>
          <w:sz w:val="20"/>
          <w:lang w:val="en-AU" w:eastAsia="en-AU" w:bidi="ar-SA"/>
        </w:rPr>
        <w:drawing>
          <wp:inline distT="0" distB="0" distL="0" distR="0">
            <wp:extent cx="6362961" cy="3281553"/>
            <wp:effectExtent l="0" t="0" r="0" b="0"/>
            <wp:docPr id="3" name="image3.jpeg" descr="Photo of Minister for Innovation and ICT and ECU Vice Chancellor signing the MOU between Edith Cowan University and the state of WA"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6362961" cy="3281553"/>
                    </a:xfrm>
                    <a:prstGeom prst="rect">
                      <a:avLst/>
                    </a:prstGeom>
                  </pic:spPr>
                </pic:pic>
              </a:graphicData>
            </a:graphic>
          </wp:inline>
        </w:drawing>
      </w:r>
    </w:p>
    <w:p w:rsidR="00A1463E" w:rsidRDefault="00F52429">
      <w:pPr>
        <w:spacing w:before="28" w:line="235" w:lineRule="auto"/>
        <w:ind w:left="680" w:right="626"/>
        <w:rPr>
          <w:i/>
          <w:sz w:val="20"/>
        </w:rPr>
      </w:pPr>
      <w:r>
        <w:rPr>
          <w:i/>
          <w:sz w:val="20"/>
        </w:rPr>
        <w:t>ECU Vice Chancellor Prof. Steve Chapman (L) and Minister for Innovation and ICT The Hon Dave Kelly MLA (R) signing the MOU between Edith Cowan University and the State of WA.</w:t>
      </w:r>
    </w:p>
    <w:p w:rsidR="00A1463E" w:rsidRDefault="00A1463E">
      <w:pPr>
        <w:spacing w:line="235" w:lineRule="auto"/>
        <w:rPr>
          <w:sz w:val="20"/>
        </w:rPr>
        <w:sectPr w:rsidR="00A1463E">
          <w:type w:val="continuous"/>
          <w:pgSz w:w="16840" w:h="11910" w:orient="landscape"/>
          <w:pgMar w:top="560" w:right="0" w:bottom="0" w:left="0" w:header="720" w:footer="720" w:gutter="0"/>
          <w:cols w:num="2" w:space="720" w:equalWidth="0">
            <w:col w:w="5304" w:space="77"/>
            <w:col w:w="11459"/>
          </w:cols>
        </w:sectPr>
      </w:pPr>
    </w:p>
    <w:p w:rsidR="00A1463E" w:rsidRDefault="00F52429">
      <w:pPr>
        <w:pStyle w:val="BodyText"/>
        <w:spacing w:before="7" w:line="235" w:lineRule="auto"/>
        <w:ind w:left="680" w:right="344"/>
      </w:pPr>
      <w:r>
        <w:t>the sector’s data analytics capacity to</w:t>
      </w:r>
      <w:r>
        <w:rPr>
          <w:spacing w:val="-31"/>
        </w:rPr>
        <w:t xml:space="preserve"> </w:t>
      </w:r>
      <w:r>
        <w:rPr>
          <w:spacing w:val="-2"/>
        </w:rPr>
        <w:t xml:space="preserve">inform </w:t>
      </w:r>
      <w:r>
        <w:t xml:space="preserve">policy development and service </w:t>
      </w:r>
      <w:r>
        <w:rPr>
          <w:spacing w:val="-3"/>
        </w:rPr>
        <w:t xml:space="preserve">delivery, </w:t>
      </w:r>
      <w:r>
        <w:t>and supporting the implementation of ICT procurement</w:t>
      </w:r>
      <w:r>
        <w:rPr>
          <w:spacing w:val="-1"/>
        </w:rPr>
        <w:t xml:space="preserve"> </w:t>
      </w:r>
      <w:r>
        <w:rPr>
          <w:spacing w:val="-3"/>
        </w:rPr>
        <w:t>reforms.</w:t>
      </w:r>
    </w:p>
    <w:p w:rsidR="00A1463E" w:rsidRDefault="00F52429">
      <w:pPr>
        <w:pStyle w:val="Heading2"/>
        <w:spacing w:before="165"/>
      </w:pPr>
      <w:r>
        <w:rPr>
          <w:color w:val="353434"/>
        </w:rPr>
        <w:t>Impacts of the Office of the GCIO</w:t>
      </w:r>
    </w:p>
    <w:p w:rsidR="00A1463E" w:rsidRDefault="00F52429">
      <w:pPr>
        <w:pStyle w:val="BodyText"/>
        <w:spacing w:before="34" w:line="235" w:lineRule="auto"/>
        <w:ind w:left="680" w:right="-12"/>
      </w:pPr>
      <w:r>
        <w:t>The Office of the GCIO was established on 1</w:t>
      </w:r>
      <w:r>
        <w:rPr>
          <w:spacing w:val="-31"/>
        </w:rPr>
        <w:t xml:space="preserve"> </w:t>
      </w:r>
      <w:r>
        <w:t xml:space="preserve">July 2015 from the reinvestment of $25 million from a $110 million harvest of targeted reductions in agency ICT expenditure over three years as part of a broader budget repair and </w:t>
      </w:r>
      <w:r>
        <w:rPr>
          <w:spacing w:val="-3"/>
        </w:rPr>
        <w:t xml:space="preserve">reform </w:t>
      </w:r>
      <w:r>
        <w:t xml:space="preserve">agenda. An ICT Renewal and </w:t>
      </w:r>
      <w:r>
        <w:rPr>
          <w:spacing w:val="-3"/>
        </w:rPr>
        <w:t xml:space="preserve">Reform </w:t>
      </w:r>
      <w:r>
        <w:t>Fund (IRRF) was established for the $25 million with an</w:t>
      </w:r>
      <w:r>
        <w:rPr>
          <w:spacing w:val="-25"/>
        </w:rPr>
        <w:t xml:space="preserve"> </w:t>
      </w:r>
      <w:r>
        <w:t xml:space="preserve">objective to drive and deliver digital </w:t>
      </w:r>
      <w:r>
        <w:rPr>
          <w:spacing w:val="-3"/>
        </w:rPr>
        <w:t xml:space="preserve">reform </w:t>
      </w:r>
      <w:r>
        <w:t>in the</w:t>
      </w:r>
      <w:r>
        <w:rPr>
          <w:spacing w:val="-12"/>
        </w:rPr>
        <w:t xml:space="preserve"> </w:t>
      </w:r>
      <w:r>
        <w:rPr>
          <w:spacing w:val="-6"/>
        </w:rPr>
        <w:t>WA</w:t>
      </w:r>
    </w:p>
    <w:p w:rsidR="00A1463E" w:rsidRDefault="00F52429">
      <w:pPr>
        <w:pStyle w:val="BodyText"/>
        <w:spacing w:before="74" w:line="235" w:lineRule="auto"/>
        <w:ind w:left="661" w:right="6"/>
      </w:pPr>
      <w:r>
        <w:br w:type="column"/>
      </w:r>
      <w:r>
        <w:t>public sector. The funding comprised operating expenses for the Office of $9.93 million and a discretionary component of $15.07 million for whole of government ICT initiatives.</w:t>
      </w:r>
    </w:p>
    <w:p w:rsidR="00A1463E" w:rsidRDefault="00F52429">
      <w:pPr>
        <w:pStyle w:val="BodyText"/>
        <w:spacing w:before="117" w:line="235" w:lineRule="auto"/>
        <w:ind w:left="661" w:right="241"/>
      </w:pPr>
      <w:r>
        <w:t>The Government’s investment in the Office of the GCIO has delivered clear benefits and outcomes for the community since 2015.</w:t>
      </w:r>
    </w:p>
    <w:p w:rsidR="00A1463E" w:rsidRDefault="00F52429">
      <w:pPr>
        <w:pStyle w:val="BodyText"/>
        <w:spacing w:before="173" w:line="235" w:lineRule="auto"/>
        <w:ind w:left="661" w:right="-3"/>
      </w:pPr>
      <w:r>
        <w:rPr>
          <w:spacing w:val="-4"/>
        </w:rPr>
        <w:t xml:space="preserve">At </w:t>
      </w:r>
      <w:r>
        <w:t xml:space="preserve">the time the Office of the GCIO was established, </w:t>
      </w:r>
      <w:r>
        <w:rPr>
          <w:spacing w:val="-3"/>
        </w:rPr>
        <w:t xml:space="preserve">Western </w:t>
      </w:r>
      <w:r>
        <w:t>Australia had the lowest score in the country on the Intermedium</w:t>
      </w:r>
      <w:r>
        <w:rPr>
          <w:spacing w:val="-31"/>
        </w:rPr>
        <w:t xml:space="preserve"> </w:t>
      </w:r>
      <w:r>
        <w:t>Digital Readiness Index, at 3.5/10</w:t>
      </w:r>
      <w:r>
        <w:rPr>
          <w:position w:val="8"/>
          <w:sz w:val="14"/>
        </w:rPr>
        <w:t>1</w:t>
      </w:r>
      <w:r>
        <w:t>. By June 2017,</w:t>
      </w:r>
      <w:r>
        <w:rPr>
          <w:spacing w:val="-17"/>
        </w:rPr>
        <w:t xml:space="preserve"> </w:t>
      </w:r>
      <w:r>
        <w:t>this</w:t>
      </w:r>
    </w:p>
    <w:p w:rsidR="00A1463E" w:rsidRDefault="00A1463E">
      <w:pPr>
        <w:pStyle w:val="BodyText"/>
        <w:spacing w:before="5"/>
        <w:rPr>
          <w:sz w:val="5"/>
        </w:rPr>
      </w:pPr>
    </w:p>
    <w:p w:rsidR="00A1463E" w:rsidRDefault="00A1463E">
      <w:pPr>
        <w:pStyle w:val="BodyText"/>
        <w:spacing w:line="20" w:lineRule="exact"/>
        <w:ind w:left="651"/>
        <w:rPr>
          <w:sz w:val="2"/>
        </w:rPr>
      </w:pPr>
    </w:p>
    <w:p w:rsidR="00A1463E" w:rsidRDefault="00F52429" w:rsidP="004151B8">
      <w:pPr>
        <w:pStyle w:val="ListParagraph"/>
        <w:numPr>
          <w:ilvl w:val="0"/>
          <w:numId w:val="20"/>
        </w:numPr>
        <w:tabs>
          <w:tab w:val="left" w:pos="809"/>
        </w:tabs>
        <w:spacing w:before="44" w:line="235" w:lineRule="auto"/>
        <w:ind w:right="330" w:firstLine="0"/>
        <w:rPr>
          <w:sz w:val="20"/>
        </w:rPr>
      </w:pPr>
      <w:r>
        <w:rPr>
          <w:sz w:val="20"/>
        </w:rPr>
        <w:t>Intermedium Digital Government Readiness</w:t>
      </w:r>
      <w:r>
        <w:rPr>
          <w:spacing w:val="-23"/>
          <w:sz w:val="20"/>
        </w:rPr>
        <w:t xml:space="preserve"> </w:t>
      </w:r>
      <w:r>
        <w:rPr>
          <w:sz w:val="20"/>
        </w:rPr>
        <w:t xml:space="preserve">Report </w:t>
      </w:r>
      <w:hyperlink r:id="rId13">
        <w:r>
          <w:rPr>
            <w:sz w:val="20"/>
          </w:rPr>
          <w:t>June 2017,</w:t>
        </w:r>
        <w:r>
          <w:rPr>
            <w:spacing w:val="-13"/>
            <w:sz w:val="20"/>
          </w:rPr>
          <w:t xml:space="preserve"> </w:t>
        </w:r>
        <w:r>
          <w:rPr>
            <w:sz w:val="20"/>
          </w:rPr>
          <w:t>http://indaily.com.au/wp-content/up-</w:t>
        </w:r>
      </w:hyperlink>
    </w:p>
    <w:p w:rsidR="00A1463E" w:rsidRDefault="00F52429" w:rsidP="00C86A99">
      <w:pPr>
        <w:pStyle w:val="BodyText"/>
        <w:spacing w:before="79" w:after="240" w:line="235" w:lineRule="auto"/>
        <w:ind w:left="680" w:right="615"/>
        <w:rPr>
          <w:sz w:val="23"/>
        </w:rPr>
      </w:pPr>
      <w:r>
        <w:br w:type="column"/>
      </w:r>
      <w:r>
        <w:t>score had increased to 5.9/10 reflecting the strategy, policies, whole of sector governance, service delivery approach and procurement reforms implemented in the WA public sector</w:t>
      </w:r>
      <w:r>
        <w:rPr>
          <w:position w:val="8"/>
          <w:sz w:val="14"/>
        </w:rPr>
        <w:t>2</w:t>
      </w:r>
      <w:r>
        <w:t xml:space="preserve">. The achievements of the Office of the GCIO are </w:t>
      </w:r>
      <w:proofErr w:type="spellStart"/>
      <w:r>
        <w:t>summarised</w:t>
      </w:r>
      <w:proofErr w:type="spellEnd"/>
      <w:r>
        <w:t xml:space="preserve"> in the following timeline.</w:t>
      </w:r>
      <w:r w:rsidR="00C86A99">
        <w:rPr>
          <w:sz w:val="23"/>
        </w:rPr>
        <w:t xml:space="preserve"> </w:t>
      </w:r>
    </w:p>
    <w:p w:rsidR="00A1463E" w:rsidRDefault="00417327">
      <w:pPr>
        <w:spacing w:before="14" w:line="235" w:lineRule="auto"/>
        <w:ind w:left="680" w:right="615"/>
        <w:rPr>
          <w:sz w:val="20"/>
        </w:rPr>
      </w:pPr>
      <w:hyperlink r:id="rId14">
        <w:r w:rsidR="00F52429">
          <w:rPr>
            <w:sz w:val="20"/>
          </w:rPr>
          <w:t>loads/2017/07/INTERMEDIUM_ReadinessReport_2017. pdf</w:t>
        </w:r>
      </w:hyperlink>
    </w:p>
    <w:p w:rsidR="00A1463E" w:rsidRDefault="00F52429" w:rsidP="004151B8">
      <w:pPr>
        <w:pStyle w:val="ListParagraph"/>
        <w:numPr>
          <w:ilvl w:val="0"/>
          <w:numId w:val="20"/>
        </w:numPr>
        <w:tabs>
          <w:tab w:val="left" w:pos="827"/>
        </w:tabs>
        <w:spacing w:line="242" w:lineRule="exact"/>
        <w:ind w:left="826" w:hanging="146"/>
        <w:rPr>
          <w:sz w:val="20"/>
        </w:rPr>
      </w:pPr>
      <w:r>
        <w:rPr>
          <w:sz w:val="20"/>
        </w:rPr>
        <w:t>ibid</w:t>
      </w:r>
    </w:p>
    <w:p w:rsidR="00A1463E" w:rsidRDefault="00A1463E">
      <w:pPr>
        <w:spacing w:line="242" w:lineRule="exact"/>
        <w:rPr>
          <w:sz w:val="20"/>
        </w:rPr>
        <w:sectPr w:rsidR="00A1463E">
          <w:type w:val="continuous"/>
          <w:pgSz w:w="16840" w:h="11910" w:orient="landscape"/>
          <w:pgMar w:top="560" w:right="0" w:bottom="0" w:left="0" w:header="720" w:footer="720" w:gutter="0"/>
          <w:cols w:num="3" w:space="720" w:equalWidth="0">
            <w:col w:w="5365" w:space="40"/>
            <w:col w:w="5292" w:space="75"/>
            <w:col w:w="6068"/>
          </w:cols>
        </w:sectPr>
      </w:pPr>
    </w:p>
    <w:p w:rsidR="00A1463E" w:rsidRDefault="00A1463E">
      <w:pPr>
        <w:spacing w:line="235" w:lineRule="auto"/>
        <w:sectPr w:rsidR="00A1463E">
          <w:type w:val="continuous"/>
          <w:pgSz w:w="16840" w:h="11910" w:orient="landscape"/>
          <w:pgMar w:top="560" w:right="0" w:bottom="0" w:left="0" w:header="720" w:footer="720" w:gutter="0"/>
          <w:cols w:num="3" w:space="720" w:equalWidth="0">
            <w:col w:w="10761" w:space="40"/>
            <w:col w:w="1965" w:space="39"/>
            <w:col w:w="4035"/>
          </w:cols>
        </w:sectPr>
      </w:pPr>
    </w:p>
    <w:p w:rsidR="00A1463E" w:rsidRDefault="00A1463E">
      <w:pPr>
        <w:spacing w:line="230" w:lineRule="auto"/>
        <w:sectPr w:rsidR="00A1463E">
          <w:type w:val="continuous"/>
          <w:pgSz w:w="16840" w:h="11910" w:orient="landscape"/>
          <w:pgMar w:top="560" w:right="0" w:bottom="0" w:left="0" w:header="720" w:footer="720" w:gutter="0"/>
          <w:cols w:space="720"/>
        </w:sectPr>
      </w:pPr>
      <w:bookmarkStart w:id="4" w:name="_bookmark3"/>
      <w:bookmarkEnd w:id="4"/>
    </w:p>
    <w:p w:rsidR="00A1463E" w:rsidRDefault="00A1463E">
      <w:pPr>
        <w:pStyle w:val="BodyText"/>
        <w:spacing w:before="5"/>
        <w:rPr>
          <w:sz w:val="8"/>
        </w:rPr>
      </w:pPr>
      <w:bookmarkStart w:id="5" w:name="operational_structure"/>
      <w:bookmarkStart w:id="6" w:name="_bookmark4"/>
      <w:bookmarkEnd w:id="5"/>
      <w:bookmarkEnd w:id="6"/>
    </w:p>
    <w:p w:rsidR="00A1463E" w:rsidRDefault="00A1463E" w:rsidP="000D1FAF">
      <w:pPr>
        <w:pStyle w:val="Heading2"/>
        <w:tabs>
          <w:tab w:val="left" w:pos="16157"/>
        </w:tabs>
        <w:spacing w:before="35"/>
        <w:ind w:left="665"/>
        <w:rPr>
          <w:sz w:val="21"/>
        </w:rPr>
        <w:sectPr w:rsidR="00A1463E">
          <w:headerReference w:type="default" r:id="rId15"/>
          <w:pgSz w:w="16840" w:h="11910" w:orient="landscape"/>
          <w:pgMar w:top="220" w:right="0" w:bottom="360" w:left="0" w:header="29" w:footer="145" w:gutter="0"/>
          <w:cols w:space="720"/>
        </w:sectPr>
      </w:pPr>
    </w:p>
    <w:p w:rsidR="000D1FAF" w:rsidRDefault="00D2471E" w:rsidP="00D2471E">
      <w:pPr>
        <w:pStyle w:val="Heading1"/>
      </w:pPr>
      <w:r>
        <w:t>Operational Structure</w:t>
      </w:r>
    </w:p>
    <w:p w:rsidR="00D2471E" w:rsidRDefault="00D2471E">
      <w:pPr>
        <w:spacing w:before="27"/>
        <w:ind w:left="680"/>
        <w:rPr>
          <w:color w:val="353434"/>
          <w:sz w:val="36"/>
        </w:rPr>
      </w:pPr>
    </w:p>
    <w:p w:rsidR="00A1463E" w:rsidRDefault="00F52429" w:rsidP="003B1E41">
      <w:pPr>
        <w:pStyle w:val="Heading2"/>
      </w:pPr>
      <w:r>
        <w:t>Our Vision</w:t>
      </w:r>
    </w:p>
    <w:p w:rsidR="00A1463E" w:rsidRDefault="00F52429">
      <w:pPr>
        <w:pStyle w:val="BodyText"/>
        <w:spacing w:before="133"/>
        <w:ind w:left="680"/>
      </w:pPr>
      <w:r>
        <w:t>The creation of a simple, connected and digital public sector.</w:t>
      </w:r>
    </w:p>
    <w:p w:rsidR="00A1463E" w:rsidRDefault="00F52429" w:rsidP="003B1E41">
      <w:pPr>
        <w:pStyle w:val="Heading2"/>
      </w:pPr>
      <w:r>
        <w:t>Our purpose</w:t>
      </w:r>
    </w:p>
    <w:p w:rsidR="00A1463E" w:rsidRDefault="00F52429">
      <w:pPr>
        <w:pStyle w:val="BodyText"/>
        <w:spacing w:before="138" w:line="235" w:lineRule="auto"/>
        <w:ind w:left="680"/>
        <w:jc w:val="both"/>
      </w:pPr>
      <w:r>
        <w:rPr>
          <w:spacing w:val="-11"/>
        </w:rPr>
        <w:t>To</w:t>
      </w:r>
      <w:r>
        <w:rPr>
          <w:spacing w:val="-23"/>
        </w:rPr>
        <w:t xml:space="preserve"> </w:t>
      </w:r>
      <w:r>
        <w:t>provide</w:t>
      </w:r>
      <w:r>
        <w:rPr>
          <w:spacing w:val="-23"/>
        </w:rPr>
        <w:t xml:space="preserve"> </w:t>
      </w:r>
      <w:r>
        <w:t>leadership</w:t>
      </w:r>
      <w:r>
        <w:rPr>
          <w:spacing w:val="-23"/>
        </w:rPr>
        <w:t xml:space="preserve"> </w:t>
      </w:r>
      <w:r>
        <w:rPr>
          <w:spacing w:val="-3"/>
        </w:rPr>
        <w:t>for</w:t>
      </w:r>
      <w:r>
        <w:rPr>
          <w:spacing w:val="-23"/>
        </w:rPr>
        <w:t xml:space="preserve"> </w:t>
      </w:r>
      <w:r>
        <w:t>ICT</w:t>
      </w:r>
      <w:r>
        <w:rPr>
          <w:spacing w:val="-23"/>
        </w:rPr>
        <w:t xml:space="preserve"> </w:t>
      </w:r>
      <w:r>
        <w:t>in</w:t>
      </w:r>
      <w:r>
        <w:rPr>
          <w:spacing w:val="-23"/>
        </w:rPr>
        <w:t xml:space="preserve"> </w:t>
      </w:r>
      <w:r>
        <w:t>the</w:t>
      </w:r>
      <w:r>
        <w:rPr>
          <w:spacing w:val="-23"/>
        </w:rPr>
        <w:t xml:space="preserve"> </w:t>
      </w:r>
      <w:r>
        <w:t>public</w:t>
      </w:r>
      <w:r>
        <w:rPr>
          <w:spacing w:val="-23"/>
        </w:rPr>
        <w:t xml:space="preserve"> </w:t>
      </w:r>
      <w:r>
        <w:rPr>
          <w:spacing w:val="-5"/>
        </w:rPr>
        <w:t>sector.</w:t>
      </w:r>
      <w:r>
        <w:rPr>
          <w:spacing w:val="-23"/>
        </w:rPr>
        <w:t xml:space="preserve"> </w:t>
      </w:r>
      <w:r>
        <w:t>This</w:t>
      </w:r>
      <w:r>
        <w:rPr>
          <w:spacing w:val="-23"/>
        </w:rPr>
        <w:t xml:space="preserve"> </w:t>
      </w:r>
      <w:r>
        <w:t>translates</w:t>
      </w:r>
      <w:r>
        <w:rPr>
          <w:spacing w:val="-23"/>
        </w:rPr>
        <w:t xml:space="preserve"> </w:t>
      </w:r>
      <w:r>
        <w:t>into</w:t>
      </w:r>
      <w:r>
        <w:rPr>
          <w:spacing w:val="-23"/>
        </w:rPr>
        <w:t xml:space="preserve"> </w:t>
      </w:r>
      <w:r>
        <w:t xml:space="preserve">improved services, </w:t>
      </w:r>
      <w:r>
        <w:rPr>
          <w:spacing w:val="-3"/>
        </w:rPr>
        <w:t xml:space="preserve">transparency, </w:t>
      </w:r>
      <w:r>
        <w:t xml:space="preserve">governance, </w:t>
      </w:r>
      <w:r>
        <w:rPr>
          <w:spacing w:val="-3"/>
        </w:rPr>
        <w:t xml:space="preserve">delivery, consistency, commonality, </w:t>
      </w:r>
      <w:r>
        <w:t>savings, efficiencies and</w:t>
      </w:r>
      <w:r>
        <w:rPr>
          <w:spacing w:val="-2"/>
        </w:rPr>
        <w:t xml:space="preserve"> </w:t>
      </w:r>
      <w:r>
        <w:rPr>
          <w:spacing w:val="-3"/>
        </w:rPr>
        <w:t>reform.</w:t>
      </w:r>
    </w:p>
    <w:p w:rsidR="00A1463E" w:rsidRDefault="00F52429" w:rsidP="003B1E41">
      <w:pPr>
        <w:pStyle w:val="Heading2"/>
      </w:pPr>
      <w:r>
        <w:t>Our objectives</w:t>
      </w:r>
    </w:p>
    <w:p w:rsidR="00A1463E" w:rsidRDefault="00F52429">
      <w:pPr>
        <w:pStyle w:val="BodyText"/>
        <w:spacing w:before="138" w:line="235" w:lineRule="auto"/>
        <w:ind w:left="680"/>
        <w:jc w:val="both"/>
      </w:pPr>
      <w:r>
        <w:t xml:space="preserve">To collaborate with government agencies and industry to </w:t>
      </w:r>
      <w:proofErr w:type="spellStart"/>
      <w:r>
        <w:t>stabilise</w:t>
      </w:r>
      <w:proofErr w:type="spellEnd"/>
      <w:r>
        <w:t xml:space="preserve"> cost, increase value-for-money and </w:t>
      </w:r>
      <w:proofErr w:type="spellStart"/>
      <w:r>
        <w:t>minimise</w:t>
      </w:r>
      <w:proofErr w:type="spellEnd"/>
      <w:r>
        <w:t xml:space="preserve"> risk in the delivery of ICT across the public sector.</w:t>
      </w:r>
    </w:p>
    <w:p w:rsidR="00A1463E" w:rsidRDefault="00A1463E">
      <w:pPr>
        <w:pStyle w:val="BodyText"/>
        <w:spacing w:before="7"/>
        <w:rPr>
          <w:sz w:val="19"/>
        </w:rPr>
      </w:pPr>
    </w:p>
    <w:p w:rsidR="00A1463E" w:rsidRDefault="00F52429" w:rsidP="003B1E41">
      <w:pPr>
        <w:pStyle w:val="Heading2"/>
      </w:pPr>
      <w:r>
        <w:t>We will:</w:t>
      </w:r>
    </w:p>
    <w:p w:rsidR="00A1463E" w:rsidRDefault="00F52429" w:rsidP="004151B8">
      <w:pPr>
        <w:pStyle w:val="ListParagraph"/>
        <w:numPr>
          <w:ilvl w:val="0"/>
          <w:numId w:val="19"/>
        </w:numPr>
        <w:tabs>
          <w:tab w:val="left" w:pos="881"/>
        </w:tabs>
        <w:spacing w:before="134" w:line="230" w:lineRule="auto"/>
        <w:ind w:right="1307" w:hanging="170"/>
      </w:pPr>
      <w:r>
        <w:t>lead, influence and advise on governance of ICT projects</w:t>
      </w:r>
      <w:r>
        <w:rPr>
          <w:spacing w:val="-39"/>
        </w:rPr>
        <w:t xml:space="preserve"> </w:t>
      </w:r>
      <w:r>
        <w:t>and implementations</w:t>
      </w:r>
    </w:p>
    <w:p w:rsidR="00A1463E" w:rsidRDefault="00F52429" w:rsidP="004151B8">
      <w:pPr>
        <w:pStyle w:val="ListParagraph"/>
        <w:numPr>
          <w:ilvl w:val="0"/>
          <w:numId w:val="19"/>
        </w:numPr>
        <w:tabs>
          <w:tab w:val="left" w:pos="881"/>
        </w:tabs>
        <w:spacing w:before="168" w:line="230" w:lineRule="auto"/>
        <w:ind w:right="12" w:hanging="170"/>
      </w:pPr>
      <w:r>
        <w:t xml:space="preserve">establish and drive a whole-of-government ICT </w:t>
      </w:r>
      <w:r>
        <w:rPr>
          <w:spacing w:val="-4"/>
        </w:rPr>
        <w:t xml:space="preserve">strategy, </w:t>
      </w:r>
      <w:r>
        <w:t>policy and</w:t>
      </w:r>
      <w:r>
        <w:rPr>
          <w:spacing w:val="-28"/>
        </w:rPr>
        <w:t xml:space="preserve"> </w:t>
      </w:r>
      <w:r>
        <w:rPr>
          <w:spacing w:val="-3"/>
        </w:rPr>
        <w:t xml:space="preserve">reform </w:t>
      </w:r>
      <w:r>
        <w:t>agenda</w:t>
      </w:r>
    </w:p>
    <w:p w:rsidR="00A1463E" w:rsidRDefault="00F52429" w:rsidP="004151B8">
      <w:pPr>
        <w:pStyle w:val="ListParagraph"/>
        <w:numPr>
          <w:ilvl w:val="0"/>
          <w:numId w:val="19"/>
        </w:numPr>
        <w:tabs>
          <w:tab w:val="left" w:pos="881"/>
        </w:tabs>
        <w:spacing w:before="168" w:line="230" w:lineRule="auto"/>
        <w:ind w:right="521" w:hanging="170"/>
      </w:pPr>
      <w:r>
        <w:rPr>
          <w:spacing w:val="-3"/>
        </w:rPr>
        <w:t xml:space="preserve">identify </w:t>
      </w:r>
      <w:r>
        <w:t xml:space="preserve">and </w:t>
      </w:r>
      <w:r>
        <w:rPr>
          <w:spacing w:val="-3"/>
        </w:rPr>
        <w:t xml:space="preserve">advise </w:t>
      </w:r>
      <w:r>
        <w:t xml:space="preserve">on ICT </w:t>
      </w:r>
      <w:r>
        <w:rPr>
          <w:spacing w:val="-4"/>
        </w:rPr>
        <w:t xml:space="preserve">innovations </w:t>
      </w:r>
      <w:r>
        <w:rPr>
          <w:spacing w:val="-3"/>
        </w:rPr>
        <w:t xml:space="preserve">which will support </w:t>
      </w:r>
      <w:r>
        <w:t xml:space="preserve">and </w:t>
      </w:r>
      <w:r>
        <w:rPr>
          <w:spacing w:val="-3"/>
        </w:rPr>
        <w:t xml:space="preserve">enhance </w:t>
      </w:r>
      <w:r>
        <w:rPr>
          <w:spacing w:val="-4"/>
        </w:rPr>
        <w:t xml:space="preserve">government </w:t>
      </w:r>
      <w:r>
        <w:rPr>
          <w:spacing w:val="-3"/>
        </w:rPr>
        <w:t xml:space="preserve">services to meet business </w:t>
      </w:r>
      <w:r>
        <w:t xml:space="preserve">and </w:t>
      </w:r>
      <w:r>
        <w:rPr>
          <w:spacing w:val="-3"/>
        </w:rPr>
        <w:t>community</w:t>
      </w:r>
      <w:r>
        <w:rPr>
          <w:spacing w:val="-16"/>
        </w:rPr>
        <w:t xml:space="preserve"> </w:t>
      </w:r>
      <w:r>
        <w:rPr>
          <w:spacing w:val="-3"/>
        </w:rPr>
        <w:t>needs</w:t>
      </w:r>
    </w:p>
    <w:p w:rsidR="00A1463E" w:rsidRDefault="00F52429" w:rsidP="004151B8">
      <w:pPr>
        <w:pStyle w:val="ListParagraph"/>
        <w:numPr>
          <w:ilvl w:val="0"/>
          <w:numId w:val="19"/>
        </w:numPr>
        <w:tabs>
          <w:tab w:val="left" w:pos="881"/>
        </w:tabs>
        <w:spacing w:before="158"/>
        <w:ind w:hanging="170"/>
      </w:pPr>
      <w:r>
        <w:t>promote</w:t>
      </w:r>
      <w:r>
        <w:rPr>
          <w:spacing w:val="-8"/>
        </w:rPr>
        <w:t xml:space="preserve"> </w:t>
      </w:r>
      <w:r>
        <w:t>a</w:t>
      </w:r>
      <w:r>
        <w:rPr>
          <w:spacing w:val="-9"/>
        </w:rPr>
        <w:t xml:space="preserve"> </w:t>
      </w:r>
      <w:proofErr w:type="spellStart"/>
      <w:r>
        <w:t>standardised</w:t>
      </w:r>
      <w:proofErr w:type="spellEnd"/>
      <w:r>
        <w:rPr>
          <w:spacing w:val="-9"/>
        </w:rPr>
        <w:t xml:space="preserve"> </w:t>
      </w:r>
      <w:r>
        <w:t>approach</w:t>
      </w:r>
      <w:r>
        <w:rPr>
          <w:spacing w:val="-9"/>
        </w:rPr>
        <w:t xml:space="preserve"> </w:t>
      </w:r>
      <w:r>
        <w:t>to</w:t>
      </w:r>
      <w:r>
        <w:rPr>
          <w:spacing w:val="-9"/>
        </w:rPr>
        <w:t xml:space="preserve"> </w:t>
      </w:r>
      <w:r>
        <w:t>ICT</w:t>
      </w:r>
      <w:r>
        <w:rPr>
          <w:spacing w:val="-9"/>
        </w:rPr>
        <w:t xml:space="preserve"> </w:t>
      </w:r>
      <w:r>
        <w:t>across</w:t>
      </w:r>
      <w:r>
        <w:rPr>
          <w:spacing w:val="-9"/>
        </w:rPr>
        <w:t xml:space="preserve"> </w:t>
      </w:r>
      <w:r>
        <w:t>government</w:t>
      </w:r>
    </w:p>
    <w:p w:rsidR="00A1463E" w:rsidRDefault="00F52429" w:rsidP="004151B8">
      <w:pPr>
        <w:pStyle w:val="ListParagraph"/>
        <w:numPr>
          <w:ilvl w:val="0"/>
          <w:numId w:val="19"/>
        </w:numPr>
        <w:tabs>
          <w:tab w:val="left" w:pos="881"/>
        </w:tabs>
        <w:spacing w:before="166" w:line="230" w:lineRule="auto"/>
        <w:ind w:right="360" w:hanging="170"/>
      </w:pPr>
      <w:r>
        <w:t>implement</w:t>
      </w:r>
      <w:r>
        <w:rPr>
          <w:spacing w:val="-7"/>
        </w:rPr>
        <w:t xml:space="preserve"> </w:t>
      </w:r>
      <w:r>
        <w:t>frameworks</w:t>
      </w:r>
      <w:r>
        <w:rPr>
          <w:spacing w:val="-7"/>
        </w:rPr>
        <w:t xml:space="preserve"> </w:t>
      </w:r>
      <w:r>
        <w:t>which</w:t>
      </w:r>
      <w:r>
        <w:rPr>
          <w:spacing w:val="-7"/>
        </w:rPr>
        <w:t xml:space="preserve"> </w:t>
      </w:r>
      <w:r>
        <w:t>improve</w:t>
      </w:r>
      <w:r>
        <w:rPr>
          <w:spacing w:val="-7"/>
        </w:rPr>
        <w:t xml:space="preserve"> </w:t>
      </w:r>
      <w:r>
        <w:t>public</w:t>
      </w:r>
      <w:r>
        <w:rPr>
          <w:spacing w:val="-7"/>
        </w:rPr>
        <w:t xml:space="preserve"> </w:t>
      </w:r>
      <w:r>
        <w:t>sector</w:t>
      </w:r>
      <w:r>
        <w:rPr>
          <w:spacing w:val="-7"/>
        </w:rPr>
        <w:t xml:space="preserve"> </w:t>
      </w:r>
      <w:r>
        <w:t>ICT</w:t>
      </w:r>
      <w:r>
        <w:rPr>
          <w:spacing w:val="-7"/>
        </w:rPr>
        <w:t xml:space="preserve"> </w:t>
      </w:r>
      <w:r>
        <w:t>capability</w:t>
      </w:r>
      <w:r>
        <w:rPr>
          <w:spacing w:val="-7"/>
        </w:rPr>
        <w:t xml:space="preserve"> </w:t>
      </w:r>
      <w:r>
        <w:t>and capacity</w:t>
      </w:r>
    </w:p>
    <w:p w:rsidR="000D1FAF" w:rsidRDefault="00F52429">
      <w:pPr>
        <w:pStyle w:val="Heading1"/>
        <w:ind w:left="637"/>
      </w:pPr>
      <w:r>
        <w:br w:type="column"/>
      </w:r>
    </w:p>
    <w:p w:rsidR="00D2471E" w:rsidRDefault="00D2471E">
      <w:pPr>
        <w:pStyle w:val="Heading1"/>
        <w:ind w:left="637"/>
        <w:rPr>
          <w:color w:val="353434"/>
        </w:rPr>
      </w:pPr>
    </w:p>
    <w:p w:rsidR="00A1463E" w:rsidRDefault="00F52429" w:rsidP="003B1E41">
      <w:pPr>
        <w:pStyle w:val="Heading2"/>
      </w:pPr>
      <w:r>
        <w:t>Our Values</w:t>
      </w:r>
    </w:p>
    <w:p w:rsidR="00A1463E" w:rsidRDefault="00F52429">
      <w:pPr>
        <w:pStyle w:val="BodyText"/>
        <w:spacing w:before="133"/>
        <w:ind w:left="637"/>
      </w:pPr>
      <w:r>
        <w:t>The Office of the GCIO is motivated by the following values:</w:t>
      </w:r>
    </w:p>
    <w:p w:rsidR="00A1463E" w:rsidRDefault="00F52429" w:rsidP="004151B8">
      <w:pPr>
        <w:pStyle w:val="ListParagraph"/>
        <w:numPr>
          <w:ilvl w:val="0"/>
          <w:numId w:val="19"/>
        </w:numPr>
        <w:tabs>
          <w:tab w:val="left" w:pos="838"/>
        </w:tabs>
        <w:spacing w:before="101" w:line="290" w:lineRule="exact"/>
        <w:ind w:left="837" w:hanging="170"/>
      </w:pPr>
      <w:r>
        <w:rPr>
          <w:color w:val="353434"/>
        </w:rPr>
        <w:t>Accountability</w:t>
      </w:r>
    </w:p>
    <w:p w:rsidR="00A1463E" w:rsidRDefault="00F52429">
      <w:pPr>
        <w:pStyle w:val="BodyText"/>
        <w:spacing w:line="290" w:lineRule="exact"/>
        <w:ind w:left="864"/>
      </w:pPr>
      <w:r>
        <w:t>We ‘walk the talk’ and do what we say we will</w:t>
      </w:r>
    </w:p>
    <w:p w:rsidR="00A1463E" w:rsidRDefault="00F52429" w:rsidP="004151B8">
      <w:pPr>
        <w:pStyle w:val="ListParagraph"/>
        <w:numPr>
          <w:ilvl w:val="0"/>
          <w:numId w:val="19"/>
        </w:numPr>
        <w:tabs>
          <w:tab w:val="left" w:pos="839"/>
        </w:tabs>
        <w:spacing w:before="157" w:line="290" w:lineRule="exact"/>
        <w:ind w:left="838"/>
      </w:pPr>
      <w:r>
        <w:rPr>
          <w:color w:val="353434"/>
        </w:rPr>
        <w:t>Empowerment</w:t>
      </w:r>
    </w:p>
    <w:p w:rsidR="00A1463E" w:rsidRDefault="00F52429">
      <w:pPr>
        <w:pStyle w:val="BodyText"/>
        <w:spacing w:line="290" w:lineRule="exact"/>
        <w:ind w:left="808"/>
      </w:pPr>
      <w:r>
        <w:t>We give people the tools to help themselves to deliver better services</w:t>
      </w:r>
    </w:p>
    <w:p w:rsidR="00A1463E" w:rsidRDefault="00F52429" w:rsidP="004151B8">
      <w:pPr>
        <w:pStyle w:val="ListParagraph"/>
        <w:numPr>
          <w:ilvl w:val="0"/>
          <w:numId w:val="19"/>
        </w:numPr>
        <w:tabs>
          <w:tab w:val="left" w:pos="839"/>
        </w:tabs>
        <w:spacing w:before="157" w:line="290" w:lineRule="exact"/>
        <w:ind w:left="838"/>
      </w:pPr>
      <w:r>
        <w:rPr>
          <w:color w:val="353434"/>
        </w:rPr>
        <w:t>Efficiency</w:t>
      </w:r>
    </w:p>
    <w:p w:rsidR="00A1463E" w:rsidRDefault="00F52429">
      <w:pPr>
        <w:pStyle w:val="BodyText"/>
        <w:spacing w:line="290" w:lineRule="exact"/>
        <w:ind w:left="808"/>
      </w:pPr>
      <w:r>
        <w:t>We find the best route from ideas to action</w:t>
      </w:r>
    </w:p>
    <w:p w:rsidR="00A1463E" w:rsidRDefault="00F52429" w:rsidP="004151B8">
      <w:pPr>
        <w:pStyle w:val="ListParagraph"/>
        <w:numPr>
          <w:ilvl w:val="0"/>
          <w:numId w:val="19"/>
        </w:numPr>
        <w:tabs>
          <w:tab w:val="left" w:pos="839"/>
        </w:tabs>
        <w:spacing w:before="157" w:line="290" w:lineRule="exact"/>
        <w:ind w:left="838"/>
      </w:pPr>
      <w:r>
        <w:rPr>
          <w:color w:val="353434"/>
          <w:spacing w:val="-4"/>
        </w:rPr>
        <w:t>Teamwork</w:t>
      </w:r>
    </w:p>
    <w:p w:rsidR="00A1463E" w:rsidRDefault="00F52429">
      <w:pPr>
        <w:pStyle w:val="BodyText"/>
        <w:spacing w:line="290" w:lineRule="exact"/>
        <w:ind w:left="808"/>
      </w:pPr>
      <w:r>
        <w:t>We value a diverse range of input</w:t>
      </w:r>
    </w:p>
    <w:p w:rsidR="00A1463E" w:rsidRDefault="00F52429" w:rsidP="004151B8">
      <w:pPr>
        <w:pStyle w:val="ListParagraph"/>
        <w:numPr>
          <w:ilvl w:val="0"/>
          <w:numId w:val="19"/>
        </w:numPr>
        <w:tabs>
          <w:tab w:val="left" w:pos="839"/>
        </w:tabs>
        <w:spacing w:before="100" w:line="290" w:lineRule="exact"/>
        <w:ind w:left="838"/>
      </w:pPr>
      <w:r>
        <w:rPr>
          <w:color w:val="353434"/>
        </w:rPr>
        <w:t>Vision</w:t>
      </w:r>
    </w:p>
    <w:p w:rsidR="00A1463E" w:rsidRDefault="00F52429">
      <w:pPr>
        <w:pStyle w:val="BodyText"/>
        <w:spacing w:line="290" w:lineRule="exact"/>
        <w:ind w:left="808"/>
      </w:pPr>
      <w:r>
        <w:t>We look ahead to what can be done better</w:t>
      </w:r>
    </w:p>
    <w:p w:rsidR="00A1463E" w:rsidRDefault="00F52429" w:rsidP="004151B8">
      <w:pPr>
        <w:pStyle w:val="ListParagraph"/>
        <w:numPr>
          <w:ilvl w:val="0"/>
          <w:numId w:val="19"/>
        </w:numPr>
        <w:tabs>
          <w:tab w:val="left" w:pos="839"/>
        </w:tabs>
        <w:spacing w:before="101" w:line="290" w:lineRule="exact"/>
        <w:ind w:left="838"/>
      </w:pPr>
      <w:r>
        <w:rPr>
          <w:color w:val="353434"/>
        </w:rPr>
        <w:t>Communication</w:t>
      </w:r>
    </w:p>
    <w:p w:rsidR="00A1463E" w:rsidRDefault="00F52429">
      <w:pPr>
        <w:pStyle w:val="BodyText"/>
        <w:spacing w:line="290" w:lineRule="exact"/>
        <w:ind w:left="808"/>
      </w:pPr>
      <w:r>
        <w:t>We are transparent and clear in our language.</w:t>
      </w:r>
    </w:p>
    <w:p w:rsidR="00A1463E" w:rsidRDefault="00A1463E">
      <w:pPr>
        <w:spacing w:line="290" w:lineRule="exact"/>
        <w:sectPr w:rsidR="00A1463E">
          <w:type w:val="continuous"/>
          <w:pgSz w:w="16840" w:h="11910" w:orient="landscape"/>
          <w:pgMar w:top="560" w:right="0" w:bottom="0" w:left="0" w:header="720" w:footer="720" w:gutter="0"/>
          <w:cols w:num="2" w:space="720" w:equalWidth="0">
            <w:col w:w="8082" w:space="40"/>
            <w:col w:w="8718"/>
          </w:cols>
        </w:sectPr>
      </w:pPr>
    </w:p>
    <w:p w:rsidR="00A1463E" w:rsidRDefault="00A1463E">
      <w:pPr>
        <w:pStyle w:val="BodyText"/>
        <w:spacing w:before="7"/>
        <w:rPr>
          <w:sz w:val="10"/>
        </w:rPr>
      </w:pPr>
      <w:bookmarkStart w:id="7" w:name="organisational_structure"/>
      <w:bookmarkStart w:id="8" w:name="_bookmark5"/>
      <w:bookmarkEnd w:id="7"/>
      <w:bookmarkEnd w:id="8"/>
    </w:p>
    <w:p w:rsidR="00A1463E" w:rsidRDefault="00D2471E" w:rsidP="009352BE">
      <w:pPr>
        <w:pStyle w:val="Heading1"/>
        <w:rPr>
          <w:sz w:val="19"/>
        </w:rPr>
        <w:sectPr w:rsidR="00A1463E">
          <w:pgSz w:w="16840" w:h="11910" w:orient="landscape"/>
          <w:pgMar w:top="220" w:right="0" w:bottom="360" w:left="0" w:header="29" w:footer="145" w:gutter="0"/>
          <w:cols w:space="720"/>
        </w:sectPr>
      </w:pPr>
      <w:proofErr w:type="spellStart"/>
      <w:r>
        <w:rPr>
          <w:u w:color="BB8D16"/>
        </w:rPr>
        <w:t>Organisational</w:t>
      </w:r>
      <w:proofErr w:type="spellEnd"/>
      <w:r>
        <w:rPr>
          <w:u w:color="BB8D16"/>
        </w:rPr>
        <w:t xml:space="preserve"> Structure</w:t>
      </w:r>
    </w:p>
    <w:p w:rsidR="00A1463E" w:rsidRDefault="00F52429" w:rsidP="009352BE">
      <w:pPr>
        <w:pStyle w:val="Heading2"/>
        <w:spacing w:before="35"/>
        <w:ind w:left="709"/>
      </w:pPr>
      <w:r>
        <w:rPr>
          <w:color w:val="353434"/>
        </w:rPr>
        <w:t>Enabling Legislation</w:t>
      </w:r>
    </w:p>
    <w:p w:rsidR="00A1463E" w:rsidRDefault="00F52429" w:rsidP="009352BE">
      <w:pPr>
        <w:pStyle w:val="BodyText"/>
        <w:spacing w:before="35" w:line="235" w:lineRule="auto"/>
        <w:ind w:left="709" w:right="1109"/>
        <w:rPr>
          <w:i/>
        </w:rPr>
      </w:pPr>
      <w:r>
        <w:t>The Office of the GCIO was established on 1</w:t>
      </w:r>
      <w:r>
        <w:rPr>
          <w:spacing w:val="-31"/>
        </w:rPr>
        <w:t xml:space="preserve"> </w:t>
      </w:r>
      <w:r>
        <w:t>July 2015 as a sub-department of the Department of Finance under section 56 of the</w:t>
      </w:r>
      <w:r>
        <w:rPr>
          <w:spacing w:val="-16"/>
        </w:rPr>
        <w:t xml:space="preserve"> </w:t>
      </w:r>
      <w:r>
        <w:rPr>
          <w:i/>
        </w:rPr>
        <w:t>Financial</w:t>
      </w:r>
    </w:p>
    <w:p w:rsidR="00A1463E" w:rsidRDefault="00F52429" w:rsidP="009352BE">
      <w:pPr>
        <w:pStyle w:val="BodyText"/>
        <w:spacing w:before="3" w:line="235" w:lineRule="auto"/>
        <w:ind w:left="709" w:right="740"/>
      </w:pPr>
      <w:r>
        <w:rPr>
          <w:i/>
        </w:rPr>
        <w:t xml:space="preserve">Management Act 2006 </w:t>
      </w:r>
      <w:r>
        <w:rPr>
          <w:i/>
          <w:spacing w:val="-3"/>
        </w:rPr>
        <w:t>(WA)</w:t>
      </w:r>
      <w:r>
        <w:rPr>
          <w:spacing w:val="-3"/>
        </w:rPr>
        <w:t xml:space="preserve">. </w:t>
      </w:r>
      <w:r>
        <w:t>The Office ceased as a sub-department on 30 June 2018 and became a discrete business unit in the Department of</w:t>
      </w:r>
      <w:r>
        <w:rPr>
          <w:spacing w:val="-40"/>
        </w:rPr>
        <w:t xml:space="preserve"> </w:t>
      </w:r>
      <w:r>
        <w:t>Premier and Cabinet (DPC) from 1 July</w:t>
      </w:r>
      <w:r>
        <w:rPr>
          <w:spacing w:val="-6"/>
        </w:rPr>
        <w:t xml:space="preserve"> </w:t>
      </w:r>
      <w:r>
        <w:t>2018.</w:t>
      </w:r>
    </w:p>
    <w:p w:rsidR="00A1463E" w:rsidRDefault="00A1463E">
      <w:pPr>
        <w:spacing w:line="235" w:lineRule="auto"/>
        <w:sectPr w:rsidR="00A1463E" w:rsidSect="009352BE">
          <w:type w:val="continuous"/>
          <w:pgSz w:w="16840" w:h="11910" w:orient="landscape"/>
          <w:pgMar w:top="560" w:right="0" w:bottom="0" w:left="0" w:header="720" w:footer="720" w:gutter="0"/>
          <w:cols w:space="40"/>
        </w:sectPr>
      </w:pPr>
    </w:p>
    <w:p w:rsidR="00A1463E" w:rsidRDefault="00A1463E">
      <w:pPr>
        <w:pStyle w:val="BodyText"/>
        <w:spacing w:before="5"/>
        <w:rPr>
          <w:sz w:val="11"/>
        </w:rPr>
      </w:pPr>
    </w:p>
    <w:p w:rsidR="00A1463E" w:rsidRDefault="00A1463E">
      <w:pPr>
        <w:rPr>
          <w:sz w:val="11"/>
        </w:rPr>
        <w:sectPr w:rsidR="00A1463E">
          <w:type w:val="continuous"/>
          <w:pgSz w:w="16840" w:h="11910" w:orient="landscape"/>
          <w:pgMar w:top="560" w:right="0" w:bottom="0" w:left="0" w:header="720" w:footer="720" w:gutter="0"/>
          <w:cols w:space="720"/>
        </w:sectPr>
      </w:pPr>
    </w:p>
    <w:p w:rsidR="009352BE" w:rsidRPr="009352BE" w:rsidRDefault="00F52429" w:rsidP="009352BE">
      <w:pPr>
        <w:spacing w:before="56" w:line="235" w:lineRule="auto"/>
        <w:ind w:left="652" w:firstLine="2"/>
        <w:jc w:val="center"/>
        <w:rPr>
          <w:b/>
          <w:sz w:val="20"/>
        </w:rPr>
        <w:sectPr w:rsidR="009352BE" w:rsidRPr="009352BE">
          <w:type w:val="continuous"/>
          <w:pgSz w:w="16840" w:h="11910" w:orient="landscape"/>
          <w:pgMar w:top="560" w:right="0" w:bottom="0" w:left="0" w:header="720" w:footer="720" w:gutter="0"/>
          <w:cols w:num="5" w:space="720" w:equalWidth="0">
            <w:col w:w="2715" w:space="40"/>
            <w:col w:w="2497" w:space="39"/>
            <w:col w:w="2647" w:space="39"/>
            <w:col w:w="2511" w:space="40"/>
            <w:col w:w="6312"/>
          </w:cols>
        </w:sectPr>
      </w:pPr>
      <w:r>
        <w:br w:type="column"/>
      </w:r>
      <w:r>
        <w:br w:type="column"/>
      </w:r>
    </w:p>
    <w:p w:rsidR="00A1463E" w:rsidRDefault="00F52429" w:rsidP="003B1E41">
      <w:pPr>
        <w:spacing w:before="50"/>
        <w:ind w:left="709"/>
        <w:rPr>
          <w:sz w:val="32"/>
        </w:rPr>
      </w:pPr>
      <w:r>
        <w:rPr>
          <w:color w:val="353434"/>
          <w:sz w:val="32"/>
        </w:rPr>
        <w:t>Responsible Minister</w:t>
      </w:r>
    </w:p>
    <w:p w:rsidR="00A1463E" w:rsidRDefault="00F52429" w:rsidP="009352BE">
      <w:pPr>
        <w:pStyle w:val="BodyText"/>
        <w:spacing w:line="235" w:lineRule="auto"/>
        <w:ind w:left="709" w:right="618"/>
        <w:sectPr w:rsidR="00A1463E" w:rsidSect="009352BE">
          <w:type w:val="continuous"/>
          <w:pgSz w:w="16840" w:h="11910" w:orient="landscape"/>
          <w:pgMar w:top="560" w:right="0" w:bottom="0" w:left="0" w:header="720" w:footer="720" w:gutter="0"/>
          <w:cols w:space="720"/>
        </w:sectPr>
      </w:pPr>
      <w:r>
        <w:t xml:space="preserve">Hon. Dave Kelly MLA, </w:t>
      </w:r>
      <w:r w:rsidR="003B1E41">
        <w:t>Minister for Innovation and ICT</w:t>
      </w:r>
    </w:p>
    <w:p w:rsidR="00A1463E" w:rsidRDefault="00A1463E">
      <w:pPr>
        <w:sectPr w:rsidR="00A1463E" w:rsidSect="009352BE">
          <w:type w:val="continuous"/>
          <w:pgSz w:w="16840" w:h="11910" w:orient="landscape"/>
          <w:pgMar w:top="560" w:right="0" w:bottom="0" w:left="0" w:header="720" w:footer="720" w:gutter="0"/>
          <w:cols w:space="40"/>
        </w:sectPr>
      </w:pPr>
    </w:p>
    <w:p w:rsidR="00A1463E" w:rsidRDefault="00F52429" w:rsidP="003B1E41">
      <w:pPr>
        <w:pStyle w:val="Heading1"/>
        <w:ind w:left="709"/>
      </w:pPr>
      <w:r>
        <w:t>Senior Executives leaving the Office in 2017-18</w:t>
      </w:r>
    </w:p>
    <w:p w:rsidR="00A1463E" w:rsidRDefault="00F52429">
      <w:pPr>
        <w:spacing w:before="95" w:line="304" w:lineRule="auto"/>
        <w:ind w:left="680" w:right="8978"/>
        <w:rPr>
          <w:sz w:val="24"/>
        </w:rPr>
      </w:pPr>
      <w:r>
        <w:rPr>
          <w:sz w:val="24"/>
        </w:rPr>
        <w:t xml:space="preserve">The following Senior Executives left the Office of the GCIO in 2017-18: </w:t>
      </w:r>
      <w:r>
        <w:rPr>
          <w:b/>
          <w:sz w:val="24"/>
        </w:rPr>
        <w:t xml:space="preserve">Giles </w:t>
      </w:r>
      <w:proofErr w:type="spellStart"/>
      <w:r>
        <w:rPr>
          <w:b/>
          <w:sz w:val="24"/>
        </w:rPr>
        <w:t>Nunis</w:t>
      </w:r>
      <w:proofErr w:type="spellEnd"/>
      <w:r>
        <w:rPr>
          <w:b/>
          <w:sz w:val="24"/>
        </w:rPr>
        <w:t xml:space="preserve"> - </w:t>
      </w:r>
      <w:r>
        <w:rPr>
          <w:i/>
          <w:sz w:val="24"/>
        </w:rPr>
        <w:t xml:space="preserve">Chief Executive and Government Chief Information Officer </w:t>
      </w:r>
      <w:proofErr w:type="spellStart"/>
      <w:r>
        <w:rPr>
          <w:sz w:val="24"/>
        </w:rPr>
        <w:t>Mr</w:t>
      </w:r>
      <w:proofErr w:type="spellEnd"/>
      <w:r>
        <w:rPr>
          <w:sz w:val="24"/>
        </w:rPr>
        <w:t xml:space="preserve"> </w:t>
      </w:r>
      <w:proofErr w:type="spellStart"/>
      <w:r>
        <w:rPr>
          <w:sz w:val="24"/>
        </w:rPr>
        <w:t>Nunis</w:t>
      </w:r>
      <w:proofErr w:type="spellEnd"/>
      <w:r>
        <w:rPr>
          <w:sz w:val="24"/>
        </w:rPr>
        <w:t xml:space="preserve"> left the Office in March 2018.</w:t>
      </w:r>
    </w:p>
    <w:p w:rsidR="00A1463E" w:rsidRDefault="00F52429">
      <w:pPr>
        <w:spacing w:before="31"/>
        <w:ind w:left="680"/>
        <w:rPr>
          <w:i/>
          <w:sz w:val="24"/>
        </w:rPr>
      </w:pPr>
      <w:r>
        <w:rPr>
          <w:b/>
          <w:sz w:val="24"/>
        </w:rPr>
        <w:t xml:space="preserve">Andrew </w:t>
      </w:r>
      <w:proofErr w:type="spellStart"/>
      <w:r>
        <w:rPr>
          <w:b/>
          <w:sz w:val="24"/>
        </w:rPr>
        <w:t>Cann</w:t>
      </w:r>
      <w:proofErr w:type="spellEnd"/>
      <w:r>
        <w:rPr>
          <w:b/>
          <w:sz w:val="24"/>
        </w:rPr>
        <w:t xml:space="preserve"> </w:t>
      </w:r>
      <w:r>
        <w:rPr>
          <w:sz w:val="24"/>
        </w:rPr>
        <w:t xml:space="preserve">- </w:t>
      </w:r>
      <w:r>
        <w:rPr>
          <w:i/>
          <w:sz w:val="24"/>
        </w:rPr>
        <w:t>Executive Director Technology Innovation/Chief Technology Officer</w:t>
      </w:r>
    </w:p>
    <w:p w:rsidR="00A1463E" w:rsidRDefault="00F52429">
      <w:pPr>
        <w:pStyle w:val="BodyText"/>
        <w:spacing w:before="52"/>
        <w:ind w:left="680"/>
      </w:pPr>
      <w:proofErr w:type="spellStart"/>
      <w:r>
        <w:t>Mr</w:t>
      </w:r>
      <w:proofErr w:type="spellEnd"/>
      <w:r>
        <w:t xml:space="preserve"> </w:t>
      </w:r>
      <w:proofErr w:type="spellStart"/>
      <w:r>
        <w:t>Cann</w:t>
      </w:r>
      <w:proofErr w:type="spellEnd"/>
      <w:r>
        <w:t xml:space="preserve"> was on </w:t>
      </w:r>
      <w:proofErr w:type="spellStart"/>
      <w:r>
        <w:t>secondment</w:t>
      </w:r>
      <w:proofErr w:type="spellEnd"/>
      <w:r>
        <w:t xml:space="preserve"> at another agency in May-June 2017-18.</w:t>
      </w:r>
    </w:p>
    <w:p w:rsidR="00A1463E" w:rsidRDefault="00F52429">
      <w:pPr>
        <w:spacing w:before="165"/>
        <w:ind w:left="680"/>
        <w:rPr>
          <w:i/>
          <w:sz w:val="24"/>
        </w:rPr>
      </w:pPr>
      <w:r>
        <w:rPr>
          <w:b/>
          <w:sz w:val="24"/>
        </w:rPr>
        <w:t xml:space="preserve">Holger Kaufmann - </w:t>
      </w:r>
      <w:r>
        <w:rPr>
          <w:i/>
          <w:sz w:val="24"/>
        </w:rPr>
        <w:t xml:space="preserve">Executive Director </w:t>
      </w:r>
      <w:proofErr w:type="spellStart"/>
      <w:r>
        <w:rPr>
          <w:i/>
          <w:sz w:val="24"/>
        </w:rPr>
        <w:t>GovNext</w:t>
      </w:r>
      <w:proofErr w:type="spellEnd"/>
      <w:r>
        <w:rPr>
          <w:i/>
          <w:sz w:val="24"/>
        </w:rPr>
        <w:t>-ICT (Director Strategic Projects)</w:t>
      </w:r>
    </w:p>
    <w:p w:rsidR="00A1463E" w:rsidRDefault="00F52429">
      <w:pPr>
        <w:pStyle w:val="BodyText"/>
        <w:spacing w:before="52"/>
        <w:ind w:left="680"/>
      </w:pPr>
      <w:proofErr w:type="spellStart"/>
      <w:r>
        <w:t>Dr</w:t>
      </w:r>
      <w:proofErr w:type="spellEnd"/>
      <w:r>
        <w:t xml:space="preserve"> Kaufmann left the Office in May 2018.</w:t>
      </w:r>
    </w:p>
    <w:p w:rsidR="00A1463E" w:rsidRDefault="00A1463E">
      <w:pPr>
        <w:sectPr w:rsidR="00A1463E">
          <w:type w:val="continuous"/>
          <w:pgSz w:w="16840" w:h="11910" w:orient="landscape"/>
          <w:pgMar w:top="560" w:right="0" w:bottom="0" w:left="0" w:header="720" w:footer="720" w:gutter="0"/>
          <w:cols w:space="720"/>
        </w:sectPr>
      </w:pPr>
    </w:p>
    <w:p w:rsidR="00A1463E" w:rsidRDefault="00A1463E">
      <w:pPr>
        <w:pStyle w:val="BodyText"/>
        <w:spacing w:before="2"/>
        <w:rPr>
          <w:sz w:val="8"/>
        </w:rPr>
      </w:pPr>
      <w:bookmarkStart w:id="9" w:name="performance_management_framework"/>
      <w:bookmarkStart w:id="10" w:name="_bookmark6"/>
      <w:bookmarkEnd w:id="9"/>
      <w:bookmarkEnd w:id="10"/>
    </w:p>
    <w:p w:rsidR="00A1463E" w:rsidRDefault="00A1463E">
      <w:pPr>
        <w:pStyle w:val="BodyText"/>
        <w:spacing w:line="60" w:lineRule="exact"/>
        <w:ind w:left="650"/>
        <w:rPr>
          <w:sz w:val="6"/>
        </w:rPr>
      </w:pPr>
    </w:p>
    <w:p w:rsidR="00A1463E" w:rsidRDefault="00A1463E">
      <w:pPr>
        <w:pStyle w:val="BodyText"/>
        <w:spacing w:before="4" w:after="1"/>
        <w:rPr>
          <w:sz w:val="22"/>
        </w:rPr>
      </w:pPr>
    </w:p>
    <w:p w:rsidR="003B1E41" w:rsidRDefault="003B1E41" w:rsidP="003B1E41">
      <w:pPr>
        <w:pStyle w:val="Heading1"/>
      </w:pPr>
      <w:r>
        <w:t>Performance Management Framework</w:t>
      </w:r>
    </w:p>
    <w:p w:rsidR="003B1E41" w:rsidRDefault="003B1E41" w:rsidP="003B1E41">
      <w:pPr>
        <w:pStyle w:val="Heading2"/>
      </w:pPr>
      <w:r>
        <w:t>Government Goals</w:t>
      </w:r>
    </w:p>
    <w:p w:rsidR="003B1E41" w:rsidRDefault="003B1E41" w:rsidP="003B1E41">
      <w:pPr>
        <w:pStyle w:val="BodyText"/>
        <w:ind w:left="709"/>
      </w:pPr>
      <w:r>
        <w:t>Sustainable Finances: Responsible financial management and better service delivery.</w:t>
      </w:r>
    </w:p>
    <w:p w:rsidR="003B1E41" w:rsidRDefault="003B1E41" w:rsidP="003B1E41">
      <w:pPr>
        <w:pStyle w:val="Heading2"/>
      </w:pPr>
      <w:r>
        <w:t>Desired Outcomes</w:t>
      </w:r>
    </w:p>
    <w:p w:rsidR="003B1E41" w:rsidRDefault="003B1E41" w:rsidP="003B1E41">
      <w:pPr>
        <w:pStyle w:val="BodyText"/>
        <w:ind w:left="709"/>
      </w:pPr>
      <w:r>
        <w:t xml:space="preserve">Enabling effective </w:t>
      </w:r>
      <w:proofErr w:type="spellStart"/>
      <w:r>
        <w:t>utilisation</w:t>
      </w:r>
      <w:proofErr w:type="spellEnd"/>
      <w:r>
        <w:t xml:space="preserve"> of best practice technology in the public sector. </w:t>
      </w:r>
    </w:p>
    <w:p w:rsidR="003B1E41" w:rsidRDefault="003B1E41" w:rsidP="003B1E41">
      <w:pPr>
        <w:pStyle w:val="Heading2"/>
      </w:pPr>
      <w:r>
        <w:t>Services</w:t>
      </w:r>
    </w:p>
    <w:p w:rsidR="003B1E41" w:rsidRDefault="003B1E41" w:rsidP="003B1E41">
      <w:pPr>
        <w:pStyle w:val="BodyText"/>
        <w:ind w:left="709"/>
      </w:pPr>
      <w:r>
        <w:t>Establishment of a platform for the delivery of better government services through efficient development of ICT strategy, policies and solutions.</w:t>
      </w:r>
    </w:p>
    <w:p w:rsidR="00A1463E" w:rsidRDefault="00F52429">
      <w:pPr>
        <w:pStyle w:val="BodyText"/>
        <w:spacing w:before="235" w:line="235" w:lineRule="auto"/>
        <w:ind w:left="685" w:right="678"/>
      </w:pPr>
      <w:r>
        <w:t>In 2016-17, the Office of the GCIO reported against effectiveness and efficiency indicators for the Innovation function, which the Office acquired responsibility for on 1 July 2016. This function was transferred to the Department of Jobs, Tourism, Science and Innovation on 1 July 2017.</w:t>
      </w:r>
    </w:p>
    <w:p w:rsidR="00A1463E" w:rsidRPr="003B1E41" w:rsidRDefault="00F52429" w:rsidP="003B1E41">
      <w:pPr>
        <w:pStyle w:val="Heading2"/>
      </w:pPr>
      <w:r w:rsidRPr="003B1E41">
        <w:t>Shared responsibilities with other agencies</w:t>
      </w:r>
    </w:p>
    <w:p w:rsidR="00A1463E" w:rsidRDefault="00F52429">
      <w:pPr>
        <w:pStyle w:val="BodyText"/>
        <w:spacing w:before="34" w:line="235" w:lineRule="auto"/>
        <w:ind w:left="685" w:right="602"/>
      </w:pPr>
      <w:r>
        <w:t>The Office of the GCIO collaborates with government agencies and industry to facilitate the efficient operation of government, drive technology innovation and improve the delivery of government digital services to achieve value for money for the community.</w:t>
      </w:r>
    </w:p>
    <w:p w:rsidR="00A1463E" w:rsidRDefault="00F52429">
      <w:pPr>
        <w:pStyle w:val="BodyText"/>
        <w:spacing w:before="115" w:line="235" w:lineRule="auto"/>
        <w:ind w:left="685" w:right="996"/>
      </w:pPr>
      <w:r>
        <w:t>This is achieved by providing leadership and strategic advice to the Government on initiatives to improve the operations and management of ICT across the public sector and collaborative development of policies and guidance materials for whole of government reform.</w:t>
      </w:r>
    </w:p>
    <w:p w:rsidR="00A1463E" w:rsidRDefault="00F52429">
      <w:pPr>
        <w:pStyle w:val="BodyText"/>
        <w:spacing w:before="116" w:line="235" w:lineRule="auto"/>
        <w:ind w:left="685" w:right="791"/>
        <w:jc w:val="both"/>
      </w:pPr>
      <w:r>
        <w:t xml:space="preserve">In 2017-18, the Office of the GCIO </w:t>
      </w:r>
      <w:r>
        <w:rPr>
          <w:spacing w:val="-3"/>
        </w:rPr>
        <w:t xml:space="preserve">worked </w:t>
      </w:r>
      <w:r>
        <w:t xml:space="preserve">on the joint State </w:t>
      </w:r>
      <w:r>
        <w:rPr>
          <w:spacing w:val="-3"/>
        </w:rPr>
        <w:t xml:space="preserve">Telecommunications </w:t>
      </w:r>
      <w:r>
        <w:t>Infrastructure Audit with the Department of Primary Industries and Regional Development.</w:t>
      </w:r>
      <w:r>
        <w:rPr>
          <w:spacing w:val="-8"/>
        </w:rPr>
        <w:t xml:space="preserve"> </w:t>
      </w:r>
      <w:r>
        <w:t>The</w:t>
      </w:r>
      <w:r>
        <w:rPr>
          <w:spacing w:val="-9"/>
        </w:rPr>
        <w:t xml:space="preserve"> </w:t>
      </w:r>
      <w:r>
        <w:t>audit</w:t>
      </w:r>
      <w:r>
        <w:rPr>
          <w:spacing w:val="-9"/>
        </w:rPr>
        <w:t xml:space="preserve"> </w:t>
      </w:r>
      <w:r>
        <w:t>identified</w:t>
      </w:r>
      <w:r>
        <w:rPr>
          <w:spacing w:val="-9"/>
        </w:rPr>
        <w:t xml:space="preserve"> </w:t>
      </w:r>
      <w:r>
        <w:t>commercial,</w:t>
      </w:r>
      <w:r>
        <w:rPr>
          <w:spacing w:val="-8"/>
        </w:rPr>
        <w:t xml:space="preserve"> </w:t>
      </w:r>
      <w:r>
        <w:t>private</w:t>
      </w:r>
      <w:r>
        <w:rPr>
          <w:spacing w:val="-8"/>
        </w:rPr>
        <w:t xml:space="preserve"> </w:t>
      </w:r>
      <w:r>
        <w:t>and</w:t>
      </w:r>
      <w:r>
        <w:rPr>
          <w:spacing w:val="-9"/>
        </w:rPr>
        <w:t xml:space="preserve"> </w:t>
      </w:r>
      <w:r>
        <w:t>government-owned</w:t>
      </w:r>
      <w:r>
        <w:rPr>
          <w:spacing w:val="-8"/>
        </w:rPr>
        <w:t xml:space="preserve"> </w:t>
      </w:r>
      <w:r>
        <w:t>telecommunications</w:t>
      </w:r>
      <w:r>
        <w:rPr>
          <w:spacing w:val="-9"/>
        </w:rPr>
        <w:t xml:space="preserve"> </w:t>
      </w:r>
      <w:r>
        <w:t>infrastructure</w:t>
      </w:r>
      <w:r>
        <w:rPr>
          <w:spacing w:val="-8"/>
        </w:rPr>
        <w:t xml:space="preserve"> </w:t>
      </w:r>
      <w:r>
        <w:t>assets</w:t>
      </w:r>
      <w:r>
        <w:rPr>
          <w:spacing w:val="-8"/>
        </w:rPr>
        <w:t xml:space="preserve"> </w:t>
      </w:r>
      <w:r>
        <w:t>across</w:t>
      </w:r>
      <w:r>
        <w:rPr>
          <w:spacing w:val="-9"/>
        </w:rPr>
        <w:t xml:space="preserve"> </w:t>
      </w:r>
      <w:r>
        <w:t>the</w:t>
      </w:r>
      <w:r>
        <w:rPr>
          <w:spacing w:val="-8"/>
        </w:rPr>
        <w:t xml:space="preserve"> </w:t>
      </w:r>
      <w:r>
        <w:t>State</w:t>
      </w:r>
      <w:r>
        <w:rPr>
          <w:spacing w:val="-8"/>
        </w:rPr>
        <w:t xml:space="preserve"> </w:t>
      </w:r>
      <w:r>
        <w:t>to</w:t>
      </w:r>
      <w:r>
        <w:rPr>
          <w:spacing w:val="-9"/>
        </w:rPr>
        <w:t xml:space="preserve"> </w:t>
      </w:r>
      <w:r>
        <w:t>establish</w:t>
      </w:r>
      <w:r>
        <w:rPr>
          <w:spacing w:val="-9"/>
        </w:rPr>
        <w:t xml:space="preserve"> </w:t>
      </w:r>
      <w:r>
        <w:t>gaps</w:t>
      </w:r>
      <w:r>
        <w:rPr>
          <w:spacing w:val="-9"/>
        </w:rPr>
        <w:t xml:space="preserve"> </w:t>
      </w:r>
      <w:r>
        <w:t xml:space="preserve">in </w:t>
      </w:r>
      <w:r>
        <w:rPr>
          <w:spacing w:val="-3"/>
        </w:rPr>
        <w:t xml:space="preserve">coverage </w:t>
      </w:r>
      <w:r>
        <w:t>and help guide investment.</w:t>
      </w:r>
    </w:p>
    <w:p w:rsidR="00A1463E" w:rsidRDefault="00A1463E">
      <w:pPr>
        <w:spacing w:line="235" w:lineRule="auto"/>
        <w:jc w:val="both"/>
        <w:sectPr w:rsidR="00A1463E">
          <w:pgSz w:w="16840" w:h="11910" w:orient="landscape"/>
          <w:pgMar w:top="220" w:right="0" w:bottom="360" w:left="0" w:header="29" w:footer="145" w:gutter="0"/>
          <w:cols w:space="720"/>
        </w:sectPr>
      </w:pPr>
    </w:p>
    <w:p w:rsidR="00A1463E" w:rsidRDefault="00A1463E">
      <w:pPr>
        <w:pStyle w:val="BodyText"/>
        <w:spacing w:before="2"/>
        <w:rPr>
          <w:sz w:val="8"/>
        </w:rPr>
      </w:pPr>
      <w:bookmarkStart w:id="11" w:name="governance"/>
      <w:bookmarkStart w:id="12" w:name="_bookmark7"/>
      <w:bookmarkEnd w:id="11"/>
      <w:bookmarkEnd w:id="12"/>
    </w:p>
    <w:p w:rsidR="00A1463E" w:rsidRDefault="00F52429" w:rsidP="003B1E41">
      <w:pPr>
        <w:pStyle w:val="Heading1"/>
      </w:pPr>
      <w:r>
        <w:t>GOVERNANCE</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A1463E">
      <w:pPr>
        <w:rPr>
          <w:sz w:val="14"/>
        </w:rPr>
        <w:sectPr w:rsidR="00A1463E">
          <w:pgSz w:w="16840" w:h="11910" w:orient="landscape"/>
          <w:pgMar w:top="220" w:right="0" w:bottom="360" w:left="0" w:header="29" w:footer="145" w:gutter="0"/>
          <w:cols w:space="720"/>
        </w:sectPr>
      </w:pPr>
    </w:p>
    <w:p w:rsidR="00A1463E" w:rsidRDefault="00F52429">
      <w:pPr>
        <w:pStyle w:val="BodyText"/>
        <w:spacing w:before="56" w:line="235" w:lineRule="auto"/>
        <w:ind w:left="685" w:right="93"/>
      </w:pPr>
      <w:r>
        <w:t xml:space="preserve">The Office of the GCIO provides leadership and coordination for public sector digital </w:t>
      </w:r>
      <w:r>
        <w:rPr>
          <w:spacing w:val="-3"/>
        </w:rPr>
        <w:t xml:space="preserve">reform </w:t>
      </w:r>
      <w:r>
        <w:t>and is guided by two governance groups – the Directors General ICT Council (</w:t>
      </w:r>
      <w:proofErr w:type="spellStart"/>
      <w:r>
        <w:t>DsG</w:t>
      </w:r>
      <w:proofErr w:type="spellEnd"/>
      <w:r>
        <w:t xml:space="preserve"> ICT Council) and the Business and </w:t>
      </w:r>
      <w:r>
        <w:rPr>
          <w:spacing w:val="-3"/>
        </w:rPr>
        <w:t xml:space="preserve">Technology </w:t>
      </w:r>
      <w:r>
        <w:t xml:space="preserve">Advisory Committee </w:t>
      </w:r>
      <w:r>
        <w:rPr>
          <w:spacing w:val="-6"/>
        </w:rPr>
        <w:t xml:space="preserve">(BATAC). </w:t>
      </w:r>
      <w:r>
        <w:t>This ensures strategies, policies and initiatives are developed with a whole-of-government</w:t>
      </w:r>
      <w:r>
        <w:rPr>
          <w:spacing w:val="-15"/>
        </w:rPr>
        <w:t xml:space="preserve"> </w:t>
      </w:r>
      <w:r>
        <w:t>perspective,</w:t>
      </w:r>
      <w:r>
        <w:rPr>
          <w:spacing w:val="-15"/>
        </w:rPr>
        <w:t xml:space="preserve"> </w:t>
      </w:r>
      <w:r>
        <w:t>informed</w:t>
      </w:r>
      <w:r>
        <w:rPr>
          <w:spacing w:val="-16"/>
        </w:rPr>
        <w:t xml:space="preserve"> </w:t>
      </w:r>
      <w:r>
        <w:t>by</w:t>
      </w:r>
    </w:p>
    <w:p w:rsidR="00A1463E" w:rsidRDefault="00F52429">
      <w:pPr>
        <w:pStyle w:val="BodyText"/>
        <w:spacing w:before="3"/>
        <w:ind w:left="685"/>
      </w:pPr>
      <w:r>
        <w:t>technical expertise and driven by business</w:t>
      </w:r>
      <w:r>
        <w:rPr>
          <w:spacing w:val="-39"/>
        </w:rPr>
        <w:t xml:space="preserve"> </w:t>
      </w:r>
      <w:r>
        <w:t>need.</w:t>
      </w:r>
    </w:p>
    <w:p w:rsidR="00A1463E" w:rsidRDefault="00F52429">
      <w:pPr>
        <w:pStyle w:val="BodyText"/>
        <w:spacing w:before="170" w:line="235" w:lineRule="auto"/>
        <w:ind w:left="685"/>
      </w:pPr>
      <w:r>
        <w:t xml:space="preserve">Until March 2018, the governance framework comprised the </w:t>
      </w:r>
      <w:proofErr w:type="spellStart"/>
      <w:r>
        <w:t>DsG</w:t>
      </w:r>
      <w:proofErr w:type="spellEnd"/>
      <w:r>
        <w:t xml:space="preserve"> ICT Council, the Business Impact Group and the CIO Advisory Committee. The Business Impact Group and CIO Advisory Committee, which had been meeting jointly, were merged to form the BATAC.</w:t>
      </w:r>
    </w:p>
    <w:p w:rsidR="00A1463E" w:rsidRDefault="00A1463E">
      <w:pPr>
        <w:pStyle w:val="BodyText"/>
        <w:rPr>
          <w:sz w:val="10"/>
        </w:rPr>
      </w:pPr>
    </w:p>
    <w:p w:rsidR="00A1463E" w:rsidRDefault="003F04D6">
      <w:pPr>
        <w:pStyle w:val="BodyText"/>
        <w:ind w:left="680" w:right="-47"/>
        <w:rPr>
          <w:sz w:val="20"/>
        </w:rPr>
      </w:pPr>
      <w:r>
        <w:rPr>
          <w:noProof/>
          <w:sz w:val="20"/>
          <w:lang w:val="en-AU" w:eastAsia="en-AU" w:bidi="ar-SA"/>
        </w:rPr>
        <w:drawing>
          <wp:inline distT="0" distB="0" distL="0" distR="0" wp14:anchorId="0429B457" wp14:editId="4EF82354">
            <wp:extent cx="2996190" cy="3444247"/>
            <wp:effectExtent l="0" t="0" r="0" b="3810"/>
            <wp:docPr id="930" name="Picture 930" descr="Diagram showing governance hierarchy of the Office of the GCIO" title="Govern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Governance diagr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6190" cy="3444247"/>
                    </a:xfrm>
                    <a:prstGeom prst="rect">
                      <a:avLst/>
                    </a:prstGeom>
                  </pic:spPr>
                </pic:pic>
              </a:graphicData>
            </a:graphic>
          </wp:inline>
        </w:drawing>
      </w:r>
    </w:p>
    <w:p w:rsidR="00A1463E" w:rsidRDefault="00F52429">
      <w:pPr>
        <w:pStyle w:val="BodyText"/>
        <w:spacing w:before="56" w:line="235" w:lineRule="auto"/>
        <w:ind w:left="645" w:right="88"/>
      </w:pPr>
      <w:r>
        <w:br w:type="column"/>
      </w:r>
      <w:r>
        <w:t>The governance groups meet regularly, with the Office of the GCIO providing a chair and secretarial support. Decisions of these groups</w:t>
      </w:r>
    </w:p>
    <w:p w:rsidR="00A1463E" w:rsidRDefault="00F52429">
      <w:pPr>
        <w:pStyle w:val="BodyText"/>
        <w:spacing w:line="291" w:lineRule="exact"/>
        <w:ind w:left="645"/>
      </w:pPr>
      <w:r>
        <w:t>are published on the Office of the GCIO</w:t>
      </w:r>
      <w:r>
        <w:rPr>
          <w:spacing w:val="-38"/>
        </w:rPr>
        <w:t xml:space="preserve"> </w:t>
      </w:r>
      <w:r>
        <w:t>website.</w:t>
      </w:r>
    </w:p>
    <w:p w:rsidR="00A1463E" w:rsidRDefault="00F52429">
      <w:pPr>
        <w:pStyle w:val="BodyText"/>
        <w:spacing w:before="170" w:line="235" w:lineRule="auto"/>
        <w:ind w:left="645" w:right="88"/>
      </w:pPr>
      <w:r>
        <w:t xml:space="preserve">In addition to the formal governance framework, a program-specific board provided guidance for the </w:t>
      </w:r>
      <w:proofErr w:type="spellStart"/>
      <w:r>
        <w:t>ServiceWA</w:t>
      </w:r>
      <w:proofErr w:type="spellEnd"/>
      <w:r>
        <w:t xml:space="preserve"> Program.</w:t>
      </w:r>
    </w:p>
    <w:p w:rsidR="00A1463E" w:rsidRDefault="00F52429">
      <w:pPr>
        <w:pStyle w:val="Heading2"/>
        <w:spacing w:before="188" w:line="220" w:lineRule="auto"/>
        <w:ind w:left="645" w:right="361"/>
      </w:pPr>
      <w:r>
        <w:rPr>
          <w:color w:val="353434"/>
        </w:rPr>
        <w:t>Directors General Information and Communications Technology Council</w:t>
      </w:r>
    </w:p>
    <w:p w:rsidR="00A1463E" w:rsidRDefault="00F52429">
      <w:pPr>
        <w:pStyle w:val="BodyText"/>
        <w:spacing w:before="43" w:line="235" w:lineRule="auto"/>
        <w:ind w:left="645" w:right="67"/>
      </w:pPr>
      <w:r>
        <w:t xml:space="preserve">The </w:t>
      </w:r>
      <w:proofErr w:type="spellStart"/>
      <w:r>
        <w:t>DsG</w:t>
      </w:r>
      <w:proofErr w:type="spellEnd"/>
      <w:r>
        <w:t xml:space="preserve"> ICT Council provides leadership and direction on whole-of-government digital reform, and makes decisions on both short and long-term reform initiatives.</w:t>
      </w:r>
    </w:p>
    <w:p w:rsidR="00A1463E" w:rsidRDefault="00F52429">
      <w:pPr>
        <w:pStyle w:val="BodyText"/>
        <w:spacing w:before="174" w:line="235" w:lineRule="auto"/>
        <w:ind w:left="645"/>
      </w:pPr>
      <w:r>
        <w:t xml:space="preserve">The Council comprises of Directors Generals from the Departments of Communities; Education; Finance; Health; Premier and Cabinet; Transport; and </w:t>
      </w:r>
      <w:r>
        <w:rPr>
          <w:spacing w:val="-5"/>
        </w:rPr>
        <w:t xml:space="preserve">Treasury, </w:t>
      </w:r>
      <w:r>
        <w:t>and the Chief Executive</w:t>
      </w:r>
      <w:r>
        <w:rPr>
          <w:spacing w:val="-10"/>
        </w:rPr>
        <w:t xml:space="preserve"> </w:t>
      </w:r>
      <w:r>
        <w:t>Officers</w:t>
      </w:r>
      <w:r>
        <w:rPr>
          <w:spacing w:val="-11"/>
        </w:rPr>
        <w:t xml:space="preserve"> </w:t>
      </w:r>
      <w:r>
        <w:t>from</w:t>
      </w:r>
      <w:r>
        <w:rPr>
          <w:spacing w:val="-11"/>
        </w:rPr>
        <w:t xml:space="preserve"> </w:t>
      </w:r>
      <w:proofErr w:type="spellStart"/>
      <w:r>
        <w:t>Landgate</w:t>
      </w:r>
      <w:proofErr w:type="spellEnd"/>
      <w:r>
        <w:rPr>
          <w:spacing w:val="-10"/>
        </w:rPr>
        <w:t xml:space="preserve"> </w:t>
      </w:r>
      <w:r>
        <w:t>and</w:t>
      </w:r>
      <w:r>
        <w:rPr>
          <w:spacing w:val="-11"/>
        </w:rPr>
        <w:t xml:space="preserve"> </w:t>
      </w:r>
      <w:r>
        <w:rPr>
          <w:spacing w:val="-6"/>
        </w:rPr>
        <w:t>WA</w:t>
      </w:r>
      <w:r>
        <w:rPr>
          <w:spacing w:val="-10"/>
        </w:rPr>
        <w:t xml:space="preserve"> </w:t>
      </w:r>
      <w:r>
        <w:t>Police.</w:t>
      </w:r>
    </w:p>
    <w:p w:rsidR="00A1463E" w:rsidRDefault="00F52429">
      <w:pPr>
        <w:pStyle w:val="BodyText"/>
        <w:spacing w:before="175" w:line="235" w:lineRule="auto"/>
        <w:ind w:left="645" w:right="467"/>
      </w:pPr>
      <w:r>
        <w:t xml:space="preserve">The </w:t>
      </w:r>
      <w:proofErr w:type="spellStart"/>
      <w:r>
        <w:t>DsG</w:t>
      </w:r>
      <w:proofErr w:type="spellEnd"/>
      <w:r>
        <w:t xml:space="preserve"> ICT Council held three meetings in 2017-18, with an additional out of session meeting held on 5 December 2018.</w:t>
      </w:r>
    </w:p>
    <w:p w:rsidR="00A1463E" w:rsidRDefault="00F52429">
      <w:pPr>
        <w:pStyle w:val="Heading2"/>
        <w:spacing w:before="188" w:line="220" w:lineRule="auto"/>
        <w:ind w:left="645" w:right="240"/>
      </w:pPr>
      <w:r>
        <w:rPr>
          <w:color w:val="353434"/>
        </w:rPr>
        <w:t>Business and Technology Advisory Committee</w:t>
      </w:r>
    </w:p>
    <w:p w:rsidR="00A1463E" w:rsidRDefault="00F52429">
      <w:pPr>
        <w:pStyle w:val="BodyText"/>
        <w:spacing w:before="42" w:line="235" w:lineRule="auto"/>
        <w:ind w:left="645"/>
      </w:pPr>
      <w:r>
        <w:t>The BATAC supports the Directors General ICT Council and the Office of the GCIO in delivering on the Western Australian Government vision for digital reform by providing:</w:t>
      </w:r>
    </w:p>
    <w:p w:rsidR="00A1463E" w:rsidRDefault="00F52429" w:rsidP="004151B8">
      <w:pPr>
        <w:pStyle w:val="ListParagraph"/>
        <w:numPr>
          <w:ilvl w:val="0"/>
          <w:numId w:val="19"/>
        </w:numPr>
        <w:tabs>
          <w:tab w:val="left" w:pos="846"/>
        </w:tabs>
        <w:spacing w:before="114" w:line="230" w:lineRule="auto"/>
        <w:ind w:left="845" w:right="266" w:hanging="170"/>
      </w:pPr>
      <w:r>
        <w:t>advice on the business and technical</w:t>
      </w:r>
      <w:r>
        <w:rPr>
          <w:spacing w:val="-17"/>
        </w:rPr>
        <w:t xml:space="preserve"> </w:t>
      </w:r>
      <w:r>
        <w:t>merits of whole-of-government digital</w:t>
      </w:r>
      <w:r>
        <w:rPr>
          <w:spacing w:val="-8"/>
        </w:rPr>
        <w:t xml:space="preserve"> </w:t>
      </w:r>
      <w:r>
        <w:rPr>
          <w:spacing w:val="-3"/>
        </w:rPr>
        <w:t>reform</w:t>
      </w:r>
    </w:p>
    <w:p w:rsidR="00A1463E" w:rsidRDefault="00F52429">
      <w:pPr>
        <w:pStyle w:val="BodyText"/>
        <w:spacing w:before="61" w:line="230" w:lineRule="auto"/>
        <w:ind w:left="845" w:right="689"/>
      </w:pPr>
      <w:r>
        <w:br w:type="column"/>
      </w:r>
      <w:r>
        <w:t>initiatives, and matters of common concern and interest; and</w:t>
      </w:r>
    </w:p>
    <w:p w:rsidR="00A1463E" w:rsidRDefault="00F52429" w:rsidP="004151B8">
      <w:pPr>
        <w:pStyle w:val="ListParagraph"/>
        <w:numPr>
          <w:ilvl w:val="0"/>
          <w:numId w:val="19"/>
        </w:numPr>
        <w:tabs>
          <w:tab w:val="left" w:pos="846"/>
        </w:tabs>
        <w:spacing w:before="111" w:line="230" w:lineRule="auto"/>
        <w:ind w:left="845" w:right="905"/>
      </w:pPr>
      <w:r>
        <w:t xml:space="preserve">public sector collaboration to implement </w:t>
      </w:r>
      <w:r>
        <w:rPr>
          <w:spacing w:val="-4"/>
        </w:rPr>
        <w:t xml:space="preserve">key </w:t>
      </w:r>
      <w:r>
        <w:t xml:space="preserve">initiatives and </w:t>
      </w:r>
      <w:proofErr w:type="spellStart"/>
      <w:r>
        <w:t>optimise</w:t>
      </w:r>
      <w:proofErr w:type="spellEnd"/>
      <w:r>
        <w:t xml:space="preserve"> the use of Government’s information assets by facilitating networking, knowledge sharing and information exchange across the</w:t>
      </w:r>
      <w:r>
        <w:rPr>
          <w:spacing w:val="-36"/>
        </w:rPr>
        <w:t xml:space="preserve"> </w:t>
      </w:r>
      <w:r>
        <w:rPr>
          <w:spacing w:val="-5"/>
        </w:rPr>
        <w:t>sector.</w:t>
      </w:r>
    </w:p>
    <w:p w:rsidR="00A1463E" w:rsidRDefault="00F52429">
      <w:pPr>
        <w:pStyle w:val="BodyText"/>
        <w:spacing w:before="111" w:line="235" w:lineRule="auto"/>
        <w:ind w:left="645" w:right="1095"/>
      </w:pPr>
      <w:r>
        <w:t xml:space="preserve">The </w:t>
      </w:r>
      <w:r>
        <w:rPr>
          <w:spacing w:val="-9"/>
        </w:rPr>
        <w:t xml:space="preserve">BATAC </w:t>
      </w:r>
      <w:r>
        <w:t>met three times in 2017-18, with an additional out of session meeting held on 14 November 2017 and out of session consideration of papers in April</w:t>
      </w:r>
      <w:r>
        <w:rPr>
          <w:spacing w:val="-14"/>
        </w:rPr>
        <w:t xml:space="preserve"> </w:t>
      </w:r>
      <w:r>
        <w:t>2018.</w:t>
      </w:r>
    </w:p>
    <w:p w:rsidR="00A1463E" w:rsidRDefault="00F52429">
      <w:pPr>
        <w:pStyle w:val="Heading2"/>
        <w:spacing w:before="164" w:line="377" w:lineRule="exact"/>
        <w:ind w:left="644"/>
      </w:pPr>
      <w:r>
        <w:rPr>
          <w:color w:val="353434"/>
        </w:rPr>
        <w:t>Risk</w:t>
      </w:r>
    </w:p>
    <w:p w:rsidR="00A1463E" w:rsidRDefault="00F52429">
      <w:pPr>
        <w:pStyle w:val="BodyText"/>
        <w:spacing w:line="235" w:lineRule="auto"/>
        <w:ind w:left="644" w:right="689"/>
      </w:pPr>
      <w:r>
        <w:t>To mitigate the risk inherent with decision making within reform initiatives, the Office of the GCIO follows a risk management approach.</w:t>
      </w:r>
    </w:p>
    <w:p w:rsidR="00A1463E" w:rsidRDefault="00F52429">
      <w:pPr>
        <w:pStyle w:val="BodyText"/>
        <w:spacing w:before="164" w:line="235" w:lineRule="auto"/>
        <w:ind w:left="644" w:right="689"/>
      </w:pPr>
      <w:proofErr w:type="spellStart"/>
      <w:r>
        <w:t>ServiceWA</w:t>
      </w:r>
      <w:proofErr w:type="spellEnd"/>
      <w:r>
        <w:t xml:space="preserve"> operated under the guidance of a Program Board that comprises senior business and ICT representatives from government agencies. Program staff identify, assess and track all risks within a risk register, tabled at every Program Board meeting.</w:t>
      </w:r>
    </w:p>
    <w:p w:rsidR="00A1463E" w:rsidRDefault="00F52429">
      <w:pPr>
        <w:pStyle w:val="BodyText"/>
        <w:spacing w:before="176" w:line="235" w:lineRule="auto"/>
        <w:ind w:left="644" w:right="689"/>
      </w:pPr>
      <w:r>
        <w:t>Other risks are managed at project level by individual project managers and escalated as required to the appropriate governance group.</w:t>
      </w:r>
    </w:p>
    <w:p w:rsidR="00A1463E" w:rsidRDefault="00F52429">
      <w:pPr>
        <w:pStyle w:val="BodyText"/>
        <w:spacing w:before="173" w:line="235" w:lineRule="auto"/>
        <w:ind w:left="644" w:right="865"/>
      </w:pPr>
      <w:r>
        <w:t>The Office of the GCIO also operated under the Department of Finance Risk Management Framework with risks identified and recorded on a risk register.</w:t>
      </w:r>
    </w:p>
    <w:p w:rsidR="00A1463E" w:rsidRDefault="00A1463E">
      <w:pPr>
        <w:spacing w:line="235" w:lineRule="auto"/>
        <w:sectPr w:rsidR="00A1463E">
          <w:type w:val="continuous"/>
          <w:pgSz w:w="16840" w:h="11910" w:orient="landscape"/>
          <w:pgMar w:top="560" w:right="0" w:bottom="0" w:left="0" w:header="720" w:footer="720" w:gutter="0"/>
          <w:cols w:num="3" w:space="720" w:equalWidth="0">
            <w:col w:w="5384" w:space="40"/>
            <w:col w:w="5345" w:space="39"/>
            <w:col w:w="6032"/>
          </w:cols>
        </w:sectPr>
      </w:pPr>
    </w:p>
    <w:p w:rsidR="00A1463E" w:rsidRDefault="00A1463E">
      <w:pPr>
        <w:pStyle w:val="BodyText"/>
        <w:spacing w:before="7"/>
        <w:rPr>
          <w:sz w:val="8"/>
        </w:rPr>
      </w:pPr>
    </w:p>
    <w:p w:rsidR="00A1463E" w:rsidRDefault="00F52429" w:rsidP="003B1E41">
      <w:pPr>
        <w:pStyle w:val="Heading1"/>
      </w:pPr>
      <w:r>
        <w:rPr>
          <w:w w:val="105"/>
        </w:rPr>
        <w:t>DIGITAL TRANSFORMATION: leadership through policy</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A1463E">
      <w:pPr>
        <w:rPr>
          <w:sz w:val="14"/>
        </w:rPr>
        <w:sectPr w:rsidR="00A1463E">
          <w:headerReference w:type="default" r:id="rId17"/>
          <w:pgSz w:w="16840" w:h="11910" w:orient="landscape"/>
          <w:pgMar w:top="540" w:right="0" w:bottom="360" w:left="0" w:header="229" w:footer="145" w:gutter="0"/>
          <w:cols w:space="720"/>
        </w:sectPr>
      </w:pPr>
    </w:p>
    <w:p w:rsidR="00A1463E" w:rsidRDefault="00F52429" w:rsidP="003B1E41">
      <w:pPr>
        <w:pStyle w:val="Heading2"/>
      </w:pPr>
      <w:r>
        <w:t>Digital WA Strategy</w:t>
      </w:r>
    </w:p>
    <w:p w:rsidR="00A1463E" w:rsidRDefault="00F52429">
      <w:pPr>
        <w:pStyle w:val="BodyText"/>
        <w:spacing w:before="34" w:line="235" w:lineRule="auto"/>
        <w:ind w:left="680" w:right="446"/>
      </w:pPr>
      <w:r>
        <w:rPr>
          <w:i/>
        </w:rPr>
        <w:t xml:space="preserve">Digital WA </w:t>
      </w:r>
      <w:r>
        <w:t>provides the strategic framework for digital transformation in the WA public sector, with the overarching vision of better services</w:t>
      </w:r>
    </w:p>
    <w:p w:rsidR="00A1463E" w:rsidRDefault="00F52429">
      <w:pPr>
        <w:pStyle w:val="BodyText"/>
        <w:spacing w:before="2" w:line="235" w:lineRule="auto"/>
        <w:ind w:left="680"/>
      </w:pPr>
      <w:r>
        <w:t>delivered</w:t>
      </w:r>
      <w:r>
        <w:rPr>
          <w:spacing w:val="-5"/>
        </w:rPr>
        <w:t xml:space="preserve"> </w:t>
      </w:r>
      <w:r>
        <w:t>to</w:t>
      </w:r>
      <w:r>
        <w:rPr>
          <w:spacing w:val="-6"/>
        </w:rPr>
        <w:t xml:space="preserve"> </w:t>
      </w:r>
      <w:r>
        <w:t>the</w:t>
      </w:r>
      <w:r>
        <w:rPr>
          <w:spacing w:val="-5"/>
        </w:rPr>
        <w:t xml:space="preserve"> </w:t>
      </w:r>
      <w:r>
        <w:rPr>
          <w:spacing w:val="-3"/>
        </w:rPr>
        <w:t>community,</w:t>
      </w:r>
      <w:r>
        <w:rPr>
          <w:spacing w:val="-5"/>
        </w:rPr>
        <w:t xml:space="preserve"> </w:t>
      </w:r>
      <w:r>
        <w:t>supported</w:t>
      </w:r>
      <w:r>
        <w:rPr>
          <w:spacing w:val="-5"/>
        </w:rPr>
        <w:t xml:space="preserve"> </w:t>
      </w:r>
      <w:r>
        <w:t>by</w:t>
      </w:r>
      <w:r>
        <w:rPr>
          <w:spacing w:val="-5"/>
        </w:rPr>
        <w:t xml:space="preserve"> </w:t>
      </w:r>
      <w:r>
        <w:t>innovative</w:t>
      </w:r>
      <w:r>
        <w:rPr>
          <w:spacing w:val="-5"/>
        </w:rPr>
        <w:t xml:space="preserve"> </w:t>
      </w:r>
      <w:r>
        <w:t>uses</w:t>
      </w:r>
      <w:r>
        <w:rPr>
          <w:spacing w:val="-6"/>
        </w:rPr>
        <w:t xml:space="preserve"> </w:t>
      </w:r>
      <w:r>
        <w:t>of</w:t>
      </w:r>
      <w:r>
        <w:rPr>
          <w:spacing w:val="-6"/>
        </w:rPr>
        <w:t xml:space="preserve"> </w:t>
      </w:r>
      <w:r>
        <w:t>technology</w:t>
      </w:r>
      <w:r>
        <w:rPr>
          <w:spacing w:val="-5"/>
        </w:rPr>
        <w:t xml:space="preserve"> </w:t>
      </w:r>
      <w:r>
        <w:t>by a public sector that is mature in its digital</w:t>
      </w:r>
      <w:r>
        <w:rPr>
          <w:spacing w:val="-14"/>
        </w:rPr>
        <w:t xml:space="preserve"> </w:t>
      </w:r>
      <w:r>
        <w:t>capabilities.</w:t>
      </w:r>
    </w:p>
    <w:p w:rsidR="00A1463E" w:rsidRDefault="00F52429">
      <w:pPr>
        <w:pStyle w:val="BodyText"/>
        <w:spacing w:before="172" w:line="235" w:lineRule="auto"/>
        <w:ind w:left="680" w:right="272"/>
      </w:pPr>
      <w:r>
        <w:t>The Strategy also provides direction for public sector agencies to create a more collaborative, whole-of-government approach leveraging the opportunities that new technologies and common platforms provide.</w:t>
      </w:r>
    </w:p>
    <w:p w:rsidR="00A1463E" w:rsidRDefault="00F52429">
      <w:pPr>
        <w:pStyle w:val="BodyText"/>
        <w:spacing w:before="173" w:line="235" w:lineRule="auto"/>
        <w:ind w:left="680"/>
      </w:pPr>
      <w:r>
        <w:t>The policies, programs and initiatives developed within the Office of the GCIO align within the strategic direction in this Strategy.</w:t>
      </w:r>
    </w:p>
    <w:p w:rsidR="00A1463E" w:rsidRDefault="00F52429">
      <w:pPr>
        <w:pStyle w:val="Heading2"/>
        <w:spacing w:before="163"/>
      </w:pPr>
      <w:r>
        <w:rPr>
          <w:color w:val="353434"/>
        </w:rPr>
        <w:t>Policies and guidance material</w:t>
      </w:r>
    </w:p>
    <w:p w:rsidR="00A1463E" w:rsidRDefault="00F52429">
      <w:pPr>
        <w:pStyle w:val="BodyText"/>
        <w:spacing w:before="91" w:line="235" w:lineRule="auto"/>
        <w:ind w:left="680" w:right="79"/>
      </w:pPr>
      <w:r>
        <w:t>In</w:t>
      </w:r>
      <w:r>
        <w:rPr>
          <w:spacing w:val="-3"/>
        </w:rPr>
        <w:t xml:space="preserve"> </w:t>
      </w:r>
      <w:r>
        <w:t>2017-18,</w:t>
      </w:r>
      <w:r>
        <w:rPr>
          <w:spacing w:val="-3"/>
        </w:rPr>
        <w:t xml:space="preserve"> </w:t>
      </w:r>
      <w:r>
        <w:t>the</w:t>
      </w:r>
      <w:r>
        <w:rPr>
          <w:spacing w:val="-3"/>
        </w:rPr>
        <w:t xml:space="preserve"> </w:t>
      </w:r>
      <w:r>
        <w:t>Office</w:t>
      </w:r>
      <w:r>
        <w:rPr>
          <w:spacing w:val="-4"/>
        </w:rPr>
        <w:t xml:space="preserve"> </w:t>
      </w:r>
      <w:r>
        <w:t>of</w:t>
      </w:r>
      <w:r>
        <w:rPr>
          <w:spacing w:val="-4"/>
        </w:rPr>
        <w:t xml:space="preserve"> </w:t>
      </w:r>
      <w:r>
        <w:t>the</w:t>
      </w:r>
      <w:r>
        <w:rPr>
          <w:spacing w:val="-3"/>
        </w:rPr>
        <w:t xml:space="preserve"> </w:t>
      </w:r>
      <w:r>
        <w:t>GCIO</w:t>
      </w:r>
      <w:r>
        <w:rPr>
          <w:spacing w:val="-3"/>
        </w:rPr>
        <w:t xml:space="preserve"> </w:t>
      </w:r>
      <w:r>
        <w:t>issued</w:t>
      </w:r>
      <w:r>
        <w:rPr>
          <w:spacing w:val="-4"/>
        </w:rPr>
        <w:t xml:space="preserve"> </w:t>
      </w:r>
      <w:r>
        <w:t>an</w:t>
      </w:r>
      <w:r>
        <w:rPr>
          <w:spacing w:val="-4"/>
        </w:rPr>
        <w:t xml:space="preserve"> </w:t>
      </w:r>
      <w:r>
        <w:t>Interim</w:t>
      </w:r>
      <w:r>
        <w:rPr>
          <w:spacing w:val="-3"/>
        </w:rPr>
        <w:t xml:space="preserve"> </w:t>
      </w:r>
      <w:r>
        <w:t>Privacy</w:t>
      </w:r>
      <w:r>
        <w:rPr>
          <w:spacing w:val="-4"/>
        </w:rPr>
        <w:t xml:space="preserve"> </w:t>
      </w:r>
      <w:r>
        <w:t>position</w:t>
      </w:r>
      <w:r>
        <w:rPr>
          <w:spacing w:val="-4"/>
        </w:rPr>
        <w:t xml:space="preserve"> </w:t>
      </w:r>
      <w:r>
        <w:t xml:space="preserve">which promotes the current mandated Policy Framework and Standards </w:t>
      </w:r>
      <w:r>
        <w:rPr>
          <w:spacing w:val="-3"/>
        </w:rPr>
        <w:t xml:space="preserve">for </w:t>
      </w:r>
      <w:r>
        <w:t>information sharing between agencies, and requires information sharing to be consistent with appropriate minimum privacy standards, such as the Australian Privacy</w:t>
      </w:r>
      <w:r>
        <w:rPr>
          <w:spacing w:val="-3"/>
        </w:rPr>
        <w:t xml:space="preserve"> </w:t>
      </w:r>
      <w:r>
        <w:t>Principles.</w:t>
      </w:r>
    </w:p>
    <w:p w:rsidR="00A1463E" w:rsidRDefault="00F52429">
      <w:pPr>
        <w:pStyle w:val="BodyText"/>
        <w:spacing w:before="175" w:line="235" w:lineRule="auto"/>
        <w:ind w:left="680"/>
      </w:pPr>
      <w:r>
        <w:t>The Office of the GCIO also issued the revised Digital Services Policy which sets a position for the provision and management of digital services within the WA public sector. This was supported by a range of standards and guidance materials released during the year to assist agencies in creating a consistent and accessible user experience:</w:t>
      </w:r>
    </w:p>
    <w:p w:rsidR="00A1463E" w:rsidRDefault="00F52429" w:rsidP="004151B8">
      <w:pPr>
        <w:pStyle w:val="ListParagraph"/>
        <w:numPr>
          <w:ilvl w:val="0"/>
          <w:numId w:val="19"/>
        </w:numPr>
        <w:tabs>
          <w:tab w:val="left" w:pos="881"/>
        </w:tabs>
        <w:spacing w:before="171" w:line="230" w:lineRule="auto"/>
        <w:ind w:hanging="170"/>
      </w:pPr>
      <w:r>
        <w:rPr>
          <w:spacing w:val="-3"/>
        </w:rPr>
        <w:t>Website</w:t>
      </w:r>
      <w:r>
        <w:rPr>
          <w:spacing w:val="-4"/>
        </w:rPr>
        <w:t xml:space="preserve"> </w:t>
      </w:r>
      <w:r>
        <w:t>Standard</w:t>
      </w:r>
      <w:r>
        <w:rPr>
          <w:spacing w:val="-5"/>
        </w:rPr>
        <w:t xml:space="preserve"> </w:t>
      </w:r>
      <w:r>
        <w:t>-</w:t>
      </w:r>
      <w:r>
        <w:rPr>
          <w:spacing w:val="-5"/>
        </w:rPr>
        <w:t xml:space="preserve"> </w:t>
      </w:r>
      <w:r>
        <w:t>to</w:t>
      </w:r>
      <w:r>
        <w:rPr>
          <w:spacing w:val="-5"/>
        </w:rPr>
        <w:t xml:space="preserve"> </w:t>
      </w:r>
      <w:r>
        <w:t>ensure</w:t>
      </w:r>
      <w:r>
        <w:rPr>
          <w:spacing w:val="-4"/>
        </w:rPr>
        <w:t xml:space="preserve"> </w:t>
      </w:r>
      <w:r>
        <w:t>websites</w:t>
      </w:r>
      <w:r>
        <w:rPr>
          <w:spacing w:val="-4"/>
        </w:rPr>
        <w:t xml:space="preserve"> </w:t>
      </w:r>
      <w:r>
        <w:t>are</w:t>
      </w:r>
      <w:r>
        <w:rPr>
          <w:spacing w:val="-4"/>
        </w:rPr>
        <w:t xml:space="preserve"> </w:t>
      </w:r>
      <w:r>
        <w:t>created</w:t>
      </w:r>
      <w:r>
        <w:rPr>
          <w:spacing w:val="-4"/>
        </w:rPr>
        <w:t xml:space="preserve"> </w:t>
      </w:r>
      <w:r>
        <w:rPr>
          <w:spacing w:val="-3"/>
        </w:rPr>
        <w:t>for</w:t>
      </w:r>
      <w:r>
        <w:rPr>
          <w:spacing w:val="-5"/>
        </w:rPr>
        <w:t xml:space="preserve"> </w:t>
      </w:r>
      <w:r>
        <w:t>the</w:t>
      </w:r>
      <w:r>
        <w:rPr>
          <w:spacing w:val="-4"/>
        </w:rPr>
        <w:t xml:space="preserve"> </w:t>
      </w:r>
      <w:r>
        <w:t>right</w:t>
      </w:r>
      <w:r>
        <w:rPr>
          <w:spacing w:val="-4"/>
        </w:rPr>
        <w:t xml:space="preserve"> </w:t>
      </w:r>
      <w:r>
        <w:t>purposes, planned and managed well, and use appropriate online</w:t>
      </w:r>
      <w:r>
        <w:rPr>
          <w:spacing w:val="-18"/>
        </w:rPr>
        <w:t xml:space="preserve"> </w:t>
      </w:r>
      <w:r>
        <w:t>addresses</w:t>
      </w:r>
    </w:p>
    <w:p w:rsidR="00A1463E" w:rsidRDefault="00F52429" w:rsidP="004151B8">
      <w:pPr>
        <w:pStyle w:val="ListParagraph"/>
        <w:numPr>
          <w:ilvl w:val="0"/>
          <w:numId w:val="19"/>
        </w:numPr>
        <w:tabs>
          <w:tab w:val="left" w:pos="881"/>
        </w:tabs>
        <w:spacing w:before="111" w:line="230" w:lineRule="auto"/>
        <w:ind w:right="26" w:hanging="170"/>
      </w:pPr>
      <w:r>
        <w:t>Content Standard - to ensure information and instructions provided online</w:t>
      </w:r>
      <w:r>
        <w:rPr>
          <w:spacing w:val="-6"/>
        </w:rPr>
        <w:t xml:space="preserve"> </w:t>
      </w:r>
      <w:r>
        <w:t>are</w:t>
      </w:r>
      <w:r>
        <w:rPr>
          <w:spacing w:val="-5"/>
        </w:rPr>
        <w:t xml:space="preserve"> </w:t>
      </w:r>
      <w:r>
        <w:t>clear</w:t>
      </w:r>
      <w:r>
        <w:rPr>
          <w:spacing w:val="-5"/>
        </w:rPr>
        <w:t xml:space="preserve"> </w:t>
      </w:r>
      <w:r>
        <w:t>and</w:t>
      </w:r>
      <w:r>
        <w:rPr>
          <w:spacing w:val="-6"/>
        </w:rPr>
        <w:t xml:space="preserve"> </w:t>
      </w:r>
      <w:r>
        <w:t>easy</w:t>
      </w:r>
      <w:r>
        <w:rPr>
          <w:spacing w:val="-5"/>
        </w:rPr>
        <w:t xml:space="preserve"> </w:t>
      </w:r>
      <w:r>
        <w:t>to</w:t>
      </w:r>
      <w:r>
        <w:rPr>
          <w:spacing w:val="-6"/>
        </w:rPr>
        <w:t xml:space="preserve"> </w:t>
      </w:r>
      <w:r>
        <w:t>understand,</w:t>
      </w:r>
      <w:r>
        <w:rPr>
          <w:spacing w:val="-6"/>
        </w:rPr>
        <w:t xml:space="preserve"> </w:t>
      </w:r>
      <w:r>
        <w:t>appropriate</w:t>
      </w:r>
      <w:r>
        <w:rPr>
          <w:spacing w:val="-5"/>
        </w:rPr>
        <w:t xml:space="preserve"> </w:t>
      </w:r>
      <w:r>
        <w:t>to</w:t>
      </w:r>
      <w:r>
        <w:rPr>
          <w:spacing w:val="-6"/>
        </w:rPr>
        <w:t xml:space="preserve"> </w:t>
      </w:r>
      <w:r>
        <w:t>the</w:t>
      </w:r>
      <w:r>
        <w:rPr>
          <w:spacing w:val="-5"/>
        </w:rPr>
        <w:t xml:space="preserve"> </w:t>
      </w:r>
      <w:r>
        <w:t>audience</w:t>
      </w:r>
      <w:r>
        <w:rPr>
          <w:spacing w:val="-6"/>
        </w:rPr>
        <w:t xml:space="preserve"> </w:t>
      </w:r>
      <w:r>
        <w:t>and channel, and easier to search and</w:t>
      </w:r>
      <w:r>
        <w:rPr>
          <w:spacing w:val="-6"/>
        </w:rPr>
        <w:t xml:space="preserve"> </w:t>
      </w:r>
      <w:r>
        <w:t>navigate</w:t>
      </w:r>
    </w:p>
    <w:p w:rsidR="00A1463E" w:rsidRDefault="00F52429" w:rsidP="004151B8">
      <w:pPr>
        <w:pStyle w:val="ListParagraph"/>
        <w:numPr>
          <w:ilvl w:val="0"/>
          <w:numId w:val="19"/>
        </w:numPr>
        <w:tabs>
          <w:tab w:val="left" w:pos="881"/>
        </w:tabs>
        <w:spacing w:before="110" w:line="230" w:lineRule="auto"/>
        <w:ind w:right="521" w:hanging="170"/>
      </w:pPr>
      <w:r>
        <w:rPr>
          <w:spacing w:val="-3"/>
        </w:rPr>
        <w:t xml:space="preserve">Website </w:t>
      </w:r>
      <w:r>
        <w:t xml:space="preserve">Metadata </w:t>
      </w:r>
      <w:r>
        <w:rPr>
          <w:spacing w:val="-3"/>
        </w:rPr>
        <w:t xml:space="preserve">Tagging </w:t>
      </w:r>
      <w:r>
        <w:t>- to ensure website content can be</w:t>
      </w:r>
      <w:r>
        <w:rPr>
          <w:spacing w:val="-32"/>
        </w:rPr>
        <w:t xml:space="preserve"> </w:t>
      </w:r>
      <w:r>
        <w:t>easily found in online</w:t>
      </w:r>
      <w:r>
        <w:rPr>
          <w:spacing w:val="-4"/>
        </w:rPr>
        <w:t xml:space="preserve"> </w:t>
      </w:r>
      <w:r>
        <w:t>searches</w:t>
      </w:r>
    </w:p>
    <w:p w:rsidR="00A1463E" w:rsidRDefault="00F52429" w:rsidP="004151B8">
      <w:pPr>
        <w:pStyle w:val="ListParagraph"/>
        <w:numPr>
          <w:ilvl w:val="0"/>
          <w:numId w:val="19"/>
        </w:numPr>
        <w:tabs>
          <w:tab w:val="left" w:pos="881"/>
        </w:tabs>
        <w:spacing w:before="102"/>
        <w:ind w:hanging="170"/>
      </w:pPr>
      <w:r>
        <w:t>Accessibility and Inclusivity Standard - to ensure Government</w:t>
      </w:r>
      <w:r>
        <w:rPr>
          <w:spacing w:val="-24"/>
        </w:rPr>
        <w:t xml:space="preserve"> </w:t>
      </w:r>
      <w:r>
        <w:t>websites</w:t>
      </w:r>
    </w:p>
    <w:p w:rsidR="00A1463E" w:rsidRDefault="00F52429">
      <w:pPr>
        <w:pStyle w:val="BodyText"/>
        <w:spacing w:before="61" w:line="230" w:lineRule="auto"/>
        <w:ind w:left="880" w:right="1386"/>
      </w:pPr>
      <w:r>
        <w:br w:type="column"/>
      </w:r>
      <w:r>
        <w:t>and online services can be accessed by people who may otherwise experience barriers due to language, disability or location;</w:t>
      </w:r>
    </w:p>
    <w:p w:rsidR="00A1463E" w:rsidRDefault="00F52429" w:rsidP="004151B8">
      <w:pPr>
        <w:pStyle w:val="ListParagraph"/>
        <w:numPr>
          <w:ilvl w:val="0"/>
          <w:numId w:val="19"/>
        </w:numPr>
        <w:tabs>
          <w:tab w:val="left" w:pos="881"/>
        </w:tabs>
        <w:spacing w:before="111" w:line="230" w:lineRule="auto"/>
        <w:ind w:right="701"/>
      </w:pPr>
      <w:r>
        <w:rPr>
          <w:spacing w:val="-3"/>
        </w:rPr>
        <w:t>Website</w:t>
      </w:r>
      <w:r>
        <w:rPr>
          <w:spacing w:val="-5"/>
        </w:rPr>
        <w:t xml:space="preserve"> </w:t>
      </w:r>
      <w:r>
        <w:t>Visual</w:t>
      </w:r>
      <w:r>
        <w:rPr>
          <w:spacing w:val="-6"/>
        </w:rPr>
        <w:t xml:space="preserve"> </w:t>
      </w:r>
      <w:r>
        <w:t>Design</w:t>
      </w:r>
      <w:r>
        <w:rPr>
          <w:spacing w:val="-6"/>
        </w:rPr>
        <w:t xml:space="preserve"> </w:t>
      </w:r>
      <w:r>
        <w:t>and</w:t>
      </w:r>
      <w:r>
        <w:rPr>
          <w:spacing w:val="-6"/>
        </w:rPr>
        <w:t xml:space="preserve"> </w:t>
      </w:r>
      <w:r>
        <w:t>Functionality</w:t>
      </w:r>
      <w:r>
        <w:rPr>
          <w:spacing w:val="-6"/>
        </w:rPr>
        <w:t xml:space="preserve"> </w:t>
      </w:r>
      <w:r>
        <w:t>-</w:t>
      </w:r>
      <w:r>
        <w:rPr>
          <w:spacing w:val="-6"/>
        </w:rPr>
        <w:t xml:space="preserve"> </w:t>
      </w:r>
      <w:r>
        <w:t>to</w:t>
      </w:r>
      <w:r>
        <w:rPr>
          <w:spacing w:val="-6"/>
        </w:rPr>
        <w:t xml:space="preserve"> </w:t>
      </w:r>
      <w:r>
        <w:t>ensure</w:t>
      </w:r>
      <w:r>
        <w:rPr>
          <w:spacing w:val="-5"/>
        </w:rPr>
        <w:t xml:space="preserve"> </w:t>
      </w:r>
      <w:r>
        <w:t>Government</w:t>
      </w:r>
      <w:r>
        <w:rPr>
          <w:spacing w:val="-5"/>
        </w:rPr>
        <w:t xml:space="preserve"> </w:t>
      </w:r>
      <w:r>
        <w:t>websites begin to look and operate the same, regardless of which agency owns them</w:t>
      </w:r>
    </w:p>
    <w:p w:rsidR="00A1463E" w:rsidRDefault="00F52429" w:rsidP="004151B8">
      <w:pPr>
        <w:pStyle w:val="ListParagraph"/>
        <w:numPr>
          <w:ilvl w:val="0"/>
          <w:numId w:val="19"/>
        </w:numPr>
        <w:tabs>
          <w:tab w:val="left" w:pos="881"/>
        </w:tabs>
        <w:spacing w:before="110" w:line="230" w:lineRule="auto"/>
        <w:ind w:right="1020"/>
      </w:pPr>
      <w:r>
        <w:rPr>
          <w:spacing w:val="-3"/>
        </w:rPr>
        <w:t xml:space="preserve">Website </w:t>
      </w:r>
      <w:r>
        <w:t>Style Standard - to help agencies quickly and efficiently apply consistent</w:t>
      </w:r>
      <w:r>
        <w:rPr>
          <w:spacing w:val="-7"/>
        </w:rPr>
        <w:t xml:space="preserve"> </w:t>
      </w:r>
      <w:r>
        <w:t>designs</w:t>
      </w:r>
      <w:r>
        <w:rPr>
          <w:spacing w:val="-8"/>
        </w:rPr>
        <w:t xml:space="preserve"> </w:t>
      </w:r>
      <w:r>
        <w:t>to</w:t>
      </w:r>
      <w:r>
        <w:rPr>
          <w:spacing w:val="-8"/>
        </w:rPr>
        <w:t xml:space="preserve"> </w:t>
      </w:r>
      <w:r>
        <w:t>their</w:t>
      </w:r>
      <w:r>
        <w:rPr>
          <w:spacing w:val="-7"/>
        </w:rPr>
        <w:t xml:space="preserve"> </w:t>
      </w:r>
      <w:r>
        <w:t>websites,</w:t>
      </w:r>
      <w:r>
        <w:rPr>
          <w:spacing w:val="-7"/>
        </w:rPr>
        <w:t xml:space="preserve"> </w:t>
      </w:r>
      <w:r>
        <w:t>regardless</w:t>
      </w:r>
      <w:r>
        <w:rPr>
          <w:spacing w:val="-8"/>
        </w:rPr>
        <w:t xml:space="preserve"> </w:t>
      </w:r>
      <w:r>
        <w:t>of</w:t>
      </w:r>
      <w:r>
        <w:rPr>
          <w:spacing w:val="-8"/>
        </w:rPr>
        <w:t xml:space="preserve"> </w:t>
      </w:r>
      <w:r>
        <w:t>the</w:t>
      </w:r>
      <w:r>
        <w:rPr>
          <w:spacing w:val="-7"/>
        </w:rPr>
        <w:t xml:space="preserve"> </w:t>
      </w:r>
      <w:r>
        <w:t>technology</w:t>
      </w:r>
      <w:r>
        <w:rPr>
          <w:spacing w:val="-7"/>
        </w:rPr>
        <w:t xml:space="preserve"> </w:t>
      </w:r>
      <w:r>
        <w:t>used</w:t>
      </w:r>
    </w:p>
    <w:p w:rsidR="00A1463E" w:rsidRDefault="00F52429" w:rsidP="004151B8">
      <w:pPr>
        <w:pStyle w:val="ListParagraph"/>
        <w:numPr>
          <w:ilvl w:val="0"/>
          <w:numId w:val="19"/>
        </w:numPr>
        <w:tabs>
          <w:tab w:val="left" w:pos="881"/>
        </w:tabs>
        <w:spacing w:before="111" w:line="230" w:lineRule="auto"/>
        <w:ind w:right="894"/>
      </w:pPr>
      <w:r>
        <w:rPr>
          <w:spacing w:val="-6"/>
        </w:rPr>
        <w:t xml:space="preserve">WA </w:t>
      </w:r>
      <w:r>
        <w:t xml:space="preserve">Domain Name - to ensure proper use and application of the </w:t>
      </w:r>
      <w:r>
        <w:rPr>
          <w:spacing w:val="-4"/>
        </w:rPr>
        <w:t xml:space="preserve">wa.gov. </w:t>
      </w:r>
      <w:r>
        <w:t>au</w:t>
      </w:r>
      <w:r>
        <w:rPr>
          <w:spacing w:val="-2"/>
        </w:rPr>
        <w:t xml:space="preserve"> </w:t>
      </w:r>
      <w:r>
        <w:t>domain</w:t>
      </w:r>
    </w:p>
    <w:p w:rsidR="00A1463E" w:rsidRDefault="00F52429">
      <w:pPr>
        <w:pStyle w:val="BodyText"/>
        <w:spacing w:before="57" w:line="235" w:lineRule="auto"/>
        <w:ind w:left="680" w:right="750"/>
      </w:pPr>
      <w:r>
        <w:t xml:space="preserve">The Office of the GCIO also issued the Cloud Policy Supplementary Guide consisting of 15 factsheets (including off-shoring data and cloud risk assessment) and four public sector cloud adoption case studies, and the Open Data Policy - Data Charging Guideline covering intellectual property and charging for data within State Government. This was approved by the </w:t>
      </w:r>
      <w:proofErr w:type="spellStart"/>
      <w:r>
        <w:t>DsG</w:t>
      </w:r>
      <w:proofErr w:type="spellEnd"/>
      <w:r>
        <w:t xml:space="preserve"> ICT Council on 12 June 2018, and will be published by </w:t>
      </w:r>
      <w:proofErr w:type="spellStart"/>
      <w:r>
        <w:t>Landgate</w:t>
      </w:r>
      <w:proofErr w:type="spellEnd"/>
      <w:r>
        <w:t xml:space="preserve"> on the Open Data Portal, as part of the Open Data Toolkit.</w:t>
      </w:r>
    </w:p>
    <w:p w:rsidR="00A1463E" w:rsidRDefault="00A1463E">
      <w:pPr>
        <w:spacing w:line="235" w:lineRule="auto"/>
        <w:sectPr w:rsidR="00A1463E">
          <w:type w:val="continuous"/>
          <w:pgSz w:w="16840" w:h="11910" w:orient="landscape"/>
          <w:pgMar w:top="560" w:right="0" w:bottom="0" w:left="0" w:header="720" w:footer="720" w:gutter="0"/>
          <w:cols w:num="2" w:space="720" w:equalWidth="0">
            <w:col w:w="8015" w:space="64"/>
            <w:col w:w="8761"/>
          </w:cols>
        </w:sectPr>
      </w:pPr>
    </w:p>
    <w:p w:rsidR="00A1463E" w:rsidRDefault="00A1463E">
      <w:pPr>
        <w:pStyle w:val="BodyText"/>
        <w:spacing w:before="6"/>
        <w:rPr>
          <w:sz w:val="8"/>
        </w:rPr>
      </w:pPr>
    </w:p>
    <w:p w:rsidR="00A1463E" w:rsidRDefault="00F52429" w:rsidP="003B1E41">
      <w:pPr>
        <w:pStyle w:val="Heading1"/>
      </w:pPr>
      <w:r>
        <w:rPr>
          <w:w w:val="105"/>
        </w:rPr>
        <w:t>DIGITAL TRANSFORMATION: leadership through policy</w:t>
      </w:r>
    </w:p>
    <w:p w:rsidR="00A1463E" w:rsidRDefault="00A1463E">
      <w:pPr>
        <w:pStyle w:val="BodyText"/>
        <w:spacing w:line="60" w:lineRule="exact"/>
        <w:ind w:left="650"/>
        <w:rPr>
          <w:sz w:val="6"/>
        </w:rPr>
      </w:pPr>
    </w:p>
    <w:p w:rsidR="00A1463E" w:rsidRDefault="00A1463E">
      <w:pPr>
        <w:pStyle w:val="BodyText"/>
        <w:spacing w:before="10"/>
        <w:rPr>
          <w:sz w:val="20"/>
        </w:rPr>
      </w:pPr>
    </w:p>
    <w:p w:rsidR="00A1463E" w:rsidRDefault="00F52429" w:rsidP="003B1E41">
      <w:pPr>
        <w:pStyle w:val="Heading2"/>
      </w:pPr>
      <w:r>
        <w:t>Case Study: Undertaking Successful Co-Design: development of a whole of government user experience</w:t>
      </w:r>
    </w:p>
    <w:p w:rsidR="00A1463E" w:rsidRDefault="00F52429" w:rsidP="009352BE">
      <w:pPr>
        <w:pStyle w:val="BodyText"/>
        <w:spacing w:before="172" w:line="235" w:lineRule="auto"/>
        <w:ind w:left="709" w:right="1033"/>
      </w:pPr>
      <w:r>
        <w:t>During 2017-18, the Office of the GCIO collaborated with user groups and subject matter experts to establish clear design and functional standards for WA public sector agency websites to support a ‘one government’ user experience.</w:t>
      </w:r>
    </w:p>
    <w:p w:rsidR="00A1463E" w:rsidRDefault="00F52429" w:rsidP="009352BE">
      <w:pPr>
        <w:pStyle w:val="BodyText"/>
        <w:spacing w:before="174" w:line="235" w:lineRule="auto"/>
        <w:ind w:left="709" w:right="827"/>
      </w:pPr>
      <w:r>
        <w:t>Using an agile approach, this work was tested and refined throughout the development of the whole-of-government website, WA.gov.au. The approved standards have been documented in both the Website Visual Design and Functional Standard and Website Style Standard, released in April 2018.</w:t>
      </w:r>
    </w:p>
    <w:p w:rsidR="00A1463E" w:rsidRDefault="00F52429" w:rsidP="009352BE">
      <w:pPr>
        <w:pStyle w:val="BodyText"/>
        <w:spacing w:before="175" w:line="235" w:lineRule="auto"/>
        <w:ind w:left="709" w:right="827"/>
      </w:pPr>
      <w:r>
        <w:t>As the design of WA.gov.au is based on usability rather than aesthetics, it operates on a low bandwidth, making it more accessible for West Australians in regional areas or those with poor internet connections. The design also aims to comply with Web Content Accessibility Guidelines (WCAG 2.0) level AA.</w:t>
      </w:r>
    </w:p>
    <w:p w:rsidR="00A1463E" w:rsidRDefault="00F52429" w:rsidP="009352BE">
      <w:pPr>
        <w:pStyle w:val="BodyText"/>
        <w:spacing w:before="174" w:line="235" w:lineRule="auto"/>
        <w:ind w:left="709" w:right="1033"/>
      </w:pPr>
      <w:r>
        <w:t>Having information and services presented seamlessly across government websites will make it easier for people to navigate and engage with government.</w:t>
      </w:r>
    </w:p>
    <w:p w:rsidR="00A1463E" w:rsidRDefault="00A1463E">
      <w:pPr>
        <w:pStyle w:val="BodyText"/>
        <w:rPr>
          <w:sz w:val="20"/>
        </w:rPr>
      </w:pPr>
    </w:p>
    <w:p w:rsidR="00A1463E" w:rsidRDefault="00A1463E" w:rsidP="00600A68">
      <w:pPr>
        <w:pStyle w:val="BodyText"/>
        <w:rPr>
          <w:sz w:val="19"/>
        </w:rPr>
      </w:pPr>
    </w:p>
    <w:p w:rsidR="00A1463E" w:rsidRDefault="00A1463E">
      <w:pPr>
        <w:rPr>
          <w:sz w:val="19"/>
        </w:rPr>
        <w:sectPr w:rsidR="00A1463E">
          <w:pgSz w:w="16840" w:h="11910" w:orient="landscape"/>
          <w:pgMar w:top="540" w:right="0" w:bottom="360" w:left="0" w:header="229" w:footer="145" w:gutter="0"/>
          <w:cols w:space="720"/>
        </w:sectPr>
      </w:pPr>
    </w:p>
    <w:p w:rsidR="00A1463E" w:rsidRDefault="00A1463E">
      <w:pPr>
        <w:pStyle w:val="BodyText"/>
        <w:spacing w:before="7"/>
        <w:rPr>
          <w:sz w:val="8"/>
        </w:rPr>
      </w:pPr>
    </w:p>
    <w:p w:rsidR="00A1463E" w:rsidRDefault="00A1463E">
      <w:pPr>
        <w:rPr>
          <w:sz w:val="8"/>
        </w:rPr>
        <w:sectPr w:rsidR="00A1463E">
          <w:pgSz w:w="16840" w:h="11910" w:orient="landscape"/>
          <w:pgMar w:top="540" w:right="0" w:bottom="360" w:left="0" w:header="229" w:footer="145" w:gutter="0"/>
          <w:cols w:space="720"/>
        </w:sectPr>
      </w:pPr>
    </w:p>
    <w:p w:rsidR="00A1463E" w:rsidRDefault="00F52429" w:rsidP="003B1E41">
      <w:pPr>
        <w:pStyle w:val="Heading1"/>
      </w:pPr>
      <w:r>
        <w:rPr>
          <w:w w:val="105"/>
        </w:rPr>
        <w:t>DIGITAL TRANSFORMATION: leadership through policy</w:t>
      </w:r>
    </w:p>
    <w:p w:rsidR="00A1463E" w:rsidRDefault="00F52429">
      <w:pPr>
        <w:pStyle w:val="BodyText"/>
        <w:spacing w:before="247" w:line="235" w:lineRule="auto"/>
        <w:ind w:left="680"/>
      </w:pPr>
      <w:r>
        <w:t>In 2017-18, the Office of the GCIO published the Western Australian Enterprise Architecture Framework and reported on the key performance indicators (KPIs) in Digital WA.</w:t>
      </w:r>
    </w:p>
    <w:p w:rsidR="00A1463E" w:rsidRDefault="00F52429">
      <w:pPr>
        <w:pStyle w:val="Heading2"/>
        <w:spacing w:before="131" w:line="220" w:lineRule="auto"/>
      </w:pPr>
      <w:r>
        <w:rPr>
          <w:color w:val="353434"/>
          <w:spacing w:val="-4"/>
        </w:rPr>
        <w:t xml:space="preserve">Western </w:t>
      </w:r>
      <w:r>
        <w:rPr>
          <w:color w:val="353434"/>
          <w:spacing w:val="-3"/>
        </w:rPr>
        <w:t xml:space="preserve">Australian Enterprise </w:t>
      </w:r>
      <w:r>
        <w:rPr>
          <w:color w:val="353434"/>
        </w:rPr>
        <w:t xml:space="preserve">Architecture </w:t>
      </w:r>
      <w:r>
        <w:rPr>
          <w:color w:val="353434"/>
          <w:spacing w:val="-3"/>
        </w:rPr>
        <w:t>Framework (WEAF)</w:t>
      </w:r>
    </w:p>
    <w:p w:rsidR="00A1463E" w:rsidRDefault="00F52429">
      <w:pPr>
        <w:pStyle w:val="BodyText"/>
        <w:spacing w:before="99" w:line="235" w:lineRule="auto"/>
        <w:ind w:left="680" w:right="183"/>
      </w:pPr>
      <w:r>
        <w:t>Building on the work done in 2016-17 that provided guidance to agencies on how they could develop or grow their own Enterprise Architecture (EA) disciplines and practices, the Office of the GCIO released the first whole of government EA framework, the Western Australian Enterprise Architecture Framework (WEAF).</w:t>
      </w:r>
    </w:p>
    <w:p w:rsidR="00A1463E" w:rsidRDefault="00F52429">
      <w:pPr>
        <w:pStyle w:val="BodyText"/>
        <w:spacing w:before="175" w:line="235" w:lineRule="auto"/>
        <w:ind w:left="680" w:right="183"/>
      </w:pPr>
      <w:r>
        <w:t>The WEAF provides a common approach and language to be used by agencies to identify and map out their business functions, services, information, and technology.</w:t>
      </w:r>
    </w:p>
    <w:p w:rsidR="00A1463E" w:rsidRDefault="00F52429">
      <w:pPr>
        <w:pStyle w:val="BodyText"/>
        <w:spacing w:before="173" w:line="235" w:lineRule="auto"/>
        <w:ind w:left="680" w:right="90"/>
      </w:pPr>
      <w:r>
        <w:t xml:space="preserve">The Office of the GCIO also commenced the first whole of government data collection based on the WEAF. Information about the services an agency provides, the functions they carry out, and the systems and technologies they use to support those activities is being collected and </w:t>
      </w:r>
      <w:proofErr w:type="spellStart"/>
      <w:r>
        <w:t>categorised</w:t>
      </w:r>
      <w:proofErr w:type="spellEnd"/>
      <w:r>
        <w:t xml:space="preserve"> against the WEAF standards. This will be an ongoing and “live” process for agencies to provide data on a regular basis as their </w:t>
      </w:r>
      <w:proofErr w:type="spellStart"/>
      <w:r>
        <w:t>organisational</w:t>
      </w:r>
      <w:proofErr w:type="spellEnd"/>
      <w:r>
        <w:t xml:space="preserve"> capacity and capabilities change and evolve.</w:t>
      </w:r>
    </w:p>
    <w:p w:rsidR="00A1463E" w:rsidRDefault="00F52429">
      <w:pPr>
        <w:pStyle w:val="BodyText"/>
        <w:spacing w:before="176" w:line="235" w:lineRule="auto"/>
        <w:ind w:left="680" w:right="238"/>
      </w:pPr>
      <w:r>
        <w:t>The prototype release of this information as a searchable catalogue for the public sector only went live in June 2018, and will continue to grow and be developed throughout 2018-19. This online catalogue will allow agencies to identify circumstances where their business services and functions</w:t>
      </w:r>
    </w:p>
    <w:p w:rsidR="00A1463E" w:rsidRDefault="00F52429">
      <w:pPr>
        <w:pStyle w:val="BodyText"/>
        <w:spacing w:before="4" w:line="235" w:lineRule="auto"/>
        <w:ind w:left="680" w:right="673"/>
      </w:pPr>
      <w:r>
        <w:t>may align with work done by other agencies, creating opportunities for collaboration and cooperation to be more efficient and effective in delivering services to the community.</w:t>
      </w:r>
    </w:p>
    <w:p w:rsidR="00A1463E" w:rsidRDefault="00F52429">
      <w:pPr>
        <w:pStyle w:val="BodyText"/>
        <w:spacing w:before="173" w:line="235" w:lineRule="auto"/>
        <w:ind w:left="680"/>
      </w:pPr>
      <w:r>
        <w:t>As at 30 June 2018, the prototype catalogue contained 162 services that 85 agencies collectively deliver to WA citizens on behalf of the Government.</w:t>
      </w:r>
    </w:p>
    <w:p w:rsidR="00D138C6" w:rsidRDefault="00F52429" w:rsidP="0038227C">
      <w:pPr>
        <w:pStyle w:val="BodyText"/>
        <w:spacing w:before="1" w:line="235" w:lineRule="auto"/>
        <w:ind w:left="426" w:right="75"/>
      </w:pPr>
      <w:r>
        <w:t xml:space="preserve">The catalogue also identified 331 products or applications used in 21 agencies, </w:t>
      </w:r>
      <w:r>
        <w:t>some of which overlap and exist in multiple agencies.</w:t>
      </w:r>
    </w:p>
    <w:p w:rsidR="00D138C6" w:rsidRDefault="00D138C6" w:rsidP="00D138C6">
      <w:pPr>
        <w:pStyle w:val="BodyText"/>
        <w:spacing w:before="1" w:line="235" w:lineRule="auto"/>
        <w:ind w:left="680" w:right="75"/>
      </w:pPr>
    </w:p>
    <w:p w:rsidR="00A1463E" w:rsidRDefault="00F52429" w:rsidP="00D138C6">
      <w:pPr>
        <w:pStyle w:val="Heading2"/>
        <w:ind w:left="426"/>
      </w:pPr>
      <w:r>
        <w:rPr>
          <w:spacing w:val="-4"/>
        </w:rPr>
        <w:t xml:space="preserve">Key </w:t>
      </w:r>
      <w:r>
        <w:rPr>
          <w:spacing w:val="-3"/>
        </w:rPr>
        <w:t xml:space="preserve">Performance Indicator </w:t>
      </w:r>
      <w:r>
        <w:rPr>
          <w:spacing w:val="-6"/>
        </w:rPr>
        <w:t xml:space="preserve">(KPI) </w:t>
      </w:r>
      <w:r>
        <w:t xml:space="preserve">Data Collection </w:t>
      </w:r>
      <w:r>
        <w:rPr>
          <w:spacing w:val="-2"/>
        </w:rPr>
        <w:t xml:space="preserve">and </w:t>
      </w:r>
      <w:r>
        <w:t>Reporting Process Project</w:t>
      </w:r>
    </w:p>
    <w:p w:rsidR="00A1463E" w:rsidRDefault="00F52429" w:rsidP="00D138C6">
      <w:pPr>
        <w:pStyle w:val="BodyText"/>
        <w:ind w:left="426"/>
      </w:pPr>
      <w:r>
        <w:t>Digital WA includes the following KPIs:</w:t>
      </w:r>
    </w:p>
    <w:p w:rsidR="00A1463E" w:rsidRDefault="00F52429" w:rsidP="004151B8">
      <w:pPr>
        <w:pStyle w:val="ListParagraph"/>
        <w:numPr>
          <w:ilvl w:val="0"/>
          <w:numId w:val="18"/>
        </w:numPr>
        <w:tabs>
          <w:tab w:val="left" w:pos="700"/>
        </w:tabs>
        <w:spacing w:before="166" w:line="230" w:lineRule="auto"/>
        <w:ind w:right="954" w:hanging="170"/>
      </w:pPr>
      <w:r>
        <w:t>&gt;90</w:t>
      </w:r>
      <w:r>
        <w:rPr>
          <w:spacing w:val="-6"/>
        </w:rPr>
        <w:t xml:space="preserve"> </w:t>
      </w:r>
      <w:r>
        <w:t>percent</w:t>
      </w:r>
      <w:r>
        <w:rPr>
          <w:spacing w:val="-5"/>
        </w:rPr>
        <w:t xml:space="preserve"> </w:t>
      </w:r>
      <w:r>
        <w:t>of</w:t>
      </w:r>
      <w:r>
        <w:rPr>
          <w:spacing w:val="-6"/>
        </w:rPr>
        <w:t xml:space="preserve"> </w:t>
      </w:r>
      <w:r>
        <w:t>the</w:t>
      </w:r>
      <w:r>
        <w:rPr>
          <w:spacing w:val="-5"/>
        </w:rPr>
        <w:t xml:space="preserve"> </w:t>
      </w:r>
      <w:r>
        <w:t>ICT</w:t>
      </w:r>
      <w:r>
        <w:rPr>
          <w:spacing w:val="-6"/>
        </w:rPr>
        <w:t xml:space="preserve"> </w:t>
      </w:r>
      <w:r>
        <w:t>components</w:t>
      </w:r>
      <w:r>
        <w:rPr>
          <w:spacing w:val="-5"/>
        </w:rPr>
        <w:t xml:space="preserve"> </w:t>
      </w:r>
      <w:r>
        <w:t>of</w:t>
      </w:r>
      <w:r>
        <w:rPr>
          <w:spacing w:val="-6"/>
        </w:rPr>
        <w:t xml:space="preserve"> </w:t>
      </w:r>
      <w:r>
        <w:t>major</w:t>
      </w:r>
      <w:r>
        <w:rPr>
          <w:spacing w:val="-5"/>
        </w:rPr>
        <w:t xml:space="preserve"> </w:t>
      </w:r>
      <w:r>
        <w:t>projects</w:t>
      </w:r>
      <w:r>
        <w:rPr>
          <w:spacing w:val="-6"/>
        </w:rPr>
        <w:t xml:space="preserve"> </w:t>
      </w:r>
      <w:r>
        <w:t>are</w:t>
      </w:r>
      <w:r>
        <w:rPr>
          <w:spacing w:val="-5"/>
        </w:rPr>
        <w:t xml:space="preserve"> </w:t>
      </w:r>
      <w:r>
        <w:t>completed</w:t>
      </w:r>
      <w:r>
        <w:rPr>
          <w:spacing w:val="-5"/>
        </w:rPr>
        <w:t xml:space="preserve"> </w:t>
      </w:r>
      <w:r>
        <w:t>on time and within</w:t>
      </w:r>
      <w:r>
        <w:rPr>
          <w:spacing w:val="-3"/>
        </w:rPr>
        <w:t xml:space="preserve"> </w:t>
      </w:r>
      <w:r>
        <w:t>budget</w:t>
      </w:r>
    </w:p>
    <w:p w:rsidR="00A1463E" w:rsidRDefault="00F52429" w:rsidP="004151B8">
      <w:pPr>
        <w:pStyle w:val="ListParagraph"/>
        <w:numPr>
          <w:ilvl w:val="0"/>
          <w:numId w:val="18"/>
        </w:numPr>
        <w:tabs>
          <w:tab w:val="left" w:pos="700"/>
        </w:tabs>
        <w:spacing w:before="168" w:line="230" w:lineRule="auto"/>
        <w:ind w:right="1017" w:hanging="170"/>
      </w:pPr>
      <w:r>
        <w:t>&gt;90</w:t>
      </w:r>
      <w:r>
        <w:rPr>
          <w:spacing w:val="-6"/>
        </w:rPr>
        <w:t xml:space="preserve"> </w:t>
      </w:r>
      <w:r>
        <w:t>percent</w:t>
      </w:r>
      <w:r>
        <w:rPr>
          <w:spacing w:val="-5"/>
        </w:rPr>
        <w:t xml:space="preserve"> </w:t>
      </w:r>
      <w:r>
        <w:t>of</w:t>
      </w:r>
      <w:r>
        <w:rPr>
          <w:spacing w:val="-6"/>
        </w:rPr>
        <w:t xml:space="preserve"> </w:t>
      </w:r>
      <w:r>
        <w:t>government</w:t>
      </w:r>
      <w:r>
        <w:rPr>
          <w:spacing w:val="-5"/>
        </w:rPr>
        <w:t xml:space="preserve"> </w:t>
      </w:r>
      <w:r>
        <w:t>digital</w:t>
      </w:r>
      <w:r>
        <w:rPr>
          <w:spacing w:val="-6"/>
        </w:rPr>
        <w:t xml:space="preserve"> </w:t>
      </w:r>
      <w:r>
        <w:t>services</w:t>
      </w:r>
      <w:r>
        <w:rPr>
          <w:spacing w:val="-5"/>
        </w:rPr>
        <w:t xml:space="preserve"> </w:t>
      </w:r>
      <w:r>
        <w:t>meet</w:t>
      </w:r>
      <w:r>
        <w:rPr>
          <w:spacing w:val="-5"/>
        </w:rPr>
        <w:t xml:space="preserve"> </w:t>
      </w:r>
      <w:r>
        <w:t>or</w:t>
      </w:r>
      <w:r>
        <w:rPr>
          <w:spacing w:val="-6"/>
        </w:rPr>
        <w:t xml:space="preserve"> </w:t>
      </w:r>
      <w:r>
        <w:t>exceed</w:t>
      </w:r>
      <w:r>
        <w:rPr>
          <w:spacing w:val="-5"/>
        </w:rPr>
        <w:t xml:space="preserve"> </w:t>
      </w:r>
      <w:r>
        <w:t>agreed</w:t>
      </w:r>
      <w:r>
        <w:rPr>
          <w:spacing w:val="-5"/>
        </w:rPr>
        <w:t xml:space="preserve"> </w:t>
      </w:r>
      <w:r>
        <w:t>and published service</w:t>
      </w:r>
      <w:r>
        <w:rPr>
          <w:spacing w:val="-2"/>
        </w:rPr>
        <w:t xml:space="preserve"> </w:t>
      </w:r>
      <w:r>
        <w:t>levels</w:t>
      </w:r>
    </w:p>
    <w:p w:rsidR="00A1463E" w:rsidRDefault="00F52429" w:rsidP="004151B8">
      <w:pPr>
        <w:pStyle w:val="ListParagraph"/>
        <w:numPr>
          <w:ilvl w:val="0"/>
          <w:numId w:val="18"/>
        </w:numPr>
        <w:tabs>
          <w:tab w:val="left" w:pos="700"/>
        </w:tabs>
        <w:spacing w:before="158" w:line="287" w:lineRule="exact"/>
        <w:ind w:hanging="170"/>
      </w:pPr>
      <w:r>
        <w:t xml:space="preserve">10 </w:t>
      </w:r>
      <w:r>
        <w:rPr>
          <w:spacing w:val="-4"/>
        </w:rPr>
        <w:t xml:space="preserve">percent overall </w:t>
      </w:r>
      <w:r>
        <w:rPr>
          <w:spacing w:val="-3"/>
        </w:rPr>
        <w:t xml:space="preserve">reduction </w:t>
      </w:r>
      <w:r>
        <w:t xml:space="preserve">in the </w:t>
      </w:r>
      <w:r>
        <w:rPr>
          <w:spacing w:val="-3"/>
        </w:rPr>
        <w:t xml:space="preserve">annual </w:t>
      </w:r>
      <w:r>
        <w:rPr>
          <w:spacing w:val="-4"/>
        </w:rPr>
        <w:t xml:space="preserve">cost </w:t>
      </w:r>
      <w:r>
        <w:t xml:space="preserve">of </w:t>
      </w:r>
      <w:r>
        <w:rPr>
          <w:spacing w:val="-3"/>
        </w:rPr>
        <w:t xml:space="preserve">delivering </w:t>
      </w:r>
      <w:r>
        <w:rPr>
          <w:spacing w:val="-4"/>
        </w:rPr>
        <w:t>current</w:t>
      </w:r>
      <w:r>
        <w:rPr>
          <w:spacing w:val="-34"/>
        </w:rPr>
        <w:t xml:space="preserve"> </w:t>
      </w:r>
      <w:r>
        <w:rPr>
          <w:spacing w:val="-3"/>
        </w:rPr>
        <w:t>(2016-</w:t>
      </w:r>
    </w:p>
    <w:p w:rsidR="00A1463E" w:rsidRDefault="00F52429">
      <w:pPr>
        <w:pStyle w:val="BodyText"/>
        <w:spacing w:line="287" w:lineRule="exact"/>
        <w:ind w:left="699"/>
      </w:pPr>
      <w:r>
        <w:t>17) ICT services by the end of the Strategy, aggregated across the sector</w:t>
      </w:r>
    </w:p>
    <w:p w:rsidR="00A1463E" w:rsidRDefault="00F52429" w:rsidP="004151B8">
      <w:pPr>
        <w:pStyle w:val="ListParagraph"/>
        <w:numPr>
          <w:ilvl w:val="0"/>
          <w:numId w:val="18"/>
        </w:numPr>
        <w:tabs>
          <w:tab w:val="left" w:pos="700"/>
        </w:tabs>
        <w:spacing w:before="166" w:line="230" w:lineRule="auto"/>
        <w:ind w:right="827" w:hanging="170"/>
      </w:pPr>
      <w:r>
        <w:t xml:space="preserve">&gt;90 </w:t>
      </w:r>
      <w:r>
        <w:rPr>
          <w:spacing w:val="-4"/>
        </w:rPr>
        <w:t xml:space="preserve">percent </w:t>
      </w:r>
      <w:r>
        <w:t xml:space="preserve">of ICT </w:t>
      </w:r>
      <w:r>
        <w:rPr>
          <w:spacing w:val="-4"/>
        </w:rPr>
        <w:t xml:space="preserve">reinvestment </w:t>
      </w:r>
      <w:r>
        <w:rPr>
          <w:spacing w:val="-3"/>
        </w:rPr>
        <w:t xml:space="preserve">plans deliver </w:t>
      </w:r>
      <w:r>
        <w:t xml:space="preserve">the </w:t>
      </w:r>
      <w:r>
        <w:rPr>
          <w:spacing w:val="-4"/>
        </w:rPr>
        <w:t xml:space="preserve">targeted return </w:t>
      </w:r>
      <w:r>
        <w:rPr>
          <w:spacing w:val="-3"/>
        </w:rPr>
        <w:t xml:space="preserve">on </w:t>
      </w:r>
      <w:r>
        <w:rPr>
          <w:spacing w:val="-4"/>
        </w:rPr>
        <w:t xml:space="preserve">investment from savings </w:t>
      </w:r>
      <w:r>
        <w:rPr>
          <w:spacing w:val="-3"/>
        </w:rPr>
        <w:t xml:space="preserve">made </w:t>
      </w:r>
      <w:r>
        <w:rPr>
          <w:spacing w:val="-4"/>
        </w:rPr>
        <w:t xml:space="preserve">through </w:t>
      </w:r>
      <w:r>
        <w:t xml:space="preserve">the </w:t>
      </w:r>
      <w:r>
        <w:rPr>
          <w:spacing w:val="-4"/>
        </w:rPr>
        <w:t xml:space="preserve">Strategy </w:t>
      </w:r>
      <w:r>
        <w:t xml:space="preserve">or </w:t>
      </w:r>
      <w:r>
        <w:rPr>
          <w:spacing w:val="-3"/>
        </w:rPr>
        <w:t xml:space="preserve">agency </w:t>
      </w:r>
      <w:r>
        <w:t>ICT</w:t>
      </w:r>
      <w:r>
        <w:rPr>
          <w:spacing w:val="-13"/>
        </w:rPr>
        <w:t xml:space="preserve"> </w:t>
      </w:r>
      <w:r>
        <w:rPr>
          <w:spacing w:val="-5"/>
        </w:rPr>
        <w:t>reforms</w:t>
      </w:r>
    </w:p>
    <w:p w:rsidR="00A1463E" w:rsidRDefault="00F52429" w:rsidP="004151B8">
      <w:pPr>
        <w:pStyle w:val="ListParagraph"/>
        <w:numPr>
          <w:ilvl w:val="0"/>
          <w:numId w:val="18"/>
        </w:numPr>
        <w:tabs>
          <w:tab w:val="left" w:pos="700"/>
        </w:tabs>
        <w:spacing w:before="168" w:line="230" w:lineRule="auto"/>
        <w:ind w:right="1184" w:hanging="170"/>
      </w:pPr>
      <w:r>
        <w:t>&gt;90</w:t>
      </w:r>
      <w:r>
        <w:rPr>
          <w:spacing w:val="-7"/>
        </w:rPr>
        <w:t xml:space="preserve"> </w:t>
      </w:r>
      <w:r>
        <w:t>percent</w:t>
      </w:r>
      <w:r>
        <w:rPr>
          <w:spacing w:val="-6"/>
        </w:rPr>
        <w:t xml:space="preserve"> </w:t>
      </w:r>
      <w:r>
        <w:t>of</w:t>
      </w:r>
      <w:r>
        <w:rPr>
          <w:spacing w:val="-7"/>
        </w:rPr>
        <w:t xml:space="preserve"> </w:t>
      </w:r>
      <w:r>
        <w:t>agency</w:t>
      </w:r>
      <w:r>
        <w:rPr>
          <w:spacing w:val="-6"/>
        </w:rPr>
        <w:t xml:space="preserve"> </w:t>
      </w:r>
      <w:r>
        <w:t>chief</w:t>
      </w:r>
      <w:r>
        <w:rPr>
          <w:spacing w:val="-7"/>
        </w:rPr>
        <w:t xml:space="preserve"> </w:t>
      </w:r>
      <w:r>
        <w:t>executives</w:t>
      </w:r>
      <w:r>
        <w:rPr>
          <w:spacing w:val="-6"/>
        </w:rPr>
        <w:t xml:space="preserve"> </w:t>
      </w:r>
      <w:r>
        <w:t>are</w:t>
      </w:r>
      <w:r>
        <w:rPr>
          <w:spacing w:val="-6"/>
        </w:rPr>
        <w:t xml:space="preserve"> </w:t>
      </w:r>
      <w:r>
        <w:t>confident</w:t>
      </w:r>
      <w:r>
        <w:rPr>
          <w:spacing w:val="-6"/>
        </w:rPr>
        <w:t xml:space="preserve"> </w:t>
      </w:r>
      <w:r>
        <w:t>in</w:t>
      </w:r>
      <w:r>
        <w:rPr>
          <w:spacing w:val="-7"/>
        </w:rPr>
        <w:t xml:space="preserve"> </w:t>
      </w:r>
      <w:r>
        <w:t>the</w:t>
      </w:r>
      <w:r>
        <w:rPr>
          <w:spacing w:val="-6"/>
        </w:rPr>
        <w:t xml:space="preserve"> </w:t>
      </w:r>
      <w:r>
        <w:t>quality</w:t>
      </w:r>
      <w:r>
        <w:rPr>
          <w:spacing w:val="-7"/>
        </w:rPr>
        <w:t xml:space="preserve"> </w:t>
      </w:r>
      <w:r>
        <w:t>of their ICT governance to inform good</w:t>
      </w:r>
      <w:r>
        <w:rPr>
          <w:spacing w:val="-8"/>
        </w:rPr>
        <w:t xml:space="preserve"> </w:t>
      </w:r>
      <w:r>
        <w:t>decision</w:t>
      </w:r>
    </w:p>
    <w:p w:rsidR="00A1463E" w:rsidRDefault="00F52429" w:rsidP="004151B8">
      <w:pPr>
        <w:pStyle w:val="ListParagraph"/>
        <w:numPr>
          <w:ilvl w:val="0"/>
          <w:numId w:val="18"/>
        </w:numPr>
        <w:tabs>
          <w:tab w:val="left" w:pos="700"/>
        </w:tabs>
        <w:spacing w:before="167" w:line="230" w:lineRule="auto"/>
        <w:ind w:right="1043" w:hanging="170"/>
      </w:pPr>
      <w:r>
        <w:t>&gt;75</w:t>
      </w:r>
      <w:r>
        <w:rPr>
          <w:spacing w:val="-5"/>
        </w:rPr>
        <w:t xml:space="preserve"> </w:t>
      </w:r>
      <w:r>
        <w:t>percent</w:t>
      </w:r>
      <w:r>
        <w:rPr>
          <w:spacing w:val="-4"/>
        </w:rPr>
        <w:t xml:space="preserve"> </w:t>
      </w:r>
      <w:r>
        <w:t>of</w:t>
      </w:r>
      <w:r>
        <w:rPr>
          <w:spacing w:val="-5"/>
        </w:rPr>
        <w:t xml:space="preserve"> </w:t>
      </w:r>
      <w:r>
        <w:t>agencies</w:t>
      </w:r>
      <w:r>
        <w:rPr>
          <w:spacing w:val="-4"/>
        </w:rPr>
        <w:t xml:space="preserve"> </w:t>
      </w:r>
      <w:r>
        <w:t>reach</w:t>
      </w:r>
      <w:r>
        <w:rPr>
          <w:spacing w:val="-4"/>
        </w:rPr>
        <w:t xml:space="preserve"> </w:t>
      </w:r>
      <w:r>
        <w:t>maturity</w:t>
      </w:r>
      <w:r>
        <w:rPr>
          <w:spacing w:val="-4"/>
        </w:rPr>
        <w:t xml:space="preserve"> </w:t>
      </w:r>
      <w:r>
        <w:t>level</w:t>
      </w:r>
      <w:r>
        <w:rPr>
          <w:spacing w:val="-4"/>
        </w:rPr>
        <w:t xml:space="preserve"> </w:t>
      </w:r>
      <w:r>
        <w:t>3</w:t>
      </w:r>
      <w:r>
        <w:rPr>
          <w:spacing w:val="-4"/>
        </w:rPr>
        <w:t xml:space="preserve"> </w:t>
      </w:r>
      <w:r>
        <w:t>or</w:t>
      </w:r>
      <w:r>
        <w:rPr>
          <w:spacing w:val="-5"/>
        </w:rPr>
        <w:t xml:space="preserve"> </w:t>
      </w:r>
      <w:r>
        <w:t>higher</w:t>
      </w:r>
      <w:r>
        <w:rPr>
          <w:spacing w:val="-5"/>
        </w:rPr>
        <w:t xml:space="preserve"> </w:t>
      </w:r>
      <w:r>
        <w:t>in</w:t>
      </w:r>
      <w:r>
        <w:rPr>
          <w:spacing w:val="-5"/>
        </w:rPr>
        <w:t xml:space="preserve"> </w:t>
      </w:r>
      <w:r>
        <w:t>all</w:t>
      </w:r>
      <w:r>
        <w:rPr>
          <w:spacing w:val="-5"/>
        </w:rPr>
        <w:t xml:space="preserve"> </w:t>
      </w:r>
      <w:r>
        <w:t>strategic core</w:t>
      </w:r>
      <w:r>
        <w:rPr>
          <w:spacing w:val="-1"/>
        </w:rPr>
        <w:t xml:space="preserve"> </w:t>
      </w:r>
      <w:r>
        <w:t>capabilities</w:t>
      </w:r>
    </w:p>
    <w:p w:rsidR="00A1463E" w:rsidRDefault="00F52429">
      <w:pPr>
        <w:pStyle w:val="BodyText"/>
        <w:spacing w:before="171" w:line="235" w:lineRule="auto"/>
        <w:ind w:left="499" w:right="793"/>
      </w:pPr>
      <w:r>
        <w:t xml:space="preserve">During 2017-18, the Office of the GCIO collected data from the 2016-17 year from over 80 different agencies across the public sector, representing approximately 99 percent of the public sector workforce and expenditure. The </w:t>
      </w:r>
      <w:proofErr w:type="spellStart"/>
      <w:r>
        <w:t>DsG</w:t>
      </w:r>
      <w:proofErr w:type="spellEnd"/>
      <w:r>
        <w:t xml:space="preserve"> ICT Council considered the findings and individual reports were provided to each participating agency, providing useful information on progress.</w:t>
      </w:r>
    </w:p>
    <w:p w:rsidR="00A1463E" w:rsidRDefault="00A1463E">
      <w:pPr>
        <w:spacing w:line="235" w:lineRule="auto"/>
        <w:sectPr w:rsidR="00A1463E">
          <w:type w:val="continuous"/>
          <w:pgSz w:w="16840" w:h="11910" w:orient="landscape"/>
          <w:pgMar w:top="560" w:right="0" w:bottom="0" w:left="0" w:header="720" w:footer="720" w:gutter="0"/>
          <w:cols w:num="2" w:space="720" w:equalWidth="0">
            <w:col w:w="8220" w:space="40"/>
            <w:col w:w="8580"/>
          </w:cols>
        </w:sectPr>
      </w:pPr>
    </w:p>
    <w:p w:rsidR="00A1463E" w:rsidRDefault="00A1463E">
      <w:pPr>
        <w:pStyle w:val="BodyText"/>
        <w:spacing w:before="6"/>
        <w:rPr>
          <w:sz w:val="8"/>
        </w:rPr>
      </w:pPr>
    </w:p>
    <w:p w:rsidR="00A1463E" w:rsidRDefault="00F52429" w:rsidP="00D138C6">
      <w:pPr>
        <w:pStyle w:val="Heading1"/>
      </w:pPr>
      <w:bookmarkStart w:id="13" w:name="_bookmark14"/>
      <w:bookmarkEnd w:id="13"/>
      <w:r>
        <w:rPr>
          <w:w w:val="105"/>
        </w:rPr>
        <w:t>DIGITAL TRANSFORMATION: leadership through key reform projects</w:t>
      </w:r>
    </w:p>
    <w:p w:rsidR="00A1463E" w:rsidRDefault="00A1463E">
      <w:pPr>
        <w:pStyle w:val="BodyText"/>
        <w:spacing w:line="60" w:lineRule="exact"/>
        <w:ind w:left="650"/>
        <w:rPr>
          <w:sz w:val="6"/>
        </w:rPr>
      </w:pPr>
    </w:p>
    <w:p w:rsidR="00A1463E" w:rsidRDefault="00A1463E">
      <w:pPr>
        <w:pStyle w:val="BodyText"/>
        <w:spacing w:before="3"/>
        <w:rPr>
          <w:sz w:val="14"/>
        </w:rPr>
      </w:pPr>
    </w:p>
    <w:p w:rsidR="00A1463E" w:rsidRDefault="00A1463E">
      <w:pPr>
        <w:rPr>
          <w:sz w:val="14"/>
        </w:rPr>
        <w:sectPr w:rsidR="00A1463E">
          <w:pgSz w:w="16840" w:h="11910" w:orient="landscape"/>
          <w:pgMar w:top="540" w:right="0" w:bottom="360" w:left="0" w:header="229" w:footer="145" w:gutter="0"/>
          <w:cols w:space="720"/>
        </w:sectPr>
      </w:pPr>
    </w:p>
    <w:p w:rsidR="00A1463E" w:rsidRDefault="00F52429" w:rsidP="00D138C6">
      <w:pPr>
        <w:pStyle w:val="Heading2"/>
      </w:pPr>
      <w:r>
        <w:t>Digital Transformation Leadership</w:t>
      </w:r>
    </w:p>
    <w:p w:rsidR="00A1463E" w:rsidRDefault="00F52429">
      <w:pPr>
        <w:pStyle w:val="BodyText"/>
        <w:spacing w:before="25" w:line="235" w:lineRule="auto"/>
        <w:ind w:left="683" w:right="169"/>
      </w:pPr>
      <w:r>
        <w:t>Under Digital WA, whole of government programs were established to support agencies implement the ICT foundations required to deliver better services through digital transformation. The Office of the GCIO also commenced work on initiatives to support agencies improve their cyber security practices.</w:t>
      </w:r>
    </w:p>
    <w:p w:rsidR="00A1463E" w:rsidRPr="00D138C6" w:rsidRDefault="00F52429" w:rsidP="00D138C6">
      <w:pPr>
        <w:pStyle w:val="Heading2"/>
      </w:pPr>
      <w:proofErr w:type="spellStart"/>
      <w:r w:rsidRPr="00D138C6">
        <w:t>ServiceWA</w:t>
      </w:r>
      <w:proofErr w:type="spellEnd"/>
    </w:p>
    <w:p w:rsidR="00A1463E" w:rsidRDefault="00F52429">
      <w:pPr>
        <w:pStyle w:val="BodyText"/>
        <w:spacing w:before="35" w:line="235" w:lineRule="auto"/>
        <w:ind w:left="683"/>
      </w:pPr>
      <w:r>
        <w:rPr>
          <w:noProof/>
          <w:lang w:val="en-AU" w:eastAsia="en-AU" w:bidi="ar-SA"/>
        </w:rPr>
        <w:drawing>
          <wp:inline distT="0" distB="0" distL="0" distR="0">
            <wp:extent cx="4694346" cy="3429000"/>
            <wp:effectExtent l="0" t="0" r="0" b="0"/>
            <wp:docPr id="5" name="image4.jpeg" descr="Photo of commuter using phone on train to log on to wa.gov.au"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4346" cy="3429000"/>
                    </a:xfrm>
                    <a:prstGeom prst="rect">
                      <a:avLst/>
                    </a:prstGeom>
                  </pic:spPr>
                </pic:pic>
              </a:graphicData>
            </a:graphic>
          </wp:inline>
        </w:drawing>
      </w:r>
      <w:r>
        <w:t xml:space="preserve">The </w:t>
      </w:r>
      <w:proofErr w:type="spellStart"/>
      <w:r>
        <w:t>ServiceWA</w:t>
      </w:r>
      <w:proofErr w:type="spellEnd"/>
      <w:r>
        <w:t xml:space="preserve"> (Digital) Program is making it easier for the community to find and access government services anywhere, at any time and on any device through the digital services portal, WA.gov.au. The Program is also developing the systems, standards and operational capabilities needed to improve the quality, accessibility and security of digital services across the public sector.</w:t>
      </w:r>
    </w:p>
    <w:p w:rsidR="00A1463E" w:rsidRDefault="00F52429">
      <w:pPr>
        <w:pStyle w:val="BodyText"/>
        <w:spacing w:before="56" w:line="235" w:lineRule="auto"/>
        <w:ind w:left="642" w:right="830"/>
      </w:pPr>
      <w:r>
        <w:br w:type="column"/>
      </w:r>
      <w:r>
        <w:t xml:space="preserve">In 2017-18, the whole of government digital services portal, WA.gov.au was released and, as noted earlier, a range of standards and guidelines to support the Digital Services Policy were developed to support agencies create more user </w:t>
      </w:r>
      <w:proofErr w:type="spellStart"/>
      <w:r>
        <w:t>focussed</w:t>
      </w:r>
      <w:proofErr w:type="spellEnd"/>
      <w:r>
        <w:t>, accessible online services.</w:t>
      </w:r>
    </w:p>
    <w:p w:rsidR="00A1463E" w:rsidRDefault="00F52429">
      <w:pPr>
        <w:pStyle w:val="BodyText"/>
        <w:spacing w:before="174" w:line="235" w:lineRule="auto"/>
        <w:ind w:left="642" w:right="830"/>
      </w:pPr>
      <w:r>
        <w:rPr>
          <w:spacing w:val="-4"/>
        </w:rPr>
        <w:t xml:space="preserve">WA.gov.au </w:t>
      </w:r>
      <w:r>
        <w:t>was first released as an Alpha (test) website in 2016 and, after a</w:t>
      </w:r>
      <w:r>
        <w:rPr>
          <w:spacing w:val="-7"/>
        </w:rPr>
        <w:t xml:space="preserve"> </w:t>
      </w:r>
      <w:r>
        <w:t>period</w:t>
      </w:r>
      <w:r>
        <w:rPr>
          <w:spacing w:val="-7"/>
        </w:rPr>
        <w:t xml:space="preserve"> </w:t>
      </w:r>
      <w:r>
        <w:t>of</w:t>
      </w:r>
      <w:r>
        <w:rPr>
          <w:spacing w:val="-7"/>
        </w:rPr>
        <w:t xml:space="preserve"> </w:t>
      </w:r>
      <w:r>
        <w:t>community</w:t>
      </w:r>
      <w:r>
        <w:rPr>
          <w:spacing w:val="-7"/>
        </w:rPr>
        <w:t xml:space="preserve"> </w:t>
      </w:r>
      <w:r>
        <w:t>consultation</w:t>
      </w:r>
      <w:r>
        <w:rPr>
          <w:spacing w:val="-7"/>
        </w:rPr>
        <w:t xml:space="preserve"> </w:t>
      </w:r>
      <w:r>
        <w:t>to</w:t>
      </w:r>
      <w:r>
        <w:rPr>
          <w:spacing w:val="-7"/>
        </w:rPr>
        <w:t xml:space="preserve"> </w:t>
      </w:r>
      <w:r>
        <w:t>inform</w:t>
      </w:r>
      <w:r>
        <w:rPr>
          <w:spacing w:val="-7"/>
        </w:rPr>
        <w:t xml:space="preserve"> </w:t>
      </w:r>
      <w:r>
        <w:t>the</w:t>
      </w:r>
      <w:r>
        <w:rPr>
          <w:spacing w:val="-6"/>
        </w:rPr>
        <w:t xml:space="preserve"> </w:t>
      </w:r>
      <w:r>
        <w:t>final</w:t>
      </w:r>
      <w:r>
        <w:rPr>
          <w:spacing w:val="-7"/>
        </w:rPr>
        <w:t xml:space="preserve"> </w:t>
      </w:r>
      <w:r>
        <w:t>design,</w:t>
      </w:r>
      <w:r>
        <w:rPr>
          <w:spacing w:val="-7"/>
        </w:rPr>
        <w:t xml:space="preserve"> </w:t>
      </w:r>
      <w:r>
        <w:t>the</w:t>
      </w:r>
      <w:r>
        <w:rPr>
          <w:spacing w:val="-6"/>
        </w:rPr>
        <w:t xml:space="preserve"> </w:t>
      </w:r>
      <w:r>
        <w:t xml:space="preserve">website was launched on 5 February 2018 by the Hon Dave Kelly MLA, Minister </w:t>
      </w:r>
      <w:r>
        <w:rPr>
          <w:spacing w:val="-3"/>
        </w:rPr>
        <w:t xml:space="preserve">for </w:t>
      </w:r>
      <w:r>
        <w:t>Innovation and</w:t>
      </w:r>
      <w:r>
        <w:rPr>
          <w:spacing w:val="-3"/>
        </w:rPr>
        <w:t xml:space="preserve"> </w:t>
      </w:r>
      <w:r>
        <w:rPr>
          <w:spacing w:val="-6"/>
        </w:rPr>
        <w:t>ICT.</w:t>
      </w:r>
    </w:p>
    <w:p w:rsidR="00A1463E" w:rsidRDefault="00F52429">
      <w:pPr>
        <w:pStyle w:val="BodyText"/>
        <w:spacing w:before="174" w:line="235" w:lineRule="auto"/>
        <w:ind w:left="642" w:right="830"/>
      </w:pPr>
      <w:r>
        <w:t>As at 30 June 2018, the website linked to over 630 transactional, informational and data services provided by almost 50 agencies. From</w:t>
      </w:r>
    </w:p>
    <w:p w:rsidR="00A1463E" w:rsidRDefault="00F52429">
      <w:pPr>
        <w:pStyle w:val="BodyText"/>
        <w:spacing w:before="2" w:line="235" w:lineRule="auto"/>
        <w:ind w:left="642" w:right="696"/>
      </w:pPr>
      <w:r>
        <w:t>1 January 2018 – 30 June 2018, activity on the redeveloped site increased by over 390,000 page views; more than three times greater than during the same period in 2017.</w:t>
      </w:r>
    </w:p>
    <w:p w:rsidR="00A1463E" w:rsidRDefault="00F52429">
      <w:pPr>
        <w:pStyle w:val="BodyText"/>
        <w:spacing w:before="172" w:line="235" w:lineRule="auto"/>
        <w:ind w:left="642" w:right="965"/>
      </w:pPr>
      <w:r>
        <w:t>The website design – and the standards that guided it– was overseen by a cross agency User Experience Working Group to ensure the needs of government agencies and communities were met.</w:t>
      </w:r>
    </w:p>
    <w:p w:rsidR="00A1463E" w:rsidRDefault="00F52429">
      <w:pPr>
        <w:pStyle w:val="BodyText"/>
        <w:spacing w:before="173" w:line="235" w:lineRule="auto"/>
        <w:ind w:left="642" w:right="364"/>
      </w:pPr>
      <w:r>
        <w:t>The website will ultimately create a “one government” online presence with the migration of agency website content onto the site, making it easier for people to find government information, and lowering costs for the public sector through the reduction in the number of government websites.</w:t>
      </w:r>
    </w:p>
    <w:p w:rsidR="00A1463E" w:rsidRDefault="00F52429">
      <w:pPr>
        <w:pStyle w:val="BodyText"/>
        <w:spacing w:before="174" w:line="235" w:lineRule="auto"/>
        <w:ind w:left="642" w:right="1084"/>
      </w:pPr>
      <w:r>
        <w:rPr>
          <w:spacing w:val="-4"/>
        </w:rPr>
        <w:t xml:space="preserve">Work </w:t>
      </w:r>
      <w:r>
        <w:t>was also undertaken on projects to develop a prototype Change of Address service, which is built on and supported by several different prototype</w:t>
      </w:r>
      <w:r>
        <w:rPr>
          <w:spacing w:val="-7"/>
        </w:rPr>
        <w:t xml:space="preserve"> </w:t>
      </w:r>
      <w:r>
        <w:t>common</w:t>
      </w:r>
      <w:r>
        <w:rPr>
          <w:spacing w:val="-7"/>
        </w:rPr>
        <w:t xml:space="preserve"> </w:t>
      </w:r>
      <w:r>
        <w:t>platforms</w:t>
      </w:r>
      <w:r>
        <w:rPr>
          <w:spacing w:val="-7"/>
        </w:rPr>
        <w:t xml:space="preserve"> </w:t>
      </w:r>
      <w:r>
        <w:t>to</w:t>
      </w:r>
      <w:r>
        <w:rPr>
          <w:spacing w:val="-7"/>
        </w:rPr>
        <w:t xml:space="preserve"> </w:t>
      </w:r>
      <w:r>
        <w:t>make</w:t>
      </w:r>
      <w:r>
        <w:rPr>
          <w:spacing w:val="-6"/>
        </w:rPr>
        <w:t xml:space="preserve"> </w:t>
      </w:r>
      <w:r>
        <w:t>it</w:t>
      </w:r>
      <w:r>
        <w:rPr>
          <w:spacing w:val="-7"/>
        </w:rPr>
        <w:t xml:space="preserve"> </w:t>
      </w:r>
      <w:r>
        <w:t>easier</w:t>
      </w:r>
      <w:r>
        <w:rPr>
          <w:spacing w:val="-6"/>
        </w:rPr>
        <w:t xml:space="preserve"> </w:t>
      </w:r>
      <w:r>
        <w:rPr>
          <w:spacing w:val="-3"/>
        </w:rPr>
        <w:t>for</w:t>
      </w:r>
      <w:r>
        <w:rPr>
          <w:spacing w:val="-7"/>
        </w:rPr>
        <w:t xml:space="preserve"> </w:t>
      </w:r>
      <w:r>
        <w:t>agencies</w:t>
      </w:r>
      <w:r>
        <w:rPr>
          <w:spacing w:val="-6"/>
        </w:rPr>
        <w:t xml:space="preserve"> </w:t>
      </w:r>
      <w:r>
        <w:t>to</w:t>
      </w:r>
      <w:r>
        <w:rPr>
          <w:spacing w:val="-7"/>
        </w:rPr>
        <w:t xml:space="preserve"> </w:t>
      </w:r>
      <w:r>
        <w:t>build</w:t>
      </w:r>
      <w:r>
        <w:rPr>
          <w:spacing w:val="-7"/>
        </w:rPr>
        <w:t xml:space="preserve"> </w:t>
      </w:r>
      <w:r>
        <w:t>and connect their digital</w:t>
      </w:r>
      <w:r>
        <w:rPr>
          <w:spacing w:val="-3"/>
        </w:rPr>
        <w:t xml:space="preserve"> </w:t>
      </w:r>
      <w:r>
        <w:t>services.</w:t>
      </w:r>
    </w:p>
    <w:p w:rsidR="00A1463E" w:rsidRDefault="00A1463E">
      <w:pPr>
        <w:spacing w:line="235" w:lineRule="auto"/>
        <w:sectPr w:rsidR="00A1463E">
          <w:type w:val="continuous"/>
          <w:pgSz w:w="16840" w:h="11910" w:orient="landscape"/>
          <w:pgMar w:top="560" w:right="0" w:bottom="0" w:left="0" w:header="720" w:footer="720" w:gutter="0"/>
          <w:cols w:num="2" w:space="720" w:equalWidth="0">
            <w:col w:w="8078" w:space="40"/>
            <w:col w:w="8722"/>
          </w:cols>
        </w:sectPr>
      </w:pPr>
    </w:p>
    <w:p w:rsidR="00A1463E" w:rsidRDefault="00A1463E">
      <w:pPr>
        <w:pStyle w:val="BodyText"/>
        <w:spacing w:before="9"/>
        <w:rPr>
          <w:sz w:val="8"/>
        </w:rPr>
      </w:pPr>
    </w:p>
    <w:p w:rsidR="00A1463E" w:rsidRDefault="00F52429" w:rsidP="00D138C6">
      <w:pPr>
        <w:pStyle w:val="Heading1"/>
      </w:pPr>
      <w:r>
        <w:rPr>
          <w:w w:val="105"/>
        </w:rPr>
        <w:t>DIGITAL TRANSFORMATION: leadership through key reform projects</w:t>
      </w:r>
    </w:p>
    <w:p w:rsidR="00A1463E" w:rsidRDefault="00A1463E">
      <w:pPr>
        <w:pStyle w:val="BodyText"/>
        <w:spacing w:line="60" w:lineRule="exact"/>
        <w:ind w:left="650"/>
        <w:rPr>
          <w:sz w:val="6"/>
        </w:rPr>
      </w:pPr>
    </w:p>
    <w:p w:rsidR="00A1463E" w:rsidRDefault="00A1463E">
      <w:pPr>
        <w:pStyle w:val="BodyText"/>
        <w:spacing w:before="3"/>
        <w:rPr>
          <w:sz w:val="15"/>
        </w:rPr>
      </w:pPr>
    </w:p>
    <w:p w:rsidR="00A1463E" w:rsidRDefault="00A1463E">
      <w:pPr>
        <w:rPr>
          <w:sz w:val="15"/>
        </w:rPr>
        <w:sectPr w:rsidR="00A1463E">
          <w:pgSz w:w="16840" w:h="11910" w:orient="landscape"/>
          <w:pgMar w:top="540" w:right="0" w:bottom="340" w:left="0" w:header="229" w:footer="145" w:gutter="0"/>
          <w:cols w:space="720"/>
        </w:sectPr>
      </w:pPr>
    </w:p>
    <w:p w:rsidR="00A1463E" w:rsidRDefault="00F52429" w:rsidP="00D138C6">
      <w:pPr>
        <w:pStyle w:val="Heading2"/>
      </w:pPr>
      <w:proofErr w:type="spellStart"/>
      <w:r>
        <w:t>GovNext</w:t>
      </w:r>
      <w:proofErr w:type="spellEnd"/>
      <w:r>
        <w:t>-ICT</w:t>
      </w:r>
    </w:p>
    <w:p w:rsidR="00A1463E" w:rsidRDefault="00F52429">
      <w:pPr>
        <w:pStyle w:val="BodyText"/>
        <w:spacing w:before="34" w:line="235" w:lineRule="auto"/>
        <w:ind w:left="685" w:right="86"/>
      </w:pPr>
      <w:r>
        <w:t xml:space="preserve">The </w:t>
      </w:r>
      <w:proofErr w:type="spellStart"/>
      <w:r>
        <w:t>GovNext</w:t>
      </w:r>
      <w:proofErr w:type="spellEnd"/>
      <w:r>
        <w:t xml:space="preserve">-ICT program provides the technological foundation to support a modern, integrated public sector delivering better services to the community in a secure environment. It involves fundamental change across the entire public sector by moving agencies from being owners and </w:t>
      </w:r>
      <w:r>
        <w:rPr>
          <w:spacing w:val="-3"/>
        </w:rPr>
        <w:t xml:space="preserve">operators </w:t>
      </w:r>
      <w:r>
        <w:t>of ICT infrastructure assets to consumers of ICT infrastructure services. This will enable agencies to respond to community demand and business</w:t>
      </w:r>
      <w:r>
        <w:rPr>
          <w:spacing w:val="-8"/>
        </w:rPr>
        <w:t xml:space="preserve"> </w:t>
      </w:r>
      <w:r>
        <w:t>needs</w:t>
      </w:r>
      <w:r>
        <w:rPr>
          <w:spacing w:val="-8"/>
        </w:rPr>
        <w:t xml:space="preserve"> </w:t>
      </w:r>
      <w:r>
        <w:t>more</w:t>
      </w:r>
      <w:r>
        <w:rPr>
          <w:spacing w:val="-8"/>
        </w:rPr>
        <w:t xml:space="preserve"> </w:t>
      </w:r>
      <w:r>
        <w:rPr>
          <w:spacing w:val="-3"/>
        </w:rPr>
        <w:t>quickly,</w:t>
      </w:r>
      <w:r>
        <w:rPr>
          <w:spacing w:val="-8"/>
        </w:rPr>
        <w:t xml:space="preserve"> </w:t>
      </w:r>
      <w:r>
        <w:t>share</w:t>
      </w:r>
      <w:r>
        <w:rPr>
          <w:spacing w:val="-8"/>
        </w:rPr>
        <w:t xml:space="preserve"> </w:t>
      </w:r>
      <w:r>
        <w:t>information</w:t>
      </w:r>
      <w:r>
        <w:rPr>
          <w:spacing w:val="-8"/>
        </w:rPr>
        <w:t xml:space="preserve"> </w:t>
      </w:r>
      <w:r>
        <w:t>through</w:t>
      </w:r>
      <w:r>
        <w:rPr>
          <w:spacing w:val="-8"/>
        </w:rPr>
        <w:t xml:space="preserve"> </w:t>
      </w:r>
      <w:r>
        <w:t>increased</w:t>
      </w:r>
      <w:r>
        <w:rPr>
          <w:spacing w:val="-8"/>
        </w:rPr>
        <w:t xml:space="preserve"> </w:t>
      </w:r>
      <w:r>
        <w:t xml:space="preserve">network </w:t>
      </w:r>
      <w:r>
        <w:rPr>
          <w:spacing w:val="-3"/>
        </w:rPr>
        <w:t xml:space="preserve">capacity, have </w:t>
      </w:r>
      <w:r>
        <w:t>a better understanding of their overall ICT management and services consumed, and improve service reliability with connected systems and greater levels of security</w:t>
      </w:r>
      <w:r>
        <w:rPr>
          <w:spacing w:val="-6"/>
        </w:rPr>
        <w:t xml:space="preserve"> </w:t>
      </w:r>
      <w:r>
        <w:t>compliance.</w:t>
      </w:r>
    </w:p>
    <w:p w:rsidR="00A1463E" w:rsidRDefault="00F52429">
      <w:pPr>
        <w:pStyle w:val="BodyText"/>
        <w:spacing w:before="179" w:line="235" w:lineRule="auto"/>
        <w:ind w:left="685"/>
      </w:pPr>
      <w:r>
        <w:t xml:space="preserve">The </w:t>
      </w:r>
      <w:proofErr w:type="spellStart"/>
      <w:r>
        <w:t>GovNext</w:t>
      </w:r>
      <w:proofErr w:type="spellEnd"/>
      <w:r>
        <w:t xml:space="preserve">-ICT Service </w:t>
      </w:r>
      <w:r>
        <w:rPr>
          <w:spacing w:val="-3"/>
        </w:rPr>
        <w:t xml:space="preserve">Broker </w:t>
      </w:r>
      <w:r>
        <w:t xml:space="preserve">(GSB) team supports agencies in transitioning to </w:t>
      </w:r>
      <w:proofErr w:type="spellStart"/>
      <w:r>
        <w:t>GovNext</w:t>
      </w:r>
      <w:proofErr w:type="spellEnd"/>
      <w:r>
        <w:t xml:space="preserve">-ICT services and, in 2017-18, </w:t>
      </w:r>
      <w:proofErr w:type="spellStart"/>
      <w:r>
        <w:t>focussed</w:t>
      </w:r>
      <w:proofErr w:type="spellEnd"/>
      <w:r>
        <w:t xml:space="preserve"> on assisting agencies</w:t>
      </w:r>
      <w:r>
        <w:rPr>
          <w:spacing w:val="-6"/>
        </w:rPr>
        <w:t xml:space="preserve"> </w:t>
      </w:r>
      <w:r>
        <w:t>plan</w:t>
      </w:r>
      <w:r>
        <w:rPr>
          <w:spacing w:val="-7"/>
        </w:rPr>
        <w:t xml:space="preserve"> </w:t>
      </w:r>
      <w:r>
        <w:t>and</w:t>
      </w:r>
      <w:r>
        <w:rPr>
          <w:spacing w:val="-7"/>
        </w:rPr>
        <w:t xml:space="preserve"> </w:t>
      </w:r>
      <w:r>
        <w:t>fulfil</w:t>
      </w:r>
      <w:r>
        <w:rPr>
          <w:spacing w:val="-7"/>
        </w:rPr>
        <w:t xml:space="preserve"> </w:t>
      </w:r>
      <w:r>
        <w:t>their</w:t>
      </w:r>
      <w:r>
        <w:rPr>
          <w:spacing w:val="-6"/>
        </w:rPr>
        <w:t xml:space="preserve"> </w:t>
      </w:r>
      <w:r>
        <w:t>immediate</w:t>
      </w:r>
      <w:r>
        <w:rPr>
          <w:spacing w:val="-6"/>
        </w:rPr>
        <w:t xml:space="preserve"> </w:t>
      </w:r>
      <w:r>
        <w:t>operational</w:t>
      </w:r>
      <w:r>
        <w:rPr>
          <w:spacing w:val="-7"/>
        </w:rPr>
        <w:t xml:space="preserve"> </w:t>
      </w:r>
      <w:r>
        <w:t>ICT</w:t>
      </w:r>
      <w:r>
        <w:rPr>
          <w:spacing w:val="-7"/>
        </w:rPr>
        <w:t xml:space="preserve"> </w:t>
      </w:r>
      <w:r>
        <w:t>requirements</w:t>
      </w:r>
      <w:r>
        <w:rPr>
          <w:spacing w:val="-6"/>
        </w:rPr>
        <w:t xml:space="preserve"> </w:t>
      </w:r>
      <w:r>
        <w:t>under the mandatory common use arrangement (CUA), and vendors to deliver services as required by</w:t>
      </w:r>
      <w:r>
        <w:rPr>
          <w:spacing w:val="-2"/>
        </w:rPr>
        <w:t xml:space="preserve"> </w:t>
      </w:r>
      <w:r>
        <w:t>agencies.</w:t>
      </w:r>
    </w:p>
    <w:p w:rsidR="00A1463E" w:rsidRDefault="00F52429">
      <w:pPr>
        <w:pStyle w:val="BodyText"/>
        <w:spacing w:before="175" w:line="235" w:lineRule="auto"/>
        <w:ind w:left="685"/>
      </w:pPr>
      <w:r>
        <w:t xml:space="preserve">To facilitate collaboration and knowledge sharing amongst agencies, the GSB established the </w:t>
      </w:r>
      <w:proofErr w:type="spellStart"/>
      <w:r>
        <w:t>GovNext</w:t>
      </w:r>
      <w:proofErr w:type="spellEnd"/>
      <w:r>
        <w:t xml:space="preserve">-ICT reference group (GRG) and held meetings during the year. The Office of the GCIO also published three case studies, showcasing agencies that had procured </w:t>
      </w:r>
      <w:proofErr w:type="spellStart"/>
      <w:r>
        <w:t>GovNext</w:t>
      </w:r>
      <w:proofErr w:type="spellEnd"/>
      <w:r>
        <w:t xml:space="preserve">-ICT services and the benefits they had </w:t>
      </w:r>
      <w:proofErr w:type="spellStart"/>
      <w:r>
        <w:t>realised</w:t>
      </w:r>
      <w:proofErr w:type="spellEnd"/>
      <w:r>
        <w:t>.</w:t>
      </w:r>
    </w:p>
    <w:p w:rsidR="00A1463E" w:rsidRPr="00D138C6" w:rsidRDefault="00F52429" w:rsidP="00D138C6">
      <w:pPr>
        <w:pStyle w:val="BodyText"/>
        <w:spacing w:before="175" w:after="240" w:line="235" w:lineRule="auto"/>
        <w:ind w:left="685" w:right="690"/>
      </w:pPr>
      <w:r>
        <w:t xml:space="preserve">As at 30 June 2018, 29 agencies are in the process of transitioning to </w:t>
      </w:r>
      <w:proofErr w:type="spellStart"/>
      <w:r>
        <w:t>GovNext</w:t>
      </w:r>
      <w:proofErr w:type="spellEnd"/>
      <w:r>
        <w:t>-ICT.</w:t>
      </w:r>
      <w:r>
        <w:br w:type="column"/>
      </w:r>
    </w:p>
    <w:p w:rsidR="00A1463E" w:rsidRDefault="00F52429" w:rsidP="00D138C6">
      <w:pPr>
        <w:pStyle w:val="BodyText"/>
        <w:spacing w:line="235" w:lineRule="auto"/>
        <w:ind w:left="426" w:right="698"/>
      </w:pPr>
      <w:r>
        <w:t xml:space="preserve">The </w:t>
      </w:r>
      <w:proofErr w:type="spellStart"/>
      <w:r>
        <w:t>GovNext</w:t>
      </w:r>
      <w:proofErr w:type="spellEnd"/>
      <w:r>
        <w:t>-ICT program was included within a number of reviews during the year. The Office of the Auditor General commenced a performance audit on the implementation of the program, and an independent assessment was also requested by DPC. Both reviews are to be completed in 2018-19.</w:t>
      </w:r>
    </w:p>
    <w:p w:rsidR="00A1463E" w:rsidRDefault="00F52429" w:rsidP="00D138C6">
      <w:pPr>
        <w:pStyle w:val="BodyText"/>
        <w:spacing w:before="174" w:line="235" w:lineRule="auto"/>
        <w:ind w:left="426" w:right="231"/>
      </w:pPr>
      <w:r>
        <w:t xml:space="preserve">Recommendations and findings of all reviews will be addressed through the establishment of the </w:t>
      </w:r>
      <w:proofErr w:type="spellStart"/>
      <w:r>
        <w:t>GovNext</w:t>
      </w:r>
      <w:proofErr w:type="spellEnd"/>
      <w:r>
        <w:t>-ICT Governance Board in 2018-19 and the creation of a Program Management Office to focus on whole of government implementation.</w:t>
      </w:r>
    </w:p>
    <w:p w:rsidR="00A1463E" w:rsidRDefault="00F52429" w:rsidP="00D138C6">
      <w:pPr>
        <w:pStyle w:val="BodyText"/>
        <w:spacing w:line="235" w:lineRule="auto"/>
        <w:ind w:left="426" w:right="698"/>
      </w:pPr>
      <w:r>
        <w:t>The transition to DPC on 1 July 2018 will provide the mandate the program needs to drive the implementation of the reform as well as whole of government ICT procurement reform more broadly.</w:t>
      </w:r>
    </w:p>
    <w:p w:rsidR="00A1463E" w:rsidRDefault="00A1463E">
      <w:pPr>
        <w:spacing w:line="235" w:lineRule="auto"/>
      </w:pPr>
    </w:p>
    <w:p w:rsidR="00D67DAF" w:rsidRDefault="00D67DAF" w:rsidP="00D138C6">
      <w:pPr>
        <w:spacing w:line="235" w:lineRule="auto"/>
        <w:ind w:left="426"/>
        <w:rPr>
          <w:b/>
          <w:bCs/>
          <w:color w:val="000000"/>
          <w:sz w:val="23"/>
          <w:szCs w:val="23"/>
        </w:rPr>
      </w:pPr>
      <w:r>
        <w:rPr>
          <w:b/>
          <w:bCs/>
          <w:color w:val="000000"/>
          <w:sz w:val="23"/>
          <w:szCs w:val="23"/>
        </w:rPr>
        <w:t>Case Study: Department of Fire and Emergency Services</w:t>
      </w:r>
    </w:p>
    <w:p w:rsidR="00D67DAF" w:rsidRDefault="00D67DAF" w:rsidP="00D138C6">
      <w:pPr>
        <w:pStyle w:val="CM34"/>
        <w:ind w:left="426"/>
        <w:rPr>
          <w:color w:val="000000"/>
          <w:sz w:val="23"/>
          <w:szCs w:val="23"/>
        </w:rPr>
      </w:pPr>
      <w:r>
        <w:rPr>
          <w:color w:val="000000"/>
          <w:sz w:val="23"/>
          <w:szCs w:val="23"/>
        </w:rPr>
        <w:t xml:space="preserve">The Department of Fire and Emergency Services (DFES) works in </w:t>
      </w:r>
    </w:p>
    <w:p w:rsidR="00D67DAF" w:rsidRDefault="00D67DAF" w:rsidP="00D138C6">
      <w:pPr>
        <w:pStyle w:val="CM34"/>
        <w:ind w:left="426"/>
        <w:rPr>
          <w:color w:val="000000"/>
          <w:sz w:val="23"/>
          <w:szCs w:val="23"/>
        </w:rPr>
      </w:pPr>
      <w:r>
        <w:rPr>
          <w:color w:val="000000"/>
          <w:sz w:val="23"/>
          <w:szCs w:val="23"/>
        </w:rPr>
        <w:t xml:space="preserve">collaboration with Western Australian communities and other </w:t>
      </w:r>
    </w:p>
    <w:p w:rsidR="00D67DAF" w:rsidRDefault="00D67DAF" w:rsidP="00D138C6">
      <w:pPr>
        <w:pStyle w:val="CM34"/>
        <w:ind w:left="426"/>
        <w:rPr>
          <w:color w:val="000000"/>
          <w:sz w:val="23"/>
          <w:szCs w:val="23"/>
        </w:rPr>
      </w:pPr>
      <w:r>
        <w:rPr>
          <w:color w:val="000000"/>
          <w:sz w:val="23"/>
          <w:szCs w:val="23"/>
        </w:rPr>
        <w:t xml:space="preserve">government agencies to prevent and respond to incidents such as fires, </w:t>
      </w:r>
    </w:p>
    <w:p w:rsidR="00D67DAF" w:rsidRDefault="00D67DAF" w:rsidP="00D138C6">
      <w:pPr>
        <w:pStyle w:val="CM72"/>
        <w:spacing w:after="162"/>
        <w:ind w:left="426"/>
        <w:rPr>
          <w:color w:val="000000"/>
          <w:sz w:val="23"/>
          <w:szCs w:val="23"/>
        </w:rPr>
      </w:pPr>
      <w:r>
        <w:rPr>
          <w:color w:val="000000"/>
          <w:sz w:val="23"/>
          <w:szCs w:val="23"/>
        </w:rPr>
        <w:t xml:space="preserve">cyclones and floods. </w:t>
      </w:r>
    </w:p>
    <w:p w:rsidR="00D67DAF" w:rsidRDefault="00D67DAF" w:rsidP="00D138C6">
      <w:pPr>
        <w:pStyle w:val="CM34"/>
        <w:ind w:left="426"/>
        <w:rPr>
          <w:color w:val="000000"/>
          <w:sz w:val="23"/>
          <w:szCs w:val="23"/>
        </w:rPr>
      </w:pPr>
      <w:r>
        <w:rPr>
          <w:color w:val="000000"/>
          <w:sz w:val="23"/>
          <w:szCs w:val="23"/>
        </w:rPr>
        <w:t xml:space="preserve">First responders depend on clear communications to maintain the flow </w:t>
      </w:r>
    </w:p>
    <w:p w:rsidR="00D67DAF" w:rsidRDefault="00D67DAF" w:rsidP="00D138C6">
      <w:pPr>
        <w:pStyle w:val="CM34"/>
        <w:ind w:left="426"/>
        <w:rPr>
          <w:color w:val="000000"/>
          <w:sz w:val="23"/>
          <w:szCs w:val="23"/>
        </w:rPr>
      </w:pPr>
      <w:r>
        <w:rPr>
          <w:color w:val="000000"/>
          <w:sz w:val="23"/>
          <w:szCs w:val="23"/>
        </w:rPr>
        <w:t xml:space="preserve">of information during an emergency and deliver real-time situational </w:t>
      </w:r>
    </w:p>
    <w:p w:rsidR="00D67DAF" w:rsidRDefault="00D67DAF" w:rsidP="00D138C6">
      <w:pPr>
        <w:pStyle w:val="CM72"/>
        <w:spacing w:after="162"/>
        <w:ind w:left="426"/>
        <w:rPr>
          <w:color w:val="000000"/>
          <w:sz w:val="23"/>
          <w:szCs w:val="23"/>
        </w:rPr>
      </w:pPr>
      <w:r>
        <w:rPr>
          <w:color w:val="000000"/>
          <w:sz w:val="23"/>
          <w:szCs w:val="23"/>
        </w:rPr>
        <w:t xml:space="preserve">awareness out in the field. </w:t>
      </w:r>
    </w:p>
    <w:p w:rsidR="00D67DAF" w:rsidRDefault="00D67DAF" w:rsidP="00D138C6">
      <w:pPr>
        <w:pStyle w:val="CM34"/>
        <w:ind w:left="426"/>
        <w:rPr>
          <w:color w:val="000000"/>
          <w:sz w:val="23"/>
          <w:szCs w:val="23"/>
        </w:rPr>
      </w:pPr>
      <w:r>
        <w:rPr>
          <w:color w:val="000000"/>
          <w:sz w:val="23"/>
          <w:szCs w:val="23"/>
        </w:rPr>
        <w:t xml:space="preserve">In order to start leveraging new technologies to support first responders </w:t>
      </w:r>
    </w:p>
    <w:p w:rsidR="00D67DAF" w:rsidRDefault="00D67DAF" w:rsidP="00D138C6">
      <w:pPr>
        <w:pStyle w:val="CM34"/>
        <w:ind w:left="426"/>
        <w:rPr>
          <w:color w:val="000000"/>
          <w:sz w:val="23"/>
          <w:szCs w:val="23"/>
        </w:rPr>
      </w:pPr>
      <w:r>
        <w:rPr>
          <w:color w:val="000000"/>
          <w:sz w:val="23"/>
          <w:szCs w:val="23"/>
        </w:rPr>
        <w:t xml:space="preserve">and field staff, DFES needed to first improve and expand its base ICT </w:t>
      </w:r>
    </w:p>
    <w:p w:rsidR="00D67DAF" w:rsidRDefault="00D67DAF" w:rsidP="00D138C6">
      <w:pPr>
        <w:pStyle w:val="CM72"/>
        <w:spacing w:after="162"/>
        <w:ind w:left="426"/>
        <w:rPr>
          <w:color w:val="000000"/>
          <w:sz w:val="23"/>
          <w:szCs w:val="23"/>
        </w:rPr>
      </w:pPr>
      <w:r>
        <w:rPr>
          <w:color w:val="000000"/>
          <w:sz w:val="23"/>
          <w:szCs w:val="23"/>
        </w:rPr>
        <w:t xml:space="preserve">infrastructure capabilities. </w:t>
      </w:r>
    </w:p>
    <w:p w:rsidR="00D67DAF" w:rsidRDefault="00D67DAF" w:rsidP="00D138C6">
      <w:pPr>
        <w:pStyle w:val="CM34"/>
        <w:ind w:left="426"/>
        <w:rPr>
          <w:color w:val="000000"/>
          <w:sz w:val="23"/>
          <w:szCs w:val="23"/>
        </w:rPr>
      </w:pPr>
      <w:r>
        <w:rPr>
          <w:color w:val="000000"/>
          <w:sz w:val="23"/>
          <w:szCs w:val="23"/>
        </w:rPr>
        <w:t xml:space="preserve">A move to </w:t>
      </w:r>
      <w:proofErr w:type="spellStart"/>
      <w:r>
        <w:rPr>
          <w:color w:val="000000"/>
          <w:sz w:val="23"/>
          <w:szCs w:val="23"/>
        </w:rPr>
        <w:t>GovNext</w:t>
      </w:r>
      <w:proofErr w:type="spellEnd"/>
      <w:r>
        <w:rPr>
          <w:color w:val="000000"/>
          <w:sz w:val="23"/>
          <w:szCs w:val="23"/>
        </w:rPr>
        <w:t xml:space="preserve">-ICT network services has resulted in improved </w:t>
      </w:r>
    </w:p>
    <w:p w:rsidR="00D67DAF" w:rsidRDefault="00D67DAF" w:rsidP="00D138C6">
      <w:pPr>
        <w:pStyle w:val="CM34"/>
        <w:ind w:left="426"/>
        <w:rPr>
          <w:color w:val="000000"/>
          <w:sz w:val="23"/>
          <w:szCs w:val="23"/>
        </w:rPr>
      </w:pPr>
      <w:r>
        <w:rPr>
          <w:color w:val="000000"/>
          <w:sz w:val="23"/>
          <w:szCs w:val="23"/>
        </w:rPr>
        <w:t xml:space="preserve">bandwidth capacity, enhanced consumption of common cloud </w:t>
      </w:r>
    </w:p>
    <w:p w:rsidR="00D67DAF" w:rsidRDefault="00D67DAF" w:rsidP="00D138C6">
      <w:pPr>
        <w:pStyle w:val="CM34"/>
        <w:ind w:left="426"/>
        <w:rPr>
          <w:color w:val="000000"/>
          <w:sz w:val="23"/>
          <w:szCs w:val="23"/>
        </w:rPr>
      </w:pPr>
      <w:r>
        <w:rPr>
          <w:color w:val="000000"/>
          <w:sz w:val="23"/>
          <w:szCs w:val="23"/>
        </w:rPr>
        <w:t xml:space="preserve">services, and established the infrastructure necessary to support future </w:t>
      </w:r>
    </w:p>
    <w:p w:rsidR="00D67DAF" w:rsidRDefault="00D67DAF" w:rsidP="00D138C6">
      <w:pPr>
        <w:pStyle w:val="CM72"/>
        <w:spacing w:after="162"/>
        <w:ind w:left="426"/>
        <w:rPr>
          <w:color w:val="000000"/>
          <w:sz w:val="23"/>
          <w:szCs w:val="23"/>
        </w:rPr>
      </w:pPr>
      <w:r>
        <w:rPr>
          <w:color w:val="000000"/>
          <w:sz w:val="23"/>
          <w:szCs w:val="23"/>
        </w:rPr>
        <w:t xml:space="preserve">emergency response innovations. </w:t>
      </w:r>
    </w:p>
    <w:p w:rsidR="00D67DAF" w:rsidRDefault="00D67DAF" w:rsidP="00D138C6">
      <w:pPr>
        <w:pStyle w:val="CM34"/>
        <w:ind w:left="426"/>
        <w:rPr>
          <w:color w:val="000000"/>
          <w:sz w:val="23"/>
          <w:szCs w:val="23"/>
        </w:rPr>
      </w:pPr>
      <w:r>
        <w:rPr>
          <w:color w:val="000000"/>
          <w:sz w:val="23"/>
          <w:szCs w:val="23"/>
        </w:rPr>
        <w:t xml:space="preserve">These changes have delivered network and telephony cost savings of </w:t>
      </w:r>
    </w:p>
    <w:p w:rsidR="00D67DAF" w:rsidRDefault="00D67DAF" w:rsidP="00D138C6">
      <w:pPr>
        <w:pStyle w:val="CM34"/>
        <w:ind w:left="426"/>
        <w:rPr>
          <w:color w:val="000000"/>
          <w:sz w:val="23"/>
          <w:szCs w:val="23"/>
        </w:rPr>
      </w:pPr>
      <w:r>
        <w:rPr>
          <w:color w:val="000000"/>
          <w:sz w:val="23"/>
          <w:szCs w:val="23"/>
        </w:rPr>
        <w:t xml:space="preserve">20 percent, improved their ability to share data with first responders </w:t>
      </w:r>
    </w:p>
    <w:p w:rsidR="00D67DAF" w:rsidRDefault="00D67DAF" w:rsidP="00D138C6">
      <w:pPr>
        <w:pStyle w:val="CM34"/>
        <w:ind w:left="426"/>
        <w:rPr>
          <w:color w:val="000000"/>
          <w:sz w:val="23"/>
          <w:szCs w:val="23"/>
        </w:rPr>
      </w:pPr>
      <w:r>
        <w:rPr>
          <w:color w:val="000000"/>
          <w:sz w:val="23"/>
          <w:szCs w:val="23"/>
        </w:rPr>
        <w:t xml:space="preserve">and other agencies and eliminated aging infrastructure and its </w:t>
      </w:r>
    </w:p>
    <w:p w:rsidR="00D67DAF" w:rsidRDefault="00D67DAF" w:rsidP="00D138C6">
      <w:pPr>
        <w:spacing w:line="235" w:lineRule="auto"/>
        <w:ind w:left="426"/>
        <w:sectPr w:rsidR="00D67DAF">
          <w:type w:val="continuous"/>
          <w:pgSz w:w="16840" w:h="11910" w:orient="landscape"/>
          <w:pgMar w:top="560" w:right="0" w:bottom="0" w:left="0" w:header="720" w:footer="720" w:gutter="0"/>
          <w:cols w:num="2" w:space="720" w:equalWidth="0">
            <w:col w:w="8079" w:space="40"/>
            <w:col w:w="8721"/>
          </w:cols>
        </w:sectPr>
      </w:pPr>
      <w:r>
        <w:rPr>
          <w:color w:val="000000"/>
          <w:sz w:val="23"/>
          <w:szCs w:val="23"/>
        </w:rPr>
        <w:t>associated costs.</w:t>
      </w:r>
    </w:p>
    <w:p w:rsidR="00A1463E" w:rsidRDefault="00A1463E">
      <w:pPr>
        <w:pStyle w:val="BodyText"/>
        <w:spacing w:before="9"/>
        <w:rPr>
          <w:sz w:val="8"/>
        </w:rPr>
      </w:pPr>
    </w:p>
    <w:p w:rsidR="00A1463E" w:rsidRDefault="00F52429" w:rsidP="00D138C6">
      <w:pPr>
        <w:pStyle w:val="Heading1"/>
      </w:pPr>
      <w:r>
        <w:rPr>
          <w:w w:val="105"/>
        </w:rPr>
        <w:t>DIGITAL TRANSFORMATION: leadership through key reform projects</w:t>
      </w:r>
    </w:p>
    <w:p w:rsidR="00A1463E" w:rsidRDefault="00A1463E">
      <w:pPr>
        <w:pStyle w:val="BodyText"/>
        <w:spacing w:line="60" w:lineRule="exact"/>
        <w:ind w:left="650"/>
        <w:rPr>
          <w:sz w:val="6"/>
        </w:rPr>
      </w:pPr>
    </w:p>
    <w:p w:rsidR="00A1463E" w:rsidRDefault="00A1463E">
      <w:pPr>
        <w:pStyle w:val="BodyText"/>
        <w:spacing w:before="9"/>
        <w:rPr>
          <w:sz w:val="11"/>
        </w:rPr>
      </w:pPr>
    </w:p>
    <w:p w:rsidR="00A1463E" w:rsidRDefault="00A1463E">
      <w:pPr>
        <w:rPr>
          <w:sz w:val="11"/>
        </w:rPr>
        <w:sectPr w:rsidR="00A1463E">
          <w:pgSz w:w="16840" w:h="11910" w:orient="landscape"/>
          <w:pgMar w:top="540" w:right="0" w:bottom="360" w:left="0" w:header="229" w:footer="145" w:gutter="0"/>
          <w:cols w:space="720"/>
        </w:sectPr>
      </w:pPr>
    </w:p>
    <w:p w:rsidR="00A1463E" w:rsidRDefault="00F52429" w:rsidP="00D138C6">
      <w:pPr>
        <w:pStyle w:val="Heading2"/>
      </w:pPr>
      <w:r>
        <w:t>Cyber Security</w:t>
      </w:r>
    </w:p>
    <w:p w:rsidR="00A1463E" w:rsidRDefault="00F52429">
      <w:pPr>
        <w:pStyle w:val="BodyText"/>
        <w:spacing w:before="35" w:line="235" w:lineRule="auto"/>
        <w:ind w:left="685"/>
      </w:pPr>
      <w:r>
        <w:t>As</w:t>
      </w:r>
      <w:r>
        <w:rPr>
          <w:spacing w:val="-5"/>
        </w:rPr>
        <w:t xml:space="preserve"> </w:t>
      </w:r>
      <w:r>
        <w:t>more</w:t>
      </w:r>
      <w:r>
        <w:rPr>
          <w:spacing w:val="-5"/>
        </w:rPr>
        <w:t xml:space="preserve"> </w:t>
      </w:r>
      <w:r>
        <w:t>government</w:t>
      </w:r>
      <w:r>
        <w:rPr>
          <w:spacing w:val="-5"/>
        </w:rPr>
        <w:t xml:space="preserve"> </w:t>
      </w:r>
      <w:r>
        <w:t>services</w:t>
      </w:r>
      <w:r>
        <w:rPr>
          <w:spacing w:val="-5"/>
        </w:rPr>
        <w:t xml:space="preserve"> </w:t>
      </w:r>
      <w:r>
        <w:t>are</w:t>
      </w:r>
      <w:r>
        <w:rPr>
          <w:spacing w:val="-5"/>
        </w:rPr>
        <w:t xml:space="preserve"> </w:t>
      </w:r>
      <w:r>
        <w:t>delivered</w:t>
      </w:r>
      <w:r>
        <w:rPr>
          <w:spacing w:val="-5"/>
        </w:rPr>
        <w:t xml:space="preserve"> </w:t>
      </w:r>
      <w:r>
        <w:t>online,</w:t>
      </w:r>
      <w:r>
        <w:rPr>
          <w:spacing w:val="-6"/>
        </w:rPr>
        <w:t xml:space="preserve"> </w:t>
      </w:r>
      <w:r>
        <w:t>the</w:t>
      </w:r>
      <w:r>
        <w:rPr>
          <w:spacing w:val="-5"/>
        </w:rPr>
        <w:t xml:space="preserve"> </w:t>
      </w:r>
      <w:r>
        <w:t>community</w:t>
      </w:r>
      <w:r>
        <w:rPr>
          <w:spacing w:val="-6"/>
        </w:rPr>
        <w:t xml:space="preserve"> </w:t>
      </w:r>
      <w:r>
        <w:t>needs</w:t>
      </w:r>
      <w:r>
        <w:rPr>
          <w:spacing w:val="-6"/>
        </w:rPr>
        <w:t xml:space="preserve"> </w:t>
      </w:r>
      <w:r>
        <w:t xml:space="preserve">to have confidence that personal information stored in Government systems and processes is </w:t>
      </w:r>
      <w:r>
        <w:rPr>
          <w:spacing w:val="-3"/>
        </w:rPr>
        <w:t xml:space="preserve">safe </w:t>
      </w:r>
      <w:r>
        <w:t>and secure. This will involve building the public sector’s cyber security</w:t>
      </w:r>
      <w:r>
        <w:rPr>
          <w:spacing w:val="-3"/>
        </w:rPr>
        <w:t xml:space="preserve"> </w:t>
      </w:r>
      <w:r>
        <w:t>capabilities.</w:t>
      </w:r>
    </w:p>
    <w:p w:rsidR="00A1463E" w:rsidRDefault="00F52429">
      <w:pPr>
        <w:pStyle w:val="BodyText"/>
        <w:spacing w:before="173" w:line="235" w:lineRule="auto"/>
        <w:ind w:left="685" w:right="95"/>
      </w:pPr>
      <w:r>
        <w:t>In 2017-18, the Office of the GCIO undertook a number of activities to promote better cyber security practices in the WA public sector, including:</w:t>
      </w:r>
    </w:p>
    <w:p w:rsidR="00A1463E" w:rsidRDefault="00F52429" w:rsidP="004151B8">
      <w:pPr>
        <w:pStyle w:val="ListParagraph"/>
        <w:numPr>
          <w:ilvl w:val="1"/>
          <w:numId w:val="18"/>
        </w:numPr>
        <w:tabs>
          <w:tab w:val="left" w:pos="886"/>
        </w:tabs>
        <w:spacing w:before="169" w:line="230" w:lineRule="auto"/>
        <w:ind w:right="210" w:hanging="170"/>
      </w:pPr>
      <w:r>
        <w:t>Hosting</w:t>
      </w:r>
      <w:r>
        <w:rPr>
          <w:spacing w:val="-8"/>
        </w:rPr>
        <w:t xml:space="preserve"> </w:t>
      </w:r>
      <w:r>
        <w:t>a</w:t>
      </w:r>
      <w:r>
        <w:rPr>
          <w:spacing w:val="-8"/>
        </w:rPr>
        <w:t xml:space="preserve"> </w:t>
      </w:r>
      <w:r>
        <w:t>Cyber</w:t>
      </w:r>
      <w:r>
        <w:rPr>
          <w:spacing w:val="-8"/>
        </w:rPr>
        <w:t xml:space="preserve"> </w:t>
      </w:r>
      <w:r>
        <w:t>Security</w:t>
      </w:r>
      <w:r>
        <w:rPr>
          <w:spacing w:val="-8"/>
        </w:rPr>
        <w:t xml:space="preserve"> </w:t>
      </w:r>
      <w:r>
        <w:t>Executive</w:t>
      </w:r>
      <w:r>
        <w:rPr>
          <w:spacing w:val="-7"/>
        </w:rPr>
        <w:t xml:space="preserve"> </w:t>
      </w:r>
      <w:r>
        <w:t>Briefing</w:t>
      </w:r>
      <w:r>
        <w:rPr>
          <w:spacing w:val="-8"/>
        </w:rPr>
        <w:t xml:space="preserve"> </w:t>
      </w:r>
      <w:r>
        <w:t>for</w:t>
      </w:r>
      <w:r>
        <w:rPr>
          <w:spacing w:val="-8"/>
        </w:rPr>
        <w:t xml:space="preserve"> </w:t>
      </w:r>
      <w:r>
        <w:t>80</w:t>
      </w:r>
      <w:r>
        <w:rPr>
          <w:spacing w:val="-7"/>
        </w:rPr>
        <w:t xml:space="preserve"> </w:t>
      </w:r>
      <w:r>
        <w:t>Directors</w:t>
      </w:r>
      <w:r>
        <w:rPr>
          <w:spacing w:val="-8"/>
        </w:rPr>
        <w:t xml:space="preserve"> </w:t>
      </w:r>
      <w:r>
        <w:t>General</w:t>
      </w:r>
      <w:r>
        <w:rPr>
          <w:spacing w:val="-8"/>
        </w:rPr>
        <w:t xml:space="preserve"> </w:t>
      </w:r>
      <w:r>
        <w:t>and Chief Executives in July 2017 focusing on cyber security as a business risk, not just a technology</w:t>
      </w:r>
      <w:r>
        <w:rPr>
          <w:spacing w:val="-3"/>
        </w:rPr>
        <w:t xml:space="preserve"> </w:t>
      </w:r>
      <w:r>
        <w:t>risk;</w:t>
      </w:r>
    </w:p>
    <w:p w:rsidR="00A1463E" w:rsidRDefault="00F52429" w:rsidP="004151B8">
      <w:pPr>
        <w:pStyle w:val="ListParagraph"/>
        <w:numPr>
          <w:ilvl w:val="1"/>
          <w:numId w:val="18"/>
        </w:numPr>
        <w:tabs>
          <w:tab w:val="left" w:pos="886"/>
        </w:tabs>
        <w:spacing w:before="53" w:line="230" w:lineRule="auto"/>
        <w:ind w:right="233" w:hanging="170"/>
      </w:pPr>
      <w:r>
        <w:t xml:space="preserve">Establishing a cross-agency Cyber Security </w:t>
      </w:r>
      <w:r>
        <w:rPr>
          <w:spacing w:val="-3"/>
        </w:rPr>
        <w:t xml:space="preserve">Working </w:t>
      </w:r>
      <w:r>
        <w:t>Group with representatives from nine public sector agencies to support the development</w:t>
      </w:r>
      <w:r>
        <w:rPr>
          <w:spacing w:val="-4"/>
        </w:rPr>
        <w:t xml:space="preserve"> </w:t>
      </w:r>
      <w:r>
        <w:t>of</w:t>
      </w:r>
      <w:r>
        <w:rPr>
          <w:spacing w:val="-5"/>
        </w:rPr>
        <w:t xml:space="preserve"> </w:t>
      </w:r>
      <w:r>
        <w:t>a</w:t>
      </w:r>
      <w:r>
        <w:rPr>
          <w:spacing w:val="-5"/>
        </w:rPr>
        <w:t xml:space="preserve"> </w:t>
      </w:r>
      <w:r>
        <w:t>whole</w:t>
      </w:r>
      <w:r>
        <w:rPr>
          <w:spacing w:val="-4"/>
        </w:rPr>
        <w:t xml:space="preserve"> </w:t>
      </w:r>
      <w:r>
        <w:t>of</w:t>
      </w:r>
      <w:r>
        <w:rPr>
          <w:spacing w:val="-5"/>
        </w:rPr>
        <w:t xml:space="preserve"> </w:t>
      </w:r>
      <w:r>
        <w:t>government</w:t>
      </w:r>
      <w:r>
        <w:rPr>
          <w:spacing w:val="-4"/>
        </w:rPr>
        <w:t xml:space="preserve"> </w:t>
      </w:r>
      <w:r>
        <w:t>approach</w:t>
      </w:r>
      <w:r>
        <w:rPr>
          <w:spacing w:val="-5"/>
        </w:rPr>
        <w:t xml:space="preserve"> </w:t>
      </w:r>
      <w:r>
        <w:t>to</w:t>
      </w:r>
      <w:r>
        <w:rPr>
          <w:spacing w:val="-5"/>
        </w:rPr>
        <w:t xml:space="preserve"> </w:t>
      </w:r>
      <w:r>
        <w:t>cyber</w:t>
      </w:r>
      <w:r>
        <w:rPr>
          <w:spacing w:val="-4"/>
        </w:rPr>
        <w:t xml:space="preserve"> </w:t>
      </w:r>
      <w:r>
        <w:t>security</w:t>
      </w:r>
      <w:r>
        <w:rPr>
          <w:spacing w:val="-5"/>
        </w:rPr>
        <w:t xml:space="preserve"> </w:t>
      </w:r>
      <w:r>
        <w:t>and encourage collaboration;</w:t>
      </w:r>
      <w:r>
        <w:rPr>
          <w:spacing w:val="-2"/>
        </w:rPr>
        <w:t xml:space="preserve"> </w:t>
      </w:r>
      <w:r>
        <w:t>and</w:t>
      </w:r>
    </w:p>
    <w:p w:rsidR="00A1463E" w:rsidRDefault="00F52429" w:rsidP="004151B8">
      <w:pPr>
        <w:pStyle w:val="ListParagraph"/>
        <w:numPr>
          <w:ilvl w:val="1"/>
          <w:numId w:val="18"/>
        </w:numPr>
        <w:tabs>
          <w:tab w:val="left" w:pos="886"/>
        </w:tabs>
        <w:spacing w:before="50" w:line="232" w:lineRule="auto"/>
        <w:ind w:right="252" w:hanging="170"/>
      </w:pPr>
      <w:r>
        <w:t xml:space="preserve">Negotiating the </w:t>
      </w:r>
      <w:r>
        <w:rPr>
          <w:spacing w:val="-4"/>
        </w:rPr>
        <w:t xml:space="preserve">State’s </w:t>
      </w:r>
      <w:r>
        <w:t>partnership with Edith Cowan University (ECU), the</w:t>
      </w:r>
      <w:r>
        <w:rPr>
          <w:spacing w:val="-6"/>
        </w:rPr>
        <w:t xml:space="preserve"> </w:t>
      </w:r>
      <w:r>
        <w:t>Federal</w:t>
      </w:r>
      <w:r>
        <w:rPr>
          <w:spacing w:val="-7"/>
        </w:rPr>
        <w:t xml:space="preserve"> </w:t>
      </w:r>
      <w:r>
        <w:t>Government</w:t>
      </w:r>
      <w:r>
        <w:rPr>
          <w:spacing w:val="-6"/>
        </w:rPr>
        <w:t xml:space="preserve"> </w:t>
      </w:r>
      <w:r>
        <w:t>and</w:t>
      </w:r>
      <w:r>
        <w:rPr>
          <w:spacing w:val="-7"/>
        </w:rPr>
        <w:t xml:space="preserve"> </w:t>
      </w:r>
      <w:r>
        <w:t>other</w:t>
      </w:r>
      <w:r>
        <w:rPr>
          <w:spacing w:val="-7"/>
        </w:rPr>
        <w:t xml:space="preserve"> </w:t>
      </w:r>
      <w:r>
        <w:t>participants</w:t>
      </w:r>
      <w:r>
        <w:rPr>
          <w:spacing w:val="-6"/>
        </w:rPr>
        <w:t xml:space="preserve"> </w:t>
      </w:r>
      <w:r>
        <w:t>from</w:t>
      </w:r>
      <w:r>
        <w:rPr>
          <w:spacing w:val="-7"/>
        </w:rPr>
        <w:t xml:space="preserve"> </w:t>
      </w:r>
      <w:r>
        <w:rPr>
          <w:spacing w:val="-3"/>
        </w:rPr>
        <w:t>industry,</w:t>
      </w:r>
      <w:r>
        <w:rPr>
          <w:spacing w:val="-6"/>
        </w:rPr>
        <w:t xml:space="preserve"> </w:t>
      </w:r>
      <w:r>
        <w:t>research and other jurisdictions to establish the</w:t>
      </w:r>
      <w:r>
        <w:rPr>
          <w:spacing w:val="-9"/>
        </w:rPr>
        <w:t xml:space="preserve"> </w:t>
      </w:r>
      <w:r>
        <w:t>CRC.</w:t>
      </w:r>
    </w:p>
    <w:p w:rsidR="00A1463E" w:rsidRDefault="00F52429">
      <w:pPr>
        <w:pStyle w:val="BodyText"/>
        <w:spacing w:before="166" w:line="290" w:lineRule="exact"/>
        <w:ind w:left="685"/>
      </w:pPr>
      <w:r>
        <w:t>In June 2018, the Minister for Innovation and ICT announced more than</w:t>
      </w:r>
    </w:p>
    <w:p w:rsidR="00A1463E" w:rsidRDefault="00F52429">
      <w:pPr>
        <w:pStyle w:val="BodyText"/>
        <w:spacing w:before="2" w:line="235" w:lineRule="auto"/>
        <w:ind w:left="685"/>
      </w:pPr>
      <w:r>
        <w:t xml:space="preserve">$500,000 in funding from 1 July 2018 to establish a </w:t>
      </w:r>
      <w:proofErr w:type="spellStart"/>
      <w:r>
        <w:t>cyber security</w:t>
      </w:r>
      <w:proofErr w:type="spellEnd"/>
      <w:r>
        <w:t xml:space="preserve"> function within the Office of the GCIO to develop whole of government cyber security initiatives.</w:t>
      </w:r>
    </w:p>
    <w:p w:rsidR="00A1463E" w:rsidRPr="00D138C6" w:rsidRDefault="00F52429" w:rsidP="00D138C6">
      <w:pPr>
        <w:pStyle w:val="Heading2"/>
      </w:pPr>
      <w:r>
        <w:rPr>
          <w:b/>
        </w:rPr>
        <w:br w:type="column"/>
      </w:r>
      <w:r w:rsidRPr="00D138C6">
        <w:t>Case Study: Cyber Security Cooperative Research Centre</w:t>
      </w:r>
    </w:p>
    <w:p w:rsidR="00A1463E" w:rsidRDefault="00F52429">
      <w:pPr>
        <w:pStyle w:val="BodyText"/>
        <w:spacing w:before="42" w:line="235" w:lineRule="auto"/>
        <w:ind w:left="668"/>
      </w:pPr>
      <w:r>
        <w:t>The new CRC was launched in April 2018 to build Australia’s cyber security capabilities.</w:t>
      </w:r>
    </w:p>
    <w:p w:rsidR="00A1463E" w:rsidRDefault="00F52429">
      <w:pPr>
        <w:pStyle w:val="BodyText"/>
        <w:spacing w:before="171" w:line="235" w:lineRule="auto"/>
        <w:ind w:left="668" w:right="640"/>
      </w:pPr>
      <w:r>
        <w:t xml:space="preserve">The CRC brings together a collaboration of 25 </w:t>
      </w:r>
      <w:proofErr w:type="gramStart"/>
      <w:r>
        <w:t>industry</w:t>
      </w:r>
      <w:proofErr w:type="gramEnd"/>
      <w:r>
        <w:t>, government and research partners, led by the Australian Cyber Security Research Institute. The Government of Western Australia is the largest State Government contributor to the CRC, with a contribution of $5.6 million over seven years.</w:t>
      </w:r>
    </w:p>
    <w:p w:rsidR="00A1463E" w:rsidRDefault="00F52429">
      <w:pPr>
        <w:pStyle w:val="BodyText"/>
        <w:spacing w:before="174" w:line="235" w:lineRule="auto"/>
        <w:ind w:left="668" w:right="919"/>
      </w:pPr>
      <w:r>
        <w:t xml:space="preserve">Based at ECU </w:t>
      </w:r>
      <w:proofErr w:type="spellStart"/>
      <w:r>
        <w:t>Joondalup</w:t>
      </w:r>
      <w:proofErr w:type="spellEnd"/>
      <w:r>
        <w:t xml:space="preserve">, the CRC positions Western Australia as the nation’s new </w:t>
      </w:r>
      <w:proofErr w:type="spellStart"/>
      <w:r>
        <w:t>centre</w:t>
      </w:r>
      <w:proofErr w:type="spellEnd"/>
      <w:r>
        <w:t xml:space="preserve"> for cyber research. Participants will work together to deliver solutions to secure critical infrastructure and ensure the safety of businesses and citizens.</w:t>
      </w:r>
    </w:p>
    <w:p w:rsidR="00A1463E" w:rsidRDefault="00F52429">
      <w:pPr>
        <w:pStyle w:val="BodyText"/>
        <w:spacing w:before="112"/>
        <w:ind w:left="668"/>
      </w:pPr>
      <w:r>
        <w:t>The CRC will focus on three key areas:</w:t>
      </w:r>
    </w:p>
    <w:p w:rsidR="00A1463E" w:rsidRDefault="00F52429" w:rsidP="004151B8">
      <w:pPr>
        <w:pStyle w:val="ListParagraph"/>
        <w:numPr>
          <w:ilvl w:val="1"/>
          <w:numId w:val="18"/>
        </w:numPr>
        <w:tabs>
          <w:tab w:val="left" w:pos="869"/>
        </w:tabs>
        <w:spacing w:before="53" w:line="230" w:lineRule="auto"/>
        <w:ind w:left="868" w:right="1004" w:hanging="170"/>
      </w:pPr>
      <w:r>
        <w:t>ensuring</w:t>
      </w:r>
      <w:r>
        <w:rPr>
          <w:spacing w:val="-7"/>
        </w:rPr>
        <w:t xml:space="preserve"> </w:t>
      </w:r>
      <w:r>
        <w:t>the</w:t>
      </w:r>
      <w:r>
        <w:rPr>
          <w:spacing w:val="-7"/>
        </w:rPr>
        <w:t xml:space="preserve"> </w:t>
      </w:r>
      <w:r>
        <w:t>security</w:t>
      </w:r>
      <w:r>
        <w:rPr>
          <w:spacing w:val="-8"/>
        </w:rPr>
        <w:t xml:space="preserve"> </w:t>
      </w:r>
      <w:r>
        <w:t>of</w:t>
      </w:r>
      <w:r>
        <w:rPr>
          <w:spacing w:val="-8"/>
        </w:rPr>
        <w:t xml:space="preserve"> </w:t>
      </w:r>
      <w:r>
        <w:t>critical</w:t>
      </w:r>
      <w:r>
        <w:rPr>
          <w:spacing w:val="-8"/>
        </w:rPr>
        <w:t xml:space="preserve"> </w:t>
      </w:r>
      <w:r>
        <w:t>infrastructure</w:t>
      </w:r>
      <w:r>
        <w:rPr>
          <w:spacing w:val="-7"/>
        </w:rPr>
        <w:t xml:space="preserve"> </w:t>
      </w:r>
      <w:r>
        <w:t>by</w:t>
      </w:r>
      <w:r>
        <w:rPr>
          <w:spacing w:val="-7"/>
        </w:rPr>
        <w:t xml:space="preserve"> </w:t>
      </w:r>
      <w:r>
        <w:t>developing</w:t>
      </w:r>
      <w:r>
        <w:rPr>
          <w:spacing w:val="-7"/>
        </w:rPr>
        <w:t xml:space="preserve"> </w:t>
      </w:r>
      <w:r>
        <w:t>innovative approaches, tools and techniques to predict, prevent, detect, and respond to cyber</w:t>
      </w:r>
      <w:r>
        <w:rPr>
          <w:spacing w:val="-2"/>
        </w:rPr>
        <w:t xml:space="preserve"> </w:t>
      </w:r>
      <w:r>
        <w:t>threats</w:t>
      </w:r>
    </w:p>
    <w:p w:rsidR="00A1463E" w:rsidRDefault="00F52429" w:rsidP="004151B8">
      <w:pPr>
        <w:pStyle w:val="ListParagraph"/>
        <w:numPr>
          <w:ilvl w:val="1"/>
          <w:numId w:val="18"/>
        </w:numPr>
        <w:tabs>
          <w:tab w:val="left" w:pos="869"/>
        </w:tabs>
        <w:spacing w:before="54" w:line="230" w:lineRule="auto"/>
        <w:ind w:left="868" w:right="809" w:hanging="170"/>
      </w:pPr>
      <w:r>
        <w:rPr>
          <w:spacing w:val="-3"/>
        </w:rPr>
        <w:t xml:space="preserve">enabling </w:t>
      </w:r>
      <w:r>
        <w:rPr>
          <w:spacing w:val="-4"/>
        </w:rPr>
        <w:t xml:space="preserve">Australian </w:t>
      </w:r>
      <w:r>
        <w:rPr>
          <w:spacing w:val="-3"/>
        </w:rPr>
        <w:t xml:space="preserve">individuals, businesses </w:t>
      </w:r>
      <w:r>
        <w:t xml:space="preserve">and </w:t>
      </w:r>
      <w:r>
        <w:rPr>
          <w:spacing w:val="-3"/>
        </w:rPr>
        <w:t xml:space="preserve">industries to access cyber security solutions which build national </w:t>
      </w:r>
      <w:r>
        <w:t xml:space="preserve">and </w:t>
      </w:r>
      <w:r>
        <w:rPr>
          <w:spacing w:val="-4"/>
        </w:rPr>
        <w:t xml:space="preserve">international </w:t>
      </w:r>
      <w:r>
        <w:rPr>
          <w:spacing w:val="-3"/>
        </w:rPr>
        <w:t xml:space="preserve">confidence in </w:t>
      </w:r>
      <w:r>
        <w:rPr>
          <w:spacing w:val="-4"/>
        </w:rPr>
        <w:t xml:space="preserve">Australia </w:t>
      </w:r>
      <w:r>
        <w:t xml:space="preserve">as a </w:t>
      </w:r>
      <w:r>
        <w:rPr>
          <w:spacing w:val="-4"/>
        </w:rPr>
        <w:t xml:space="preserve">safe </w:t>
      </w:r>
      <w:r>
        <w:t xml:space="preserve">and </w:t>
      </w:r>
      <w:r>
        <w:rPr>
          <w:spacing w:val="-4"/>
        </w:rPr>
        <w:t xml:space="preserve">trusted </w:t>
      </w:r>
      <w:r>
        <w:rPr>
          <w:spacing w:val="-3"/>
        </w:rPr>
        <w:t xml:space="preserve">place to </w:t>
      </w:r>
      <w:r>
        <w:t xml:space="preserve">do </w:t>
      </w:r>
      <w:r>
        <w:rPr>
          <w:spacing w:val="-3"/>
        </w:rPr>
        <w:t xml:space="preserve">business </w:t>
      </w:r>
      <w:r>
        <w:t>and</w:t>
      </w:r>
      <w:r>
        <w:rPr>
          <w:spacing w:val="-37"/>
        </w:rPr>
        <w:t xml:space="preserve"> </w:t>
      </w:r>
      <w:r>
        <w:rPr>
          <w:spacing w:val="-3"/>
        </w:rPr>
        <w:t>access cyber space</w:t>
      </w:r>
    </w:p>
    <w:p w:rsidR="00A1463E" w:rsidRDefault="00F52429" w:rsidP="004151B8">
      <w:pPr>
        <w:pStyle w:val="ListParagraph"/>
        <w:numPr>
          <w:ilvl w:val="1"/>
          <w:numId w:val="18"/>
        </w:numPr>
        <w:tabs>
          <w:tab w:val="left" w:pos="869"/>
        </w:tabs>
        <w:spacing w:before="53" w:line="230" w:lineRule="auto"/>
        <w:ind w:left="868" w:right="825" w:hanging="170"/>
      </w:pPr>
      <w:r>
        <w:t>building</w:t>
      </w:r>
      <w:r>
        <w:rPr>
          <w:spacing w:val="-6"/>
        </w:rPr>
        <w:t xml:space="preserve"> </w:t>
      </w:r>
      <w:r>
        <w:t>the</w:t>
      </w:r>
      <w:r>
        <w:rPr>
          <w:spacing w:val="-5"/>
        </w:rPr>
        <w:t xml:space="preserve"> </w:t>
      </w:r>
      <w:r>
        <w:t>next</w:t>
      </w:r>
      <w:r>
        <w:rPr>
          <w:spacing w:val="-5"/>
        </w:rPr>
        <w:t xml:space="preserve"> </w:t>
      </w:r>
      <w:r>
        <w:t>generation</w:t>
      </w:r>
      <w:r>
        <w:rPr>
          <w:spacing w:val="-6"/>
        </w:rPr>
        <w:t xml:space="preserve"> </w:t>
      </w:r>
      <w:r>
        <w:t>of</w:t>
      </w:r>
      <w:r>
        <w:rPr>
          <w:spacing w:val="-6"/>
        </w:rPr>
        <w:t xml:space="preserve"> </w:t>
      </w:r>
      <w:r>
        <w:rPr>
          <w:spacing w:val="-3"/>
        </w:rPr>
        <w:t>industry,</w:t>
      </w:r>
      <w:r>
        <w:rPr>
          <w:spacing w:val="-5"/>
        </w:rPr>
        <w:t xml:space="preserve"> </w:t>
      </w:r>
      <w:r>
        <w:t>government</w:t>
      </w:r>
      <w:r>
        <w:rPr>
          <w:spacing w:val="-5"/>
        </w:rPr>
        <w:t xml:space="preserve"> </w:t>
      </w:r>
      <w:r>
        <w:t>and</w:t>
      </w:r>
      <w:r>
        <w:rPr>
          <w:spacing w:val="-6"/>
        </w:rPr>
        <w:t xml:space="preserve"> </w:t>
      </w:r>
      <w:r>
        <w:t>research</w:t>
      </w:r>
      <w:r>
        <w:rPr>
          <w:spacing w:val="-5"/>
        </w:rPr>
        <w:t xml:space="preserve"> </w:t>
      </w:r>
      <w:r>
        <w:t xml:space="preserve">cyber security leaders, and increasing </w:t>
      </w:r>
      <w:r>
        <w:rPr>
          <w:spacing w:val="-3"/>
        </w:rPr>
        <w:t xml:space="preserve">maturity, </w:t>
      </w:r>
      <w:r>
        <w:t xml:space="preserve">capability and collaboration in the </w:t>
      </w:r>
      <w:r>
        <w:rPr>
          <w:spacing w:val="-5"/>
        </w:rPr>
        <w:t>sector.</w:t>
      </w:r>
    </w:p>
    <w:p w:rsidR="00A1463E" w:rsidRDefault="00F52429">
      <w:pPr>
        <w:pStyle w:val="BodyText"/>
        <w:spacing w:before="56" w:line="235" w:lineRule="auto"/>
        <w:ind w:left="668" w:right="640"/>
      </w:pPr>
      <w:r>
        <w:t>The CRC also presents an opportunity to share new approaches and innovations in cyber security with other Australian Government jurisdictions. The Office of the GCIO together with the CRC and public sector agencies have identified several research projects that would have benefits across industry, government and the community.</w:t>
      </w:r>
    </w:p>
    <w:p w:rsidR="00A1463E" w:rsidRDefault="00F52429">
      <w:pPr>
        <w:pStyle w:val="BodyText"/>
        <w:spacing w:before="175" w:line="235" w:lineRule="auto"/>
        <w:ind w:left="668" w:right="640"/>
      </w:pPr>
      <w:r>
        <w:t>These projects will identify common cyber security problems for agencies and develop solutions to strengthen cyber security standards across</w:t>
      </w:r>
    </w:p>
    <w:p w:rsidR="00A1463E" w:rsidRDefault="00F52429">
      <w:pPr>
        <w:pStyle w:val="BodyText"/>
        <w:spacing w:before="2" w:line="235" w:lineRule="auto"/>
        <w:ind w:left="668" w:right="640"/>
      </w:pPr>
      <w:r>
        <w:t>the public sector, addressing nine consecutive reports by the Western Australian Auditor General that have highlighted problems with information systems management.</w:t>
      </w:r>
    </w:p>
    <w:p w:rsidR="00A1463E" w:rsidRDefault="00A1463E">
      <w:pPr>
        <w:spacing w:line="235" w:lineRule="auto"/>
        <w:sectPr w:rsidR="00A1463E">
          <w:type w:val="continuous"/>
          <w:pgSz w:w="16840" w:h="11910" w:orient="landscape"/>
          <w:pgMar w:top="560" w:right="0" w:bottom="0" w:left="0" w:header="720" w:footer="720" w:gutter="0"/>
          <w:cols w:num="2" w:space="720" w:equalWidth="0">
            <w:col w:w="8054" w:space="40"/>
            <w:col w:w="8746"/>
          </w:cols>
        </w:sectPr>
      </w:pPr>
    </w:p>
    <w:p w:rsidR="00A1463E" w:rsidRDefault="00A1463E">
      <w:pPr>
        <w:pStyle w:val="BodyText"/>
        <w:spacing w:before="7"/>
        <w:rPr>
          <w:sz w:val="8"/>
        </w:rPr>
      </w:pPr>
    </w:p>
    <w:p w:rsidR="00A1463E" w:rsidRDefault="00F52429" w:rsidP="00D138C6">
      <w:pPr>
        <w:pStyle w:val="Heading1"/>
      </w:pPr>
      <w:bookmarkStart w:id="14" w:name="digital_transformation:_leadership_throu"/>
      <w:bookmarkStart w:id="15" w:name="_bookmark15"/>
      <w:bookmarkEnd w:id="14"/>
      <w:bookmarkEnd w:id="15"/>
      <w:r>
        <w:rPr>
          <w:w w:val="105"/>
        </w:rPr>
        <w:t>DIGITAL TRANSFORMATION: leadership through collaboration and raising awareness</w:t>
      </w:r>
    </w:p>
    <w:p w:rsidR="00A1463E" w:rsidRDefault="00A1463E">
      <w:pPr>
        <w:pStyle w:val="BodyText"/>
        <w:spacing w:line="60" w:lineRule="exact"/>
        <w:ind w:left="650"/>
        <w:rPr>
          <w:sz w:val="6"/>
        </w:rPr>
      </w:pPr>
    </w:p>
    <w:p w:rsidR="00A1463E" w:rsidRDefault="00F52429" w:rsidP="009352BE">
      <w:pPr>
        <w:pStyle w:val="BodyText"/>
        <w:spacing w:before="229" w:line="235" w:lineRule="auto"/>
        <w:ind w:left="680" w:right="822"/>
      </w:pPr>
      <w:r>
        <w:t>For whole of government reform to succeed, it needs to be centrally led and collaboratively delivered. In this context, the Office of the GCIO has worked closely with agencies to assist them in progressing their digital transformation agendas.</w:t>
      </w:r>
    </w:p>
    <w:p w:rsidR="00A1463E" w:rsidRDefault="00F52429" w:rsidP="009352BE">
      <w:pPr>
        <w:pStyle w:val="BodyText"/>
        <w:spacing w:before="174" w:line="235" w:lineRule="auto"/>
        <w:ind w:left="680" w:right="822"/>
      </w:pPr>
      <w:r>
        <w:t>In 2017-18, key staff from the Office of the GCIO participated on 37 committees sharing their expertise and experience in digital transformation to help drive reform and build momentum for change. A senior staff member was also seconded to the Office of the Director of Public Prosecutions as a Consultant CIO to assist with the planning of their ICT reform agenda.</w:t>
      </w:r>
    </w:p>
    <w:p w:rsidR="00A1463E" w:rsidRDefault="00F52429" w:rsidP="009352BE">
      <w:pPr>
        <w:pStyle w:val="BodyText"/>
        <w:spacing w:before="175" w:line="235" w:lineRule="auto"/>
        <w:ind w:left="680" w:right="822"/>
      </w:pPr>
      <w:r>
        <w:t>The Office of the GCIO worked on the State Telecommunications Infrastructure Audit with the Department of Primary Industries and Regional Development (DPIRD). Two staff members from DPIRD were located in the Office of the GCIO to support this work.</w:t>
      </w:r>
    </w:p>
    <w:p w:rsidR="00A1463E" w:rsidRDefault="00F52429" w:rsidP="009352BE">
      <w:pPr>
        <w:pStyle w:val="BodyText"/>
        <w:spacing w:before="174" w:line="235" w:lineRule="auto"/>
        <w:ind w:left="680" w:right="822"/>
      </w:pPr>
      <w:r>
        <w:t>The Office of the GCIO uses an online Yammer portal to seek input, provide information, and exchange ideas with and between key staff in public sector agencies. There are dedicated stakeholder groups for particular initiatives being progressed by the Office.</w:t>
      </w:r>
    </w:p>
    <w:p w:rsidR="00A1463E" w:rsidRDefault="00F52429" w:rsidP="009352BE">
      <w:pPr>
        <w:pStyle w:val="BodyText"/>
        <w:spacing w:before="174" w:line="235" w:lineRule="auto"/>
        <w:ind w:left="680" w:right="822"/>
      </w:pPr>
      <w:r>
        <w:t xml:space="preserve">Staff from the Office of the GCIO are regularly asked to present at industry and government forums to share their knowledge and collaborate with their peers. In 2017-18, staff spoke at 14 events, including the Mandarin Seminar Breakfast Information Session in March and </w:t>
      </w:r>
      <w:proofErr w:type="spellStart"/>
      <w:r>
        <w:t>OpenGov</w:t>
      </w:r>
      <w:proofErr w:type="spellEnd"/>
      <w:r>
        <w:t xml:space="preserve"> Asia.</w:t>
      </w:r>
    </w:p>
    <w:p w:rsidR="00A1463E" w:rsidRDefault="00F52429" w:rsidP="009352BE">
      <w:pPr>
        <w:pStyle w:val="BodyText"/>
        <w:spacing w:before="174" w:line="235" w:lineRule="auto"/>
        <w:ind w:left="680" w:right="822"/>
      </w:pPr>
      <w:r>
        <w:t xml:space="preserve">The Office of the GCIO liaises regularly with industry and professional bodies to provide clarity around the transformation agenda and respond to any issues raised. The Office of the GCIO also appeared before the Public Accounts Committee to inform the Committee of the State’s progress against recommendations made by the Committee in its 2016 Report </w:t>
      </w:r>
      <w:r>
        <w:rPr>
          <w:i/>
        </w:rPr>
        <w:t>Doing ICT Better</w:t>
      </w:r>
      <w:r>
        <w:t>.</w:t>
      </w:r>
    </w:p>
    <w:p w:rsidR="00A1463E" w:rsidRDefault="00A1463E">
      <w:pPr>
        <w:spacing w:line="235" w:lineRule="auto"/>
        <w:sectPr w:rsidR="00A1463E">
          <w:pgSz w:w="16840" w:h="11910" w:orient="landscape"/>
          <w:pgMar w:top="540" w:right="0" w:bottom="360" w:left="0" w:header="229" w:footer="145" w:gutter="0"/>
          <w:cols w:space="720"/>
        </w:sectPr>
      </w:pPr>
    </w:p>
    <w:p w:rsidR="00A1463E" w:rsidRDefault="00A1463E">
      <w:pPr>
        <w:pStyle w:val="BodyText"/>
        <w:spacing w:before="7"/>
        <w:rPr>
          <w:sz w:val="8"/>
        </w:rPr>
      </w:pPr>
    </w:p>
    <w:p w:rsidR="00A1463E" w:rsidRDefault="00F52429" w:rsidP="00D138C6">
      <w:pPr>
        <w:pStyle w:val="Heading1"/>
      </w:pPr>
      <w:r>
        <w:rPr>
          <w:w w:val="105"/>
        </w:rPr>
        <w:t>DIGITAL TRANSFORMATION: leadership through collaboration and raising awareness</w:t>
      </w:r>
    </w:p>
    <w:p w:rsidR="00A1463E" w:rsidRDefault="00A1463E">
      <w:pPr>
        <w:pStyle w:val="BodyText"/>
        <w:spacing w:line="60" w:lineRule="exact"/>
        <w:ind w:left="650"/>
        <w:rPr>
          <w:sz w:val="6"/>
        </w:rPr>
      </w:pPr>
    </w:p>
    <w:p w:rsidR="00A1463E" w:rsidRDefault="00F52429" w:rsidP="00D138C6">
      <w:pPr>
        <w:pStyle w:val="Heading2"/>
      </w:pPr>
      <w:r>
        <w:t>Sponsorship</w:t>
      </w:r>
    </w:p>
    <w:p w:rsidR="00A1463E" w:rsidRDefault="00F52429" w:rsidP="0038227C">
      <w:pPr>
        <w:pStyle w:val="Heading3"/>
        <w:ind w:left="709"/>
      </w:pPr>
      <w:r>
        <w:t>WAITTA INCITE Awards</w:t>
      </w:r>
    </w:p>
    <w:p w:rsidR="00A1463E" w:rsidRDefault="00F52429" w:rsidP="0038227C">
      <w:pPr>
        <w:pStyle w:val="BodyText"/>
        <w:tabs>
          <w:tab w:val="left" w:pos="15026"/>
          <w:tab w:val="left" w:pos="15593"/>
        </w:tabs>
        <w:spacing w:before="35" w:after="240" w:line="235" w:lineRule="auto"/>
        <w:ind w:left="680" w:right="1247"/>
        <w:jc w:val="both"/>
      </w:pPr>
      <w:r>
        <w:t>The</w:t>
      </w:r>
      <w:r>
        <w:rPr>
          <w:spacing w:val="-5"/>
        </w:rPr>
        <w:t xml:space="preserve"> </w:t>
      </w:r>
      <w:r>
        <w:t>Office</w:t>
      </w:r>
      <w:r>
        <w:rPr>
          <w:spacing w:val="-5"/>
        </w:rPr>
        <w:t xml:space="preserve"> </w:t>
      </w:r>
      <w:r>
        <w:t>is</w:t>
      </w:r>
      <w:r>
        <w:rPr>
          <w:spacing w:val="-5"/>
        </w:rPr>
        <w:t xml:space="preserve"> </w:t>
      </w:r>
      <w:r>
        <w:t>a</w:t>
      </w:r>
      <w:r>
        <w:rPr>
          <w:spacing w:val="-5"/>
        </w:rPr>
        <w:t xml:space="preserve"> </w:t>
      </w:r>
      <w:r>
        <w:t>major</w:t>
      </w:r>
      <w:r>
        <w:rPr>
          <w:spacing w:val="-4"/>
        </w:rPr>
        <w:t xml:space="preserve"> </w:t>
      </w:r>
      <w:r>
        <w:t>partner</w:t>
      </w:r>
      <w:r>
        <w:rPr>
          <w:spacing w:val="-5"/>
        </w:rPr>
        <w:t xml:space="preserve"> </w:t>
      </w:r>
      <w:r>
        <w:t>and</w:t>
      </w:r>
      <w:r>
        <w:rPr>
          <w:spacing w:val="-5"/>
        </w:rPr>
        <w:t xml:space="preserve"> </w:t>
      </w:r>
      <w:r>
        <w:t>only</w:t>
      </w:r>
      <w:r>
        <w:rPr>
          <w:spacing w:val="-5"/>
        </w:rPr>
        <w:t xml:space="preserve"> </w:t>
      </w:r>
      <w:r>
        <w:t>Government</w:t>
      </w:r>
      <w:r>
        <w:rPr>
          <w:spacing w:val="-4"/>
        </w:rPr>
        <w:t xml:space="preserve"> </w:t>
      </w:r>
      <w:r>
        <w:t>sponsor</w:t>
      </w:r>
      <w:r>
        <w:rPr>
          <w:spacing w:val="-5"/>
        </w:rPr>
        <w:t xml:space="preserve"> </w:t>
      </w:r>
      <w:r>
        <w:t>for</w:t>
      </w:r>
      <w:r>
        <w:rPr>
          <w:spacing w:val="-5"/>
        </w:rPr>
        <w:t xml:space="preserve"> </w:t>
      </w:r>
      <w:r>
        <w:t>the</w:t>
      </w:r>
      <w:r>
        <w:rPr>
          <w:spacing w:val="-4"/>
        </w:rPr>
        <w:t xml:space="preserve"> </w:t>
      </w:r>
      <w:r>
        <w:t xml:space="preserve">INCITE awards, now in its 27th </w:t>
      </w:r>
      <w:r>
        <w:rPr>
          <w:spacing w:val="-5"/>
        </w:rPr>
        <w:t xml:space="preserve">year, </w:t>
      </w:r>
      <w:r>
        <w:t xml:space="preserve">which showcase excellence in ICT and digital innovation in </w:t>
      </w:r>
      <w:r>
        <w:rPr>
          <w:spacing w:val="-6"/>
        </w:rPr>
        <w:t xml:space="preserve">WA </w:t>
      </w:r>
      <w:r>
        <w:t>business, government and education. The</w:t>
      </w:r>
      <w:r>
        <w:rPr>
          <w:spacing w:val="-22"/>
        </w:rPr>
        <w:t xml:space="preserve"> </w:t>
      </w:r>
      <w:r>
        <w:t>Awards</w:t>
      </w:r>
      <w:r w:rsidR="0038227C">
        <w:t xml:space="preserve"> </w:t>
      </w:r>
      <w:r>
        <w:t xml:space="preserve">were held in June 2018 and all winners and National </w:t>
      </w:r>
      <w:proofErr w:type="spellStart"/>
      <w:r>
        <w:t>iAwards</w:t>
      </w:r>
      <w:proofErr w:type="spellEnd"/>
      <w:r>
        <w:t xml:space="preserve"> Finalists will represent Western Australia at the Australian Information Industry</w:t>
      </w:r>
      <w:r w:rsidR="0038227C">
        <w:t xml:space="preserve"> </w:t>
      </w:r>
      <w:r>
        <w:t xml:space="preserve">Association National </w:t>
      </w:r>
      <w:proofErr w:type="spellStart"/>
      <w:r>
        <w:t>iAwards</w:t>
      </w:r>
      <w:proofErr w:type="spellEnd"/>
      <w:r>
        <w:t>, bringing Western Australian ICT innovations and businesses to the national stage.</w:t>
      </w:r>
    </w:p>
    <w:p w:rsidR="00A1463E" w:rsidRDefault="00F52429" w:rsidP="0038227C">
      <w:pPr>
        <w:pStyle w:val="Heading3"/>
        <w:ind w:left="709"/>
      </w:pPr>
      <w:r>
        <w:t>Ministry of Data</w:t>
      </w:r>
    </w:p>
    <w:p w:rsidR="00A1463E" w:rsidRDefault="00F52429" w:rsidP="0038227C">
      <w:pPr>
        <w:pStyle w:val="BodyText"/>
        <w:tabs>
          <w:tab w:val="left" w:pos="6946"/>
          <w:tab w:val="left" w:pos="15026"/>
          <w:tab w:val="left" w:pos="15593"/>
        </w:tabs>
        <w:spacing w:before="30" w:line="290" w:lineRule="exact"/>
        <w:ind w:left="680" w:right="964"/>
      </w:pPr>
      <w:r>
        <w:t>The Office of the GCIO sponsored the inaugural Ministry of Data (</w:t>
      </w:r>
      <w:proofErr w:type="spellStart"/>
      <w:r>
        <w:t>MoD</w:t>
      </w:r>
      <w:proofErr w:type="spellEnd"/>
      <w:r>
        <w:t>)</w:t>
      </w:r>
      <w:r w:rsidR="0038227C">
        <w:t xml:space="preserve"> </w:t>
      </w:r>
      <w:r>
        <w:t xml:space="preserve">Hackathon, held on 25 August 2017. The </w:t>
      </w:r>
      <w:proofErr w:type="spellStart"/>
      <w:r>
        <w:t>MoD</w:t>
      </w:r>
      <w:proofErr w:type="spellEnd"/>
      <w:r>
        <w:t xml:space="preserve"> focuses on solving</w:t>
      </w:r>
      <w:r w:rsidR="0038227C">
        <w:t xml:space="preserve"> </w:t>
      </w:r>
      <w:r>
        <w:t>pre-defined problems provided by Government agencies, and provides data, mentoring, support and funding options to take solutions all the way to final products.</w:t>
      </w:r>
    </w:p>
    <w:p w:rsidR="00A1463E" w:rsidRPr="0038227C" w:rsidRDefault="00F52429" w:rsidP="0038227C">
      <w:pPr>
        <w:pStyle w:val="BodyText"/>
        <w:tabs>
          <w:tab w:val="left" w:pos="6946"/>
          <w:tab w:val="left" w:pos="7797"/>
          <w:tab w:val="left" w:pos="15026"/>
        </w:tabs>
        <w:spacing w:before="173" w:line="235" w:lineRule="auto"/>
        <w:ind w:left="680" w:right="964"/>
      </w:pPr>
      <w:r>
        <w:t>As lead agency for whole of government data</w:t>
      </w:r>
      <w:r w:rsidR="0038227C">
        <w:t xml:space="preserve"> policy, the Office of the GCIO </w:t>
      </w:r>
      <w:r>
        <w:t xml:space="preserve">helps to facilitate discussions between </w:t>
      </w:r>
      <w:proofErr w:type="spellStart"/>
      <w:r>
        <w:t>MoD</w:t>
      </w:r>
      <w:proofErr w:type="spellEnd"/>
      <w:r>
        <w:t>, government agencies and strategic partners, to promote the use of government data to deliver a range of positive outcomes.</w:t>
      </w:r>
    </w:p>
    <w:p w:rsidR="00A1463E" w:rsidRPr="00D67DAF" w:rsidRDefault="00D67DAF" w:rsidP="0038227C">
      <w:pPr>
        <w:pStyle w:val="Heading3"/>
        <w:ind w:left="709"/>
      </w:pPr>
      <w:r>
        <w:t xml:space="preserve">Case Study: The Ministry of Data </w:t>
      </w:r>
    </w:p>
    <w:p w:rsidR="00D67DAF" w:rsidRDefault="00D67DAF" w:rsidP="00D965C0">
      <w:pPr>
        <w:pStyle w:val="Default"/>
        <w:tabs>
          <w:tab w:val="left" w:pos="16018"/>
        </w:tabs>
        <w:ind w:left="709" w:right="822"/>
        <w:rPr>
          <w:sz w:val="23"/>
          <w:szCs w:val="23"/>
        </w:rPr>
      </w:pPr>
      <w:r>
        <w:rPr>
          <w:sz w:val="23"/>
          <w:szCs w:val="23"/>
        </w:rPr>
        <w:t xml:space="preserve">The Ministry of Data (MoD) is a volunteer organisation which facilitates local entrepreneurs to solve Government problems using open data, and build new businesses with the solutions they find. The Office of the GCIO collaborated on the development of the concept, and was a principal sponsor of the 2017 hack weekend. One of the problems challenged teams to help Main Roads automatically identify roadside hazards based on thousands of hours of road video footage. The solutions generated have proven the catalyst for two new Western Australian start-ups: </w:t>
      </w:r>
      <w:proofErr w:type="spellStart"/>
      <w:r>
        <w:rPr>
          <w:sz w:val="23"/>
          <w:szCs w:val="23"/>
        </w:rPr>
        <w:t>SmartVision</w:t>
      </w:r>
      <w:proofErr w:type="spellEnd"/>
      <w:r>
        <w:rPr>
          <w:sz w:val="23"/>
          <w:szCs w:val="23"/>
        </w:rPr>
        <w:t xml:space="preserve"> AI; and ISEEROO. The companies continue to partner with Main Roads, and are developing computer vision technologies with potentially a global market. </w:t>
      </w:r>
    </w:p>
    <w:p w:rsidR="00D67DAF" w:rsidRDefault="00D67DAF">
      <w:pPr>
        <w:spacing w:line="288" w:lineRule="exact"/>
        <w:rPr>
          <w:sz w:val="24"/>
        </w:rPr>
        <w:sectPr w:rsidR="00D67DAF">
          <w:pgSz w:w="16840" w:h="11910" w:orient="landscape"/>
          <w:pgMar w:top="540" w:right="0" w:bottom="360" w:left="0" w:header="229" w:footer="145" w:gutter="0"/>
          <w:cols w:space="720"/>
        </w:sectPr>
      </w:pPr>
    </w:p>
    <w:p w:rsidR="00A1463E" w:rsidRDefault="00A1463E">
      <w:pPr>
        <w:pStyle w:val="BodyText"/>
        <w:spacing w:before="5"/>
        <w:rPr>
          <w:sz w:val="8"/>
        </w:rPr>
      </w:pPr>
    </w:p>
    <w:p w:rsidR="00A1463E" w:rsidRDefault="00F52429" w:rsidP="00D138C6">
      <w:pPr>
        <w:pStyle w:val="Heading1"/>
      </w:pPr>
      <w:bookmarkStart w:id="16" w:name="digital_transformation_-_looking_forward"/>
      <w:bookmarkStart w:id="17" w:name="_bookmark16"/>
      <w:bookmarkEnd w:id="16"/>
      <w:bookmarkEnd w:id="17"/>
      <w:r>
        <w:rPr>
          <w:w w:val="110"/>
        </w:rPr>
        <w:t>DIGITAL TRANSFORMATION - looking forward: Significant issues and future trends</w:t>
      </w:r>
    </w:p>
    <w:p w:rsidR="00A1463E" w:rsidRDefault="00A1463E">
      <w:pPr>
        <w:pStyle w:val="BodyText"/>
        <w:spacing w:line="60" w:lineRule="exact"/>
        <w:ind w:left="650"/>
        <w:rPr>
          <w:sz w:val="6"/>
        </w:rPr>
      </w:pPr>
    </w:p>
    <w:p w:rsidR="00A1463E" w:rsidRDefault="00A1463E">
      <w:pPr>
        <w:pStyle w:val="BodyText"/>
        <w:spacing w:before="4"/>
        <w:rPr>
          <w:sz w:val="14"/>
        </w:rPr>
      </w:pPr>
    </w:p>
    <w:p w:rsidR="00A1463E" w:rsidRDefault="00A1463E">
      <w:pPr>
        <w:rPr>
          <w:sz w:val="14"/>
        </w:rPr>
        <w:sectPr w:rsidR="00A1463E">
          <w:pgSz w:w="16840" w:h="11910" w:orient="landscape"/>
          <w:pgMar w:top="540" w:right="0" w:bottom="360" w:left="0" w:header="229" w:footer="145" w:gutter="0"/>
          <w:cols w:space="720"/>
        </w:sectPr>
      </w:pPr>
    </w:p>
    <w:p w:rsidR="00A1463E" w:rsidRDefault="00F52429" w:rsidP="00D138C6">
      <w:pPr>
        <w:pStyle w:val="Heading2"/>
      </w:pPr>
      <w:r>
        <w:t>Significant issues and future trends</w:t>
      </w:r>
    </w:p>
    <w:p w:rsidR="00A1463E" w:rsidRDefault="00F52429" w:rsidP="00D138C6">
      <w:pPr>
        <w:pStyle w:val="Heading3"/>
        <w:ind w:left="567"/>
      </w:pPr>
      <w:r>
        <w:t>Move to the Department of the Premier and Cabinet</w:t>
      </w:r>
    </w:p>
    <w:p w:rsidR="00A1463E" w:rsidRDefault="00F52429">
      <w:pPr>
        <w:pStyle w:val="BodyText"/>
        <w:spacing w:before="35" w:line="235" w:lineRule="auto"/>
        <w:ind w:left="680" w:right="19"/>
      </w:pPr>
      <w:r>
        <w:t>On 10 May 2018, the WA Government announced as part of the 2018/19 State Budget that the Office of the GCIO would be transferred to DPC from 1 July 2018. On 19 June 2018, the Minister for Innovation and ICT announced the Office of the GCIO would be re-named the Office of Digital Government and would become a discrete business unit within DPC. Much of the administrative activities of the Office in the later part of the financial year were focused on planning and preparation for the transition.</w:t>
      </w:r>
    </w:p>
    <w:p w:rsidR="00A1463E" w:rsidRDefault="00F52429">
      <w:pPr>
        <w:pStyle w:val="BodyText"/>
        <w:spacing w:before="176" w:line="235" w:lineRule="auto"/>
        <w:ind w:left="680"/>
      </w:pPr>
      <w:r>
        <w:t>By</w:t>
      </w:r>
      <w:r>
        <w:rPr>
          <w:spacing w:val="-5"/>
        </w:rPr>
        <w:t xml:space="preserve"> </w:t>
      </w:r>
      <w:r>
        <w:t>moving</w:t>
      </w:r>
      <w:r>
        <w:rPr>
          <w:spacing w:val="-5"/>
        </w:rPr>
        <w:t xml:space="preserve"> </w:t>
      </w:r>
      <w:r>
        <w:t>to</w:t>
      </w:r>
      <w:r>
        <w:rPr>
          <w:spacing w:val="-6"/>
        </w:rPr>
        <w:t xml:space="preserve"> </w:t>
      </w:r>
      <w:r>
        <w:t>DPC,</w:t>
      </w:r>
      <w:r>
        <w:rPr>
          <w:spacing w:val="-5"/>
        </w:rPr>
        <w:t xml:space="preserve"> </w:t>
      </w:r>
      <w:r>
        <w:t>the</w:t>
      </w:r>
      <w:r>
        <w:rPr>
          <w:spacing w:val="-5"/>
        </w:rPr>
        <w:t xml:space="preserve"> </w:t>
      </w:r>
      <w:r>
        <w:t>Office</w:t>
      </w:r>
      <w:r>
        <w:rPr>
          <w:spacing w:val="-6"/>
        </w:rPr>
        <w:t xml:space="preserve"> </w:t>
      </w:r>
      <w:r>
        <w:t>will</w:t>
      </w:r>
      <w:r>
        <w:rPr>
          <w:spacing w:val="-5"/>
        </w:rPr>
        <w:t xml:space="preserve"> </w:t>
      </w:r>
      <w:r>
        <w:t>be</w:t>
      </w:r>
      <w:r>
        <w:rPr>
          <w:spacing w:val="-6"/>
        </w:rPr>
        <w:t xml:space="preserve"> </w:t>
      </w:r>
      <w:r>
        <w:t>able</w:t>
      </w:r>
      <w:r>
        <w:rPr>
          <w:spacing w:val="-6"/>
        </w:rPr>
        <w:t xml:space="preserve"> </w:t>
      </w:r>
      <w:r>
        <w:t>to</w:t>
      </w:r>
      <w:r>
        <w:rPr>
          <w:spacing w:val="-6"/>
        </w:rPr>
        <w:t xml:space="preserve"> </w:t>
      </w:r>
      <w:r>
        <w:t>leverage</w:t>
      </w:r>
      <w:r>
        <w:rPr>
          <w:spacing w:val="-5"/>
        </w:rPr>
        <w:t xml:space="preserve"> </w:t>
      </w:r>
      <w:r>
        <w:t>this</w:t>
      </w:r>
      <w:r>
        <w:rPr>
          <w:spacing w:val="-5"/>
        </w:rPr>
        <w:t xml:space="preserve"> </w:t>
      </w:r>
      <w:r>
        <w:t>central</w:t>
      </w:r>
      <w:r>
        <w:rPr>
          <w:spacing w:val="-6"/>
        </w:rPr>
        <w:t xml:space="preserve"> </w:t>
      </w:r>
      <w:r>
        <w:t>agency</w:t>
      </w:r>
      <w:r>
        <w:rPr>
          <w:spacing w:val="-5"/>
        </w:rPr>
        <w:t xml:space="preserve"> </w:t>
      </w:r>
      <w:r>
        <w:t xml:space="preserve">role to drive whole of Government digital </w:t>
      </w:r>
      <w:r>
        <w:rPr>
          <w:spacing w:val="-3"/>
        </w:rPr>
        <w:t>reform</w:t>
      </w:r>
      <w:r>
        <w:rPr>
          <w:spacing w:val="-9"/>
        </w:rPr>
        <w:t xml:space="preserve"> </w:t>
      </w:r>
      <w:r>
        <w:t>including:</w:t>
      </w:r>
    </w:p>
    <w:p w:rsidR="00A1463E" w:rsidRDefault="00F52429" w:rsidP="004151B8">
      <w:pPr>
        <w:pStyle w:val="ListParagraph"/>
        <w:numPr>
          <w:ilvl w:val="1"/>
          <w:numId w:val="18"/>
        </w:numPr>
        <w:tabs>
          <w:tab w:val="left" w:pos="881"/>
        </w:tabs>
        <w:spacing w:before="168" w:line="230" w:lineRule="auto"/>
        <w:ind w:left="880" w:right="432" w:hanging="170"/>
      </w:pPr>
      <w:r>
        <w:t>acceleration</w:t>
      </w:r>
      <w:r>
        <w:rPr>
          <w:spacing w:val="-6"/>
        </w:rPr>
        <w:t xml:space="preserve"> </w:t>
      </w:r>
      <w:r>
        <w:t>of</w:t>
      </w:r>
      <w:r>
        <w:rPr>
          <w:spacing w:val="-6"/>
        </w:rPr>
        <w:t xml:space="preserve"> </w:t>
      </w:r>
      <w:r>
        <w:t>the</w:t>
      </w:r>
      <w:r>
        <w:rPr>
          <w:spacing w:val="-5"/>
        </w:rPr>
        <w:t xml:space="preserve"> </w:t>
      </w:r>
      <w:r>
        <w:t>Government’s</w:t>
      </w:r>
      <w:r>
        <w:rPr>
          <w:spacing w:val="-6"/>
        </w:rPr>
        <w:t xml:space="preserve"> </w:t>
      </w:r>
      <w:r>
        <w:t>transition</w:t>
      </w:r>
      <w:r>
        <w:rPr>
          <w:spacing w:val="-6"/>
        </w:rPr>
        <w:t xml:space="preserve"> </w:t>
      </w:r>
      <w:r>
        <w:t>to</w:t>
      </w:r>
      <w:r>
        <w:rPr>
          <w:spacing w:val="-6"/>
        </w:rPr>
        <w:t xml:space="preserve"> </w:t>
      </w:r>
      <w:r>
        <w:t>digital</w:t>
      </w:r>
      <w:r>
        <w:rPr>
          <w:spacing w:val="-6"/>
        </w:rPr>
        <w:t xml:space="preserve"> </w:t>
      </w:r>
      <w:r>
        <w:t>service</w:t>
      </w:r>
      <w:r>
        <w:rPr>
          <w:spacing w:val="-5"/>
        </w:rPr>
        <w:t xml:space="preserve"> </w:t>
      </w:r>
      <w:r>
        <w:rPr>
          <w:spacing w:val="-3"/>
        </w:rPr>
        <w:t xml:space="preserve">delivery, </w:t>
      </w:r>
      <w:r>
        <w:t>reflecting strong community demand for online</w:t>
      </w:r>
      <w:r>
        <w:rPr>
          <w:spacing w:val="-16"/>
        </w:rPr>
        <w:t xml:space="preserve"> </w:t>
      </w:r>
      <w:r>
        <w:t>services;</w:t>
      </w:r>
    </w:p>
    <w:p w:rsidR="00A1463E" w:rsidRDefault="00F52429" w:rsidP="004151B8">
      <w:pPr>
        <w:pStyle w:val="ListParagraph"/>
        <w:numPr>
          <w:ilvl w:val="1"/>
          <w:numId w:val="18"/>
        </w:numPr>
        <w:tabs>
          <w:tab w:val="left" w:pos="881"/>
        </w:tabs>
        <w:spacing w:before="111" w:line="230" w:lineRule="auto"/>
        <w:ind w:left="880" w:right="43" w:hanging="170"/>
      </w:pPr>
      <w:r>
        <w:t>implementation</w:t>
      </w:r>
      <w:r>
        <w:rPr>
          <w:spacing w:val="-8"/>
        </w:rPr>
        <w:t xml:space="preserve"> </w:t>
      </w:r>
      <w:r>
        <w:t>of</w:t>
      </w:r>
      <w:r>
        <w:rPr>
          <w:spacing w:val="-8"/>
        </w:rPr>
        <w:t xml:space="preserve"> </w:t>
      </w:r>
      <w:r>
        <w:t>higher</w:t>
      </w:r>
      <w:r>
        <w:rPr>
          <w:spacing w:val="-8"/>
        </w:rPr>
        <w:t xml:space="preserve"> </w:t>
      </w:r>
      <w:r>
        <w:t>cyber</w:t>
      </w:r>
      <w:r>
        <w:rPr>
          <w:spacing w:val="-7"/>
        </w:rPr>
        <w:t xml:space="preserve"> </w:t>
      </w:r>
      <w:r>
        <w:t>security</w:t>
      </w:r>
      <w:r>
        <w:rPr>
          <w:spacing w:val="-8"/>
        </w:rPr>
        <w:t xml:space="preserve"> </w:t>
      </w:r>
      <w:r>
        <w:t>standards</w:t>
      </w:r>
      <w:r>
        <w:rPr>
          <w:spacing w:val="-8"/>
        </w:rPr>
        <w:t xml:space="preserve"> </w:t>
      </w:r>
      <w:r>
        <w:t>across</w:t>
      </w:r>
      <w:r>
        <w:rPr>
          <w:spacing w:val="-8"/>
        </w:rPr>
        <w:t xml:space="preserve"> </w:t>
      </w:r>
      <w:r>
        <w:t>Government,</w:t>
      </w:r>
      <w:r>
        <w:rPr>
          <w:spacing w:val="-7"/>
        </w:rPr>
        <w:t xml:space="preserve"> </w:t>
      </w:r>
      <w:r>
        <w:t>in response to a series of Auditor General</w:t>
      </w:r>
      <w:r>
        <w:rPr>
          <w:spacing w:val="-10"/>
        </w:rPr>
        <w:t xml:space="preserve"> </w:t>
      </w:r>
      <w:r>
        <w:t>reports;</w:t>
      </w:r>
    </w:p>
    <w:p w:rsidR="00A1463E" w:rsidRDefault="00F52429" w:rsidP="004151B8">
      <w:pPr>
        <w:pStyle w:val="ListParagraph"/>
        <w:numPr>
          <w:ilvl w:val="1"/>
          <w:numId w:val="18"/>
        </w:numPr>
        <w:tabs>
          <w:tab w:val="left" w:pos="881"/>
        </w:tabs>
        <w:spacing w:before="102"/>
        <w:ind w:left="880" w:hanging="170"/>
      </w:pPr>
      <w:r>
        <w:t>developing policy and strategy to support a culture of data</w:t>
      </w:r>
      <w:r>
        <w:rPr>
          <w:spacing w:val="-30"/>
        </w:rPr>
        <w:t xml:space="preserve"> </w:t>
      </w:r>
      <w:r>
        <w:t>sharing;</w:t>
      </w:r>
    </w:p>
    <w:p w:rsidR="00A1463E" w:rsidRDefault="00F52429" w:rsidP="004151B8">
      <w:pPr>
        <w:pStyle w:val="ListParagraph"/>
        <w:numPr>
          <w:ilvl w:val="1"/>
          <w:numId w:val="18"/>
        </w:numPr>
        <w:tabs>
          <w:tab w:val="left" w:pos="881"/>
        </w:tabs>
        <w:spacing w:before="110" w:line="230" w:lineRule="auto"/>
        <w:ind w:left="880" w:right="222" w:hanging="170"/>
      </w:pPr>
      <w:r>
        <w:t xml:space="preserve">building data analytics capacity within the </w:t>
      </w:r>
      <w:r>
        <w:rPr>
          <w:spacing w:val="-6"/>
        </w:rPr>
        <w:t xml:space="preserve">WA </w:t>
      </w:r>
      <w:r>
        <w:t>public sector to</w:t>
      </w:r>
      <w:r>
        <w:rPr>
          <w:spacing w:val="-39"/>
        </w:rPr>
        <w:t xml:space="preserve"> </w:t>
      </w:r>
      <w:r>
        <w:t>underpin good policy development and better targeted service delivery;</w:t>
      </w:r>
      <w:r>
        <w:rPr>
          <w:spacing w:val="-27"/>
        </w:rPr>
        <w:t xml:space="preserve"> </w:t>
      </w:r>
      <w:r>
        <w:t>and</w:t>
      </w:r>
    </w:p>
    <w:p w:rsidR="00A1463E" w:rsidRDefault="00F52429" w:rsidP="004151B8">
      <w:pPr>
        <w:pStyle w:val="ListParagraph"/>
        <w:numPr>
          <w:ilvl w:val="1"/>
          <w:numId w:val="18"/>
        </w:numPr>
        <w:tabs>
          <w:tab w:val="left" w:pos="881"/>
        </w:tabs>
        <w:spacing w:before="111" w:line="230" w:lineRule="auto"/>
        <w:ind w:left="880" w:right="223" w:hanging="170"/>
      </w:pPr>
      <w:r>
        <w:t>supporting</w:t>
      </w:r>
      <w:r>
        <w:rPr>
          <w:spacing w:val="-11"/>
        </w:rPr>
        <w:t xml:space="preserve"> </w:t>
      </w:r>
      <w:r>
        <w:t>the</w:t>
      </w:r>
      <w:r>
        <w:rPr>
          <w:spacing w:val="-11"/>
        </w:rPr>
        <w:t xml:space="preserve"> </w:t>
      </w:r>
      <w:r>
        <w:t>implementation</w:t>
      </w:r>
      <w:r>
        <w:rPr>
          <w:spacing w:val="-11"/>
        </w:rPr>
        <w:t xml:space="preserve"> </w:t>
      </w:r>
      <w:r>
        <w:t>of</w:t>
      </w:r>
      <w:r>
        <w:rPr>
          <w:spacing w:val="-11"/>
        </w:rPr>
        <w:t xml:space="preserve"> </w:t>
      </w:r>
      <w:r>
        <w:t>information</w:t>
      </w:r>
      <w:r>
        <w:rPr>
          <w:spacing w:val="-11"/>
        </w:rPr>
        <w:t xml:space="preserve"> </w:t>
      </w:r>
      <w:r>
        <w:t>technology</w:t>
      </w:r>
      <w:r>
        <w:rPr>
          <w:spacing w:val="-11"/>
        </w:rPr>
        <w:t xml:space="preserve"> </w:t>
      </w:r>
      <w:r>
        <w:t xml:space="preserve">procurement </w:t>
      </w:r>
      <w:r>
        <w:rPr>
          <w:spacing w:val="-3"/>
        </w:rPr>
        <w:t xml:space="preserve">reforms </w:t>
      </w:r>
      <w:r>
        <w:t xml:space="preserve">across the </w:t>
      </w:r>
      <w:r>
        <w:rPr>
          <w:spacing w:val="-5"/>
        </w:rPr>
        <w:t>sector.</w:t>
      </w:r>
    </w:p>
    <w:p w:rsidR="00A1463E" w:rsidRDefault="00F52429">
      <w:pPr>
        <w:spacing w:before="171" w:line="235" w:lineRule="auto"/>
        <w:ind w:left="680" w:right="169"/>
        <w:rPr>
          <w:i/>
          <w:sz w:val="24"/>
        </w:rPr>
      </w:pPr>
      <w:r>
        <w:rPr>
          <w:sz w:val="24"/>
        </w:rPr>
        <w:t xml:space="preserve">This move will enable a shift from a technology focus to a service delivery focus in line with the recommendations of the Service Priority Review report </w:t>
      </w:r>
      <w:r>
        <w:rPr>
          <w:i/>
          <w:sz w:val="24"/>
        </w:rPr>
        <w:t>“Working Together: One Public Sector Delivering for WA”.</w:t>
      </w:r>
    </w:p>
    <w:p w:rsidR="00A1463E" w:rsidRDefault="00F52429">
      <w:pPr>
        <w:pStyle w:val="BodyText"/>
        <w:spacing w:before="116" w:line="235" w:lineRule="auto"/>
        <w:ind w:left="680" w:right="169"/>
      </w:pPr>
      <w:r>
        <w:t>It will also allow for stronger governance and reporting as recommended by the Commission of Inquiry into Government Programs and Projects.</w:t>
      </w:r>
    </w:p>
    <w:p w:rsidR="00A1463E" w:rsidRDefault="00F52429">
      <w:pPr>
        <w:pStyle w:val="BodyText"/>
        <w:spacing w:before="1" w:line="235" w:lineRule="auto"/>
        <w:ind w:left="680"/>
      </w:pPr>
      <w:r>
        <w:t xml:space="preserve">The Office of the GCIO will be appointing an independent chair of the </w:t>
      </w:r>
      <w:proofErr w:type="spellStart"/>
      <w:r>
        <w:t>DsG</w:t>
      </w:r>
      <w:proofErr w:type="spellEnd"/>
      <w:r>
        <w:t xml:space="preserve"> ICT Council and will establish the </w:t>
      </w:r>
      <w:proofErr w:type="spellStart"/>
      <w:r>
        <w:t>GovNext</w:t>
      </w:r>
      <w:proofErr w:type="spellEnd"/>
      <w:r>
        <w:t>-ICT Program Board with an independent chair.</w:t>
      </w:r>
    </w:p>
    <w:p w:rsidR="00A1463E" w:rsidRDefault="00F52429" w:rsidP="00D138C6">
      <w:pPr>
        <w:pStyle w:val="Heading3"/>
        <w:ind w:left="567"/>
      </w:pPr>
      <w:r>
        <w:br w:type="column"/>
      </w:r>
      <w:r>
        <w:t>Data Analytics</w:t>
      </w:r>
    </w:p>
    <w:p w:rsidR="00A1463E" w:rsidRDefault="00F52429">
      <w:pPr>
        <w:pStyle w:val="BodyText"/>
        <w:spacing w:before="34" w:line="235" w:lineRule="auto"/>
        <w:ind w:left="641" w:right="830"/>
      </w:pPr>
      <w:r>
        <w:t xml:space="preserve">The Western Australian public sector must combine, share and </w:t>
      </w:r>
      <w:proofErr w:type="spellStart"/>
      <w:r>
        <w:t>utilise</w:t>
      </w:r>
      <w:proofErr w:type="spellEnd"/>
      <w:r>
        <w:t xml:space="preserve"> its data assets in a much more comprehensive and unified way in order to meet the service delivery requirements of modern government.</w:t>
      </w:r>
    </w:p>
    <w:p w:rsidR="00A1463E" w:rsidRDefault="00F52429">
      <w:pPr>
        <w:pStyle w:val="BodyText"/>
        <w:spacing w:before="173" w:line="235" w:lineRule="auto"/>
        <w:ind w:left="641" w:right="364"/>
      </w:pPr>
      <w:r>
        <w:t>Through improving access to data and tailoring its use to meet business and community needs, the sector can provide higher-quality advice and deliver improved services at a lower cost.</w:t>
      </w:r>
    </w:p>
    <w:p w:rsidR="00A1463E" w:rsidRDefault="00F52429">
      <w:pPr>
        <w:pStyle w:val="BodyText"/>
        <w:spacing w:before="173" w:line="235" w:lineRule="auto"/>
        <w:ind w:left="641" w:right="696"/>
      </w:pPr>
      <w:r>
        <w:t>Making data more openly available will create opportunities for Western Australian businesses and cultivate a culture of transparency and trust with the public. Having a legislative framework for sharing information while protecting sensitive personal information would support this outcome.</w:t>
      </w:r>
    </w:p>
    <w:p w:rsidR="00A1463E" w:rsidRDefault="00F52429">
      <w:pPr>
        <w:pStyle w:val="BodyText"/>
        <w:spacing w:before="174" w:line="235" w:lineRule="auto"/>
        <w:ind w:left="641" w:right="1084"/>
      </w:pPr>
      <w:r>
        <w:t xml:space="preserve">The Western Australian Whole of Government Open Data Policy was launched in 2015, alongside the data.wa.gov.au portal. In the past year, the Office of the GCIO, in partnership with </w:t>
      </w:r>
      <w:proofErr w:type="spellStart"/>
      <w:r>
        <w:t>Landgate</w:t>
      </w:r>
      <w:proofErr w:type="spellEnd"/>
      <w:r>
        <w:t>, has updated and expanded guidance on the Open Data policy.</w:t>
      </w:r>
    </w:p>
    <w:p w:rsidR="00A1463E" w:rsidRDefault="00F52429">
      <w:pPr>
        <w:pStyle w:val="BodyText"/>
        <w:spacing w:before="173" w:line="235" w:lineRule="auto"/>
        <w:ind w:left="641" w:right="696"/>
      </w:pPr>
      <w:r>
        <w:t>Making agencies’ data more openly available will create opportunities for Western Australian businesses and cultivate a culture of transparency and trust with the public. It also creates an enabling environment for modern data analytics, which can generate rapid insights into complex policy problems by combining and processing large volumes of interrelated data.</w:t>
      </w:r>
    </w:p>
    <w:p w:rsidR="00A1463E" w:rsidRDefault="00A1463E">
      <w:pPr>
        <w:spacing w:line="235" w:lineRule="auto"/>
        <w:sectPr w:rsidR="00A1463E">
          <w:type w:val="continuous"/>
          <w:pgSz w:w="16840" w:h="11910" w:orient="landscape"/>
          <w:pgMar w:top="560" w:right="0" w:bottom="0" w:left="0" w:header="720" w:footer="720" w:gutter="0"/>
          <w:cols w:num="2" w:space="720" w:equalWidth="0">
            <w:col w:w="8078" w:space="40"/>
            <w:col w:w="8722"/>
          </w:cols>
        </w:sectPr>
      </w:pPr>
    </w:p>
    <w:p w:rsidR="00A1463E" w:rsidRDefault="00A1463E">
      <w:pPr>
        <w:pStyle w:val="BodyText"/>
        <w:spacing w:before="8"/>
        <w:rPr>
          <w:sz w:val="8"/>
        </w:rPr>
      </w:pPr>
    </w:p>
    <w:p w:rsidR="00A1463E" w:rsidRDefault="00F52429" w:rsidP="00D138C6">
      <w:pPr>
        <w:pStyle w:val="Heading1"/>
      </w:pPr>
      <w:r>
        <w:rPr>
          <w:w w:val="110"/>
        </w:rPr>
        <w:t>DIGITAL TRANSFORMATION - looking forward: Significant issues and future trends</w:t>
      </w:r>
    </w:p>
    <w:p w:rsidR="00A1463E" w:rsidRDefault="00A1463E">
      <w:pPr>
        <w:pStyle w:val="BodyText"/>
        <w:spacing w:line="60" w:lineRule="exact"/>
        <w:ind w:left="650"/>
        <w:rPr>
          <w:sz w:val="6"/>
        </w:rPr>
      </w:pPr>
    </w:p>
    <w:p w:rsidR="00A1463E" w:rsidRDefault="00A1463E">
      <w:pPr>
        <w:pStyle w:val="BodyText"/>
        <w:spacing w:before="1"/>
        <w:rPr>
          <w:sz w:val="14"/>
        </w:rPr>
      </w:pPr>
    </w:p>
    <w:p w:rsidR="00A1463E" w:rsidRDefault="00A1463E">
      <w:pPr>
        <w:rPr>
          <w:sz w:val="14"/>
        </w:rPr>
        <w:sectPr w:rsidR="00A1463E">
          <w:pgSz w:w="16840" w:h="11910" w:orient="landscape"/>
          <w:pgMar w:top="540" w:right="0" w:bottom="360" w:left="0" w:header="229" w:footer="145" w:gutter="0"/>
          <w:cols w:space="720"/>
        </w:sectPr>
      </w:pPr>
    </w:p>
    <w:p w:rsidR="00A1463E" w:rsidRDefault="00F52429" w:rsidP="00D138C6">
      <w:pPr>
        <w:pStyle w:val="Heading2"/>
      </w:pPr>
      <w:r>
        <w:t>Better Connectivity across the State</w:t>
      </w:r>
    </w:p>
    <w:p w:rsidR="00A1463E" w:rsidRDefault="00F52429">
      <w:pPr>
        <w:pStyle w:val="BodyText"/>
        <w:spacing w:before="35" w:line="235" w:lineRule="auto"/>
        <w:ind w:left="680" w:right="145"/>
      </w:pPr>
      <w:r>
        <w:t>Access to a high performance and affordable internet network is a key driver for the Western Australian economy and essential for residents and businesses that want to engage in the modern digital economy. The National Broadband Network (NBN) is vital infrastructure for the future</w:t>
      </w:r>
    </w:p>
    <w:p w:rsidR="00A1463E" w:rsidRDefault="00F52429">
      <w:pPr>
        <w:pStyle w:val="BodyText"/>
        <w:spacing w:before="4" w:line="235" w:lineRule="auto"/>
        <w:ind w:left="680" w:right="59"/>
        <w:jc w:val="both"/>
      </w:pPr>
      <w:r>
        <w:t xml:space="preserve">prosperity of </w:t>
      </w:r>
      <w:r>
        <w:rPr>
          <w:spacing w:val="-3"/>
        </w:rPr>
        <w:t xml:space="preserve">Western </w:t>
      </w:r>
      <w:r>
        <w:t xml:space="preserve">Australia. Fast, reliable, high-capacity internet is the backbone of modern economies, and a </w:t>
      </w:r>
      <w:r>
        <w:rPr>
          <w:spacing w:val="-4"/>
        </w:rPr>
        <w:t xml:space="preserve">key </w:t>
      </w:r>
      <w:r>
        <w:t xml:space="preserve">enabler </w:t>
      </w:r>
      <w:r>
        <w:rPr>
          <w:spacing w:val="-3"/>
        </w:rPr>
        <w:t xml:space="preserve">for </w:t>
      </w:r>
      <w:r>
        <w:t xml:space="preserve">efficient delivery of Government services in the 21st </w:t>
      </w:r>
      <w:r>
        <w:rPr>
          <w:spacing w:val="-3"/>
        </w:rPr>
        <w:t>century.</w:t>
      </w:r>
    </w:p>
    <w:p w:rsidR="00A1463E" w:rsidRDefault="00F52429">
      <w:pPr>
        <w:pStyle w:val="BodyText"/>
        <w:spacing w:before="173" w:line="235" w:lineRule="auto"/>
        <w:ind w:left="680" w:right="342"/>
      </w:pPr>
      <w:r>
        <w:t>To ensure that NBN rollout in Western Australia is high quality and fit- for-purpose, the Office of the GCIO drafted and supported a number of</w:t>
      </w:r>
    </w:p>
    <w:p w:rsidR="00A1463E" w:rsidRDefault="00F52429">
      <w:pPr>
        <w:pStyle w:val="BodyText"/>
        <w:spacing w:before="2" w:line="235" w:lineRule="auto"/>
        <w:ind w:left="680"/>
      </w:pPr>
      <w:r>
        <w:t>submissions to the Commonwealth Joint Standing Committee on the NBN during the year.</w:t>
      </w:r>
    </w:p>
    <w:p w:rsidR="00A1463E" w:rsidRDefault="00F52429">
      <w:pPr>
        <w:pStyle w:val="BodyText"/>
        <w:spacing w:before="171" w:line="235" w:lineRule="auto"/>
        <w:ind w:left="680" w:right="272"/>
        <w:jc w:val="both"/>
      </w:pPr>
      <w:r>
        <w:t xml:space="preserve">During 2017-18, the Office of the GCIO </w:t>
      </w:r>
      <w:r>
        <w:rPr>
          <w:spacing w:val="-3"/>
        </w:rPr>
        <w:t xml:space="preserve">worked </w:t>
      </w:r>
      <w:r>
        <w:t xml:space="preserve">with DPIRD to undertake the State </w:t>
      </w:r>
      <w:r>
        <w:rPr>
          <w:spacing w:val="-3"/>
        </w:rPr>
        <w:t xml:space="preserve">Telecommunications </w:t>
      </w:r>
      <w:r>
        <w:t>Infrastructure Audit, the first of its kind in Australia.</w:t>
      </w:r>
    </w:p>
    <w:p w:rsidR="00A1463E" w:rsidRDefault="00F52429">
      <w:pPr>
        <w:pStyle w:val="BodyText"/>
        <w:spacing w:before="173" w:line="235" w:lineRule="auto"/>
        <w:ind w:left="680"/>
      </w:pPr>
      <w:r>
        <w:t>The audit identified a large number of existing public and private fixed line and mobile infrastructure assets across the state, with a strong focus on regional areas. The audit lays the foundations for the business sector to identify and evaluate opportunities for investments that would improve digital connectivity for regional businesses and communities.</w:t>
      </w:r>
    </w:p>
    <w:p w:rsidR="00A1463E" w:rsidRDefault="00F52429">
      <w:pPr>
        <w:pStyle w:val="BodyText"/>
        <w:spacing w:before="175" w:line="235" w:lineRule="auto"/>
        <w:ind w:left="680" w:right="-10"/>
      </w:pPr>
      <w:r>
        <w:t xml:space="preserve">The </w:t>
      </w:r>
      <w:proofErr w:type="spellStart"/>
      <w:r>
        <w:t>GovNext</w:t>
      </w:r>
      <w:proofErr w:type="spellEnd"/>
      <w:r>
        <w:t>-ICT Program is also working with all public sector agencies to improve the connectivity at government offices across the state. This will allow greater use of modern technology in order to provide better services to rural, regional and remote communities.</w:t>
      </w:r>
    </w:p>
    <w:p w:rsidR="00A1463E" w:rsidRPr="00D138C6" w:rsidRDefault="00F52429" w:rsidP="00D138C6">
      <w:pPr>
        <w:pStyle w:val="Heading2"/>
      </w:pPr>
      <w:r>
        <w:br w:type="column"/>
      </w:r>
      <w:proofErr w:type="spellStart"/>
      <w:r w:rsidRPr="00D138C6">
        <w:t>GovNext</w:t>
      </w:r>
      <w:proofErr w:type="spellEnd"/>
      <w:r w:rsidRPr="00D138C6">
        <w:t>-ICT</w:t>
      </w:r>
    </w:p>
    <w:p w:rsidR="00A1463E" w:rsidRPr="0038227C" w:rsidRDefault="00F52429" w:rsidP="0038227C">
      <w:pPr>
        <w:pStyle w:val="BodyText"/>
        <w:spacing w:before="34" w:line="235" w:lineRule="auto"/>
        <w:ind w:left="680" w:right="750"/>
      </w:pPr>
      <w:r>
        <w:t xml:space="preserve">As noted earlier, the </w:t>
      </w:r>
      <w:proofErr w:type="spellStart"/>
      <w:r>
        <w:t>GovNext</w:t>
      </w:r>
      <w:proofErr w:type="spellEnd"/>
      <w:r>
        <w:t xml:space="preserve">-ICT program was included within a number of reviews in 2017-18. The findings and recommendations of these reviews will be addressed in the next financial year and focus on implementation challenges. This will involve embedding change management as a key priority for the Office to support the sector in its transition to </w:t>
      </w:r>
      <w:proofErr w:type="spellStart"/>
      <w:r>
        <w:t>GovNext</w:t>
      </w:r>
      <w:proofErr w:type="spellEnd"/>
      <w:r>
        <w:t xml:space="preserve">-ICT. The Office will also be facilitating stronger relationships between </w:t>
      </w:r>
      <w:proofErr w:type="spellStart"/>
      <w:r>
        <w:t>GovNext</w:t>
      </w:r>
      <w:proofErr w:type="spellEnd"/>
      <w:r>
        <w:t>- ICT vendors and agencies to assist in meeting their needs in delivering better services to the community.</w:t>
      </w:r>
    </w:p>
    <w:p w:rsidR="00A1463E" w:rsidRDefault="00A1463E">
      <w:pPr>
        <w:rPr>
          <w:sz w:val="20"/>
        </w:rPr>
        <w:sectPr w:rsidR="00A1463E">
          <w:type w:val="continuous"/>
          <w:pgSz w:w="16840" w:h="11910" w:orient="landscape"/>
          <w:pgMar w:top="560" w:right="0" w:bottom="0" w:left="0" w:header="720" w:footer="720" w:gutter="0"/>
          <w:cols w:num="2" w:space="720" w:equalWidth="0">
            <w:col w:w="7979" w:space="100"/>
            <w:col w:w="8761"/>
          </w:cols>
        </w:sectPr>
      </w:pPr>
    </w:p>
    <w:p w:rsidR="00A1463E" w:rsidRDefault="00A1463E">
      <w:pPr>
        <w:pStyle w:val="BodyText"/>
        <w:spacing w:before="7"/>
        <w:rPr>
          <w:sz w:val="8"/>
        </w:rPr>
      </w:pPr>
    </w:p>
    <w:p w:rsidR="00A1463E" w:rsidRDefault="00F52429">
      <w:pPr>
        <w:pStyle w:val="Heading2"/>
        <w:ind w:left="664"/>
      </w:pPr>
      <w:bookmarkStart w:id="18" w:name="summary_of_financial_performance_for_201"/>
      <w:bookmarkStart w:id="19" w:name="_bookmark17"/>
      <w:bookmarkEnd w:id="18"/>
      <w:bookmarkEnd w:id="19"/>
      <w:r>
        <w:rPr>
          <w:color w:val="353434"/>
        </w:rPr>
        <w:t>SUMMARY OF FINANCIAL PERFORMANCE FOR 2017-18</w:t>
      </w:r>
    </w:p>
    <w:p w:rsidR="00A1463E" w:rsidRDefault="00A1463E">
      <w:pPr>
        <w:pStyle w:val="BodyText"/>
        <w:spacing w:line="60" w:lineRule="exact"/>
        <w:ind w:left="650"/>
        <w:rPr>
          <w:sz w:val="6"/>
        </w:rPr>
      </w:pPr>
    </w:p>
    <w:p w:rsidR="00A1463E" w:rsidRDefault="00F52429">
      <w:pPr>
        <w:pStyle w:val="BodyText"/>
        <w:spacing w:before="229" w:line="235" w:lineRule="auto"/>
        <w:ind w:left="680" w:right="956"/>
      </w:pPr>
      <w:r>
        <w:t>The Office of the GCIO 2017-18 gross expense allocation was approximately $13.3 million, funded largely through income from the ICT Renewal and Reform Fund ($7.1 million) and appropriations from government ($3.4 million).</w:t>
      </w:r>
    </w:p>
    <w:p w:rsidR="00A1463E" w:rsidRDefault="00F52429">
      <w:pPr>
        <w:pStyle w:val="BodyText"/>
        <w:spacing w:before="168"/>
        <w:ind w:left="680"/>
      </w:pPr>
      <w:r>
        <w:t>The $13.3 million in expenses primarily relates to employee expenses ($7.4 million) and supplies and services ($3.0 million).</w:t>
      </w:r>
    </w:p>
    <w:p w:rsidR="00A1463E" w:rsidRDefault="00A1463E">
      <w:pPr>
        <w:pStyle w:val="BodyText"/>
        <w:spacing w:before="2"/>
        <w:rPr>
          <w:sz w:val="15"/>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5"/>
        <w:gridCol w:w="1568"/>
        <w:gridCol w:w="1417"/>
        <w:gridCol w:w="1250"/>
        <w:gridCol w:w="8296"/>
      </w:tblGrid>
      <w:tr w:rsidR="00A1463E" w:rsidTr="00B30C9E">
        <w:trPr>
          <w:trHeight w:val="772"/>
        </w:trPr>
        <w:tc>
          <w:tcPr>
            <w:tcW w:w="2945" w:type="dxa"/>
          </w:tcPr>
          <w:p w:rsidR="00A1463E" w:rsidRPr="00545FAA" w:rsidRDefault="00F52429">
            <w:pPr>
              <w:pStyle w:val="TableParagraph"/>
              <w:spacing w:before="191" w:line="287" w:lineRule="exact"/>
              <w:ind w:left="7"/>
              <w:rPr>
                <w:sz w:val="24"/>
              </w:rPr>
            </w:pPr>
            <w:r w:rsidRPr="00545FAA">
              <w:rPr>
                <w:sz w:val="24"/>
              </w:rPr>
              <w:t>Actual results</w:t>
            </w:r>
          </w:p>
          <w:p w:rsidR="00A1463E" w:rsidRPr="00545FAA" w:rsidRDefault="00F52429">
            <w:pPr>
              <w:pStyle w:val="TableParagraph"/>
              <w:spacing w:line="274" w:lineRule="exact"/>
              <w:ind w:left="7"/>
              <w:rPr>
                <w:sz w:val="24"/>
              </w:rPr>
            </w:pPr>
            <w:r w:rsidRPr="00545FAA">
              <w:rPr>
                <w:sz w:val="24"/>
              </w:rPr>
              <w:t>versus estimate</w:t>
            </w:r>
          </w:p>
        </w:tc>
        <w:tc>
          <w:tcPr>
            <w:tcW w:w="1568" w:type="dxa"/>
          </w:tcPr>
          <w:p w:rsidR="00A1463E" w:rsidRPr="00545FAA" w:rsidRDefault="00F52429">
            <w:pPr>
              <w:pStyle w:val="TableParagraph"/>
              <w:spacing w:before="191" w:line="286" w:lineRule="exact"/>
              <w:ind w:left="304" w:right="139"/>
              <w:jc w:val="center"/>
              <w:rPr>
                <w:sz w:val="14"/>
              </w:rPr>
            </w:pPr>
            <w:r w:rsidRPr="00545FAA">
              <w:rPr>
                <w:sz w:val="24"/>
              </w:rPr>
              <w:t xml:space="preserve">Estimate </w:t>
            </w:r>
            <w:r w:rsidRPr="00545FAA">
              <w:rPr>
                <w:position w:val="8"/>
                <w:sz w:val="14"/>
              </w:rPr>
              <w:t>(a)</w:t>
            </w:r>
          </w:p>
          <w:p w:rsidR="00A1463E" w:rsidRPr="00545FAA" w:rsidRDefault="00F52429">
            <w:pPr>
              <w:pStyle w:val="TableParagraph"/>
              <w:spacing w:line="275" w:lineRule="exact"/>
              <w:ind w:left="304" w:right="134"/>
              <w:jc w:val="center"/>
              <w:rPr>
                <w:sz w:val="24"/>
              </w:rPr>
            </w:pPr>
            <w:r w:rsidRPr="00545FAA">
              <w:rPr>
                <w:sz w:val="24"/>
              </w:rPr>
              <w:t>$000</w:t>
            </w:r>
          </w:p>
        </w:tc>
        <w:tc>
          <w:tcPr>
            <w:tcW w:w="1417" w:type="dxa"/>
            <w:shd w:val="clear" w:color="auto" w:fill="auto"/>
          </w:tcPr>
          <w:p w:rsidR="00A1463E" w:rsidRPr="00545FAA" w:rsidRDefault="00F52429">
            <w:pPr>
              <w:pStyle w:val="TableParagraph"/>
              <w:spacing w:before="191" w:line="287" w:lineRule="exact"/>
              <w:ind w:left="398"/>
              <w:rPr>
                <w:sz w:val="24"/>
              </w:rPr>
            </w:pPr>
            <w:r w:rsidRPr="00545FAA">
              <w:rPr>
                <w:sz w:val="24"/>
              </w:rPr>
              <w:t>Actual</w:t>
            </w:r>
          </w:p>
          <w:p w:rsidR="00A1463E" w:rsidRPr="00545FAA" w:rsidRDefault="00F52429">
            <w:pPr>
              <w:pStyle w:val="TableParagraph"/>
              <w:spacing w:line="275" w:lineRule="exact"/>
              <w:ind w:left="467"/>
              <w:rPr>
                <w:sz w:val="24"/>
              </w:rPr>
            </w:pPr>
            <w:r w:rsidRPr="00545FAA">
              <w:rPr>
                <w:sz w:val="24"/>
              </w:rPr>
              <w:t>$000</w:t>
            </w:r>
          </w:p>
        </w:tc>
        <w:tc>
          <w:tcPr>
            <w:tcW w:w="1250" w:type="dxa"/>
          </w:tcPr>
          <w:p w:rsidR="00A1463E" w:rsidRPr="00545FAA" w:rsidRDefault="00F52429">
            <w:pPr>
              <w:pStyle w:val="TableParagraph"/>
              <w:spacing w:before="191" w:line="287" w:lineRule="exact"/>
              <w:ind w:left="213" w:right="122"/>
              <w:jc w:val="center"/>
              <w:rPr>
                <w:sz w:val="24"/>
              </w:rPr>
            </w:pPr>
            <w:r w:rsidRPr="00545FAA">
              <w:rPr>
                <w:sz w:val="24"/>
              </w:rPr>
              <w:t>Variance</w:t>
            </w:r>
          </w:p>
          <w:p w:rsidR="00A1463E" w:rsidRPr="00545FAA" w:rsidRDefault="00F52429">
            <w:pPr>
              <w:pStyle w:val="TableParagraph"/>
              <w:spacing w:line="275" w:lineRule="exact"/>
              <w:ind w:left="213" w:right="117"/>
              <w:jc w:val="center"/>
              <w:rPr>
                <w:sz w:val="24"/>
              </w:rPr>
            </w:pPr>
            <w:r w:rsidRPr="00545FAA">
              <w:rPr>
                <w:sz w:val="24"/>
              </w:rPr>
              <w:t>$000</w:t>
            </w:r>
          </w:p>
        </w:tc>
        <w:tc>
          <w:tcPr>
            <w:tcW w:w="8296" w:type="dxa"/>
          </w:tcPr>
          <w:p w:rsidR="00A1463E" w:rsidRPr="00545FAA" w:rsidRDefault="00F52429" w:rsidP="00C678CB">
            <w:pPr>
              <w:pStyle w:val="TableParagraph"/>
              <w:spacing w:before="178" w:line="281" w:lineRule="exact"/>
              <w:ind w:left="225"/>
              <w:rPr>
                <w:sz w:val="24"/>
              </w:rPr>
            </w:pPr>
            <w:r w:rsidRPr="00545FAA">
              <w:rPr>
                <w:sz w:val="24"/>
              </w:rPr>
              <w:t>Reason for significant variation between actual and estimate</w:t>
            </w:r>
          </w:p>
        </w:tc>
      </w:tr>
      <w:tr w:rsidR="00C678CB" w:rsidTr="00B30C9E">
        <w:trPr>
          <w:trHeight w:val="772"/>
        </w:trPr>
        <w:tc>
          <w:tcPr>
            <w:tcW w:w="2945" w:type="dxa"/>
          </w:tcPr>
          <w:p w:rsidR="00C678CB" w:rsidRDefault="00C678CB" w:rsidP="00C678CB">
            <w:pPr>
              <w:pStyle w:val="TableParagraph"/>
              <w:spacing w:before="210" w:line="220" w:lineRule="exact"/>
              <w:ind w:left="7"/>
              <w:rPr>
                <w:sz w:val="24"/>
              </w:rPr>
            </w:pPr>
            <w:r>
              <w:rPr>
                <w:sz w:val="24"/>
              </w:rPr>
              <w:t>Total cost of services</w:t>
            </w:r>
          </w:p>
          <w:p w:rsidR="00C678CB" w:rsidRDefault="00C678CB" w:rsidP="00C678CB">
            <w:pPr>
              <w:pStyle w:val="TableParagraph"/>
              <w:spacing w:before="191" w:line="287" w:lineRule="exact"/>
              <w:ind w:left="7"/>
              <w:rPr>
                <w:b/>
                <w:sz w:val="24"/>
              </w:rPr>
            </w:pPr>
            <w:r>
              <w:rPr>
                <w:sz w:val="24"/>
              </w:rPr>
              <w:t>(expense</w:t>
            </w:r>
            <w:r>
              <w:rPr>
                <w:spacing w:val="-4"/>
                <w:sz w:val="24"/>
              </w:rPr>
              <w:t xml:space="preserve"> </w:t>
            </w:r>
            <w:r>
              <w:rPr>
                <w:sz w:val="24"/>
              </w:rPr>
              <w:t>limit)</w:t>
            </w:r>
          </w:p>
        </w:tc>
        <w:tc>
          <w:tcPr>
            <w:tcW w:w="1568" w:type="dxa"/>
          </w:tcPr>
          <w:p w:rsidR="00C678CB" w:rsidRDefault="00C678CB">
            <w:pPr>
              <w:pStyle w:val="TableParagraph"/>
              <w:spacing w:before="191" w:line="286" w:lineRule="exact"/>
              <w:ind w:left="304" w:right="139"/>
              <w:jc w:val="center"/>
              <w:rPr>
                <w:b/>
                <w:sz w:val="24"/>
              </w:rPr>
            </w:pPr>
            <w:r>
              <w:rPr>
                <w:position w:val="14"/>
                <w:sz w:val="24"/>
              </w:rPr>
              <w:t>13,315</w:t>
            </w:r>
          </w:p>
        </w:tc>
        <w:tc>
          <w:tcPr>
            <w:tcW w:w="1417" w:type="dxa"/>
            <w:shd w:val="clear" w:color="auto" w:fill="auto"/>
          </w:tcPr>
          <w:p w:rsidR="00C678CB" w:rsidRDefault="00C678CB">
            <w:pPr>
              <w:pStyle w:val="TableParagraph"/>
              <w:spacing w:before="191" w:line="287" w:lineRule="exact"/>
              <w:ind w:left="398"/>
              <w:rPr>
                <w:b/>
                <w:sz w:val="24"/>
              </w:rPr>
            </w:pPr>
            <w:r>
              <w:rPr>
                <w:sz w:val="24"/>
              </w:rPr>
              <w:t>6,742</w:t>
            </w:r>
          </w:p>
        </w:tc>
        <w:tc>
          <w:tcPr>
            <w:tcW w:w="1250" w:type="dxa"/>
          </w:tcPr>
          <w:p w:rsidR="00C678CB" w:rsidRDefault="00C678CB">
            <w:pPr>
              <w:pStyle w:val="TableParagraph"/>
              <w:spacing w:before="191" w:line="287" w:lineRule="exact"/>
              <w:ind w:left="213" w:right="122"/>
              <w:jc w:val="center"/>
              <w:rPr>
                <w:b/>
                <w:sz w:val="24"/>
              </w:rPr>
            </w:pPr>
            <w:r>
              <w:rPr>
                <w:sz w:val="24"/>
              </w:rPr>
              <w:t>(6,573)</w:t>
            </w:r>
          </w:p>
        </w:tc>
        <w:tc>
          <w:tcPr>
            <w:tcW w:w="8296" w:type="dxa"/>
          </w:tcPr>
          <w:p w:rsidR="00C678CB" w:rsidRDefault="00C678CB" w:rsidP="00C678CB">
            <w:pPr>
              <w:pStyle w:val="TableParagraph"/>
              <w:ind w:left="225"/>
              <w:rPr>
                <w:sz w:val="24"/>
              </w:rPr>
            </w:pPr>
            <w:r>
              <w:rPr>
                <w:sz w:val="24"/>
              </w:rPr>
              <w:t xml:space="preserve">The variance is a result of the </w:t>
            </w:r>
            <w:proofErr w:type="spellStart"/>
            <w:r>
              <w:rPr>
                <w:sz w:val="24"/>
              </w:rPr>
              <w:t>capitalisation</w:t>
            </w:r>
            <w:proofErr w:type="spellEnd"/>
            <w:r>
              <w:rPr>
                <w:sz w:val="24"/>
              </w:rPr>
              <w:t xml:space="preserve"> of costs </w:t>
            </w:r>
            <w:r>
              <w:rPr>
                <w:spacing w:val="-3"/>
                <w:sz w:val="24"/>
              </w:rPr>
              <w:t xml:space="preserve">for </w:t>
            </w:r>
            <w:r>
              <w:rPr>
                <w:sz w:val="24"/>
              </w:rPr>
              <w:t xml:space="preserve">the </w:t>
            </w:r>
            <w:proofErr w:type="spellStart"/>
            <w:r>
              <w:rPr>
                <w:spacing w:val="-3"/>
                <w:sz w:val="24"/>
              </w:rPr>
              <w:t>MyWA</w:t>
            </w:r>
            <w:proofErr w:type="spellEnd"/>
            <w:r>
              <w:rPr>
                <w:spacing w:val="-3"/>
                <w:sz w:val="24"/>
              </w:rPr>
              <w:t xml:space="preserve"> </w:t>
            </w:r>
            <w:r>
              <w:rPr>
                <w:sz w:val="24"/>
              </w:rPr>
              <w:t>website, vacancies</w:t>
            </w:r>
            <w:r>
              <w:rPr>
                <w:spacing w:val="-6"/>
                <w:sz w:val="24"/>
              </w:rPr>
              <w:t xml:space="preserve"> </w:t>
            </w:r>
            <w:r>
              <w:rPr>
                <w:sz w:val="24"/>
              </w:rPr>
              <w:t>remaining</w:t>
            </w:r>
            <w:r>
              <w:rPr>
                <w:spacing w:val="-5"/>
                <w:sz w:val="24"/>
              </w:rPr>
              <w:t xml:space="preserve"> </w:t>
            </w:r>
            <w:r>
              <w:rPr>
                <w:sz w:val="24"/>
              </w:rPr>
              <w:t>unfilled</w:t>
            </w:r>
            <w:r>
              <w:rPr>
                <w:spacing w:val="-6"/>
                <w:sz w:val="24"/>
              </w:rPr>
              <w:t xml:space="preserve"> </w:t>
            </w:r>
            <w:r>
              <w:rPr>
                <w:sz w:val="24"/>
              </w:rPr>
              <w:t>during</w:t>
            </w:r>
            <w:r>
              <w:rPr>
                <w:spacing w:val="-6"/>
                <w:sz w:val="24"/>
              </w:rPr>
              <w:t xml:space="preserve"> </w:t>
            </w:r>
            <w:r>
              <w:rPr>
                <w:sz w:val="24"/>
              </w:rPr>
              <w:t>the</w:t>
            </w:r>
            <w:r>
              <w:rPr>
                <w:spacing w:val="-5"/>
                <w:sz w:val="24"/>
              </w:rPr>
              <w:t xml:space="preserve"> </w:t>
            </w:r>
            <w:r>
              <w:rPr>
                <w:sz w:val="24"/>
              </w:rPr>
              <w:t>year</w:t>
            </w:r>
            <w:r>
              <w:rPr>
                <w:spacing w:val="-5"/>
                <w:sz w:val="24"/>
              </w:rPr>
              <w:t xml:space="preserve"> </w:t>
            </w:r>
            <w:r>
              <w:rPr>
                <w:sz w:val="24"/>
              </w:rPr>
              <w:t>and</w:t>
            </w:r>
            <w:r>
              <w:rPr>
                <w:spacing w:val="-6"/>
                <w:sz w:val="24"/>
              </w:rPr>
              <w:t xml:space="preserve"> </w:t>
            </w:r>
            <w:r>
              <w:rPr>
                <w:sz w:val="24"/>
              </w:rPr>
              <w:t>the</w:t>
            </w:r>
            <w:r>
              <w:rPr>
                <w:spacing w:val="-5"/>
                <w:sz w:val="24"/>
              </w:rPr>
              <w:t xml:space="preserve"> </w:t>
            </w:r>
            <w:r>
              <w:rPr>
                <w:sz w:val="24"/>
              </w:rPr>
              <w:t>carryover</w:t>
            </w:r>
            <w:r>
              <w:rPr>
                <w:spacing w:val="-5"/>
                <w:sz w:val="24"/>
              </w:rPr>
              <w:t xml:space="preserve"> </w:t>
            </w:r>
            <w:r>
              <w:rPr>
                <w:sz w:val="24"/>
              </w:rPr>
              <w:t>of</w:t>
            </w:r>
            <w:r>
              <w:rPr>
                <w:spacing w:val="-6"/>
                <w:sz w:val="24"/>
              </w:rPr>
              <w:t xml:space="preserve"> </w:t>
            </w:r>
            <w:r>
              <w:rPr>
                <w:sz w:val="24"/>
              </w:rPr>
              <w:t xml:space="preserve">budgeted expenditure into 2018-19 to extend the Office </w:t>
            </w:r>
            <w:r>
              <w:rPr>
                <w:spacing w:val="-3"/>
                <w:sz w:val="24"/>
              </w:rPr>
              <w:t xml:space="preserve">for </w:t>
            </w:r>
            <w:r>
              <w:rPr>
                <w:sz w:val="24"/>
              </w:rPr>
              <w:t>a further 12</w:t>
            </w:r>
            <w:r>
              <w:rPr>
                <w:spacing w:val="-32"/>
                <w:sz w:val="24"/>
              </w:rPr>
              <w:t xml:space="preserve"> </w:t>
            </w:r>
            <w:r>
              <w:rPr>
                <w:sz w:val="24"/>
              </w:rPr>
              <w:t>months.</w:t>
            </w:r>
          </w:p>
        </w:tc>
      </w:tr>
      <w:tr w:rsidR="00A1463E" w:rsidTr="00B30C9E">
        <w:trPr>
          <w:trHeight w:val="665"/>
        </w:trPr>
        <w:tc>
          <w:tcPr>
            <w:tcW w:w="2945" w:type="dxa"/>
          </w:tcPr>
          <w:p w:rsidR="00A1463E" w:rsidRDefault="00F52429">
            <w:pPr>
              <w:pStyle w:val="TableParagraph"/>
              <w:spacing w:before="194"/>
              <w:ind w:left="7"/>
              <w:rPr>
                <w:sz w:val="24"/>
              </w:rPr>
            </w:pPr>
            <w:r>
              <w:rPr>
                <w:sz w:val="24"/>
              </w:rPr>
              <w:t>Net cost of services</w:t>
            </w:r>
          </w:p>
        </w:tc>
        <w:tc>
          <w:tcPr>
            <w:tcW w:w="1568" w:type="dxa"/>
          </w:tcPr>
          <w:p w:rsidR="00A1463E" w:rsidRDefault="00F52429">
            <w:pPr>
              <w:pStyle w:val="TableParagraph"/>
              <w:spacing w:before="194"/>
              <w:ind w:left="303" w:right="139"/>
              <w:jc w:val="center"/>
              <w:rPr>
                <w:sz w:val="24"/>
              </w:rPr>
            </w:pPr>
            <w:r>
              <w:rPr>
                <w:sz w:val="24"/>
              </w:rPr>
              <w:t>(6,262)</w:t>
            </w:r>
          </w:p>
        </w:tc>
        <w:tc>
          <w:tcPr>
            <w:tcW w:w="1417" w:type="dxa"/>
            <w:shd w:val="clear" w:color="auto" w:fill="auto"/>
          </w:tcPr>
          <w:p w:rsidR="00A1463E" w:rsidRDefault="00F52429">
            <w:pPr>
              <w:pStyle w:val="TableParagraph"/>
              <w:spacing w:before="194"/>
              <w:ind w:left="349" w:right="335"/>
              <w:jc w:val="center"/>
              <w:rPr>
                <w:sz w:val="24"/>
              </w:rPr>
            </w:pPr>
            <w:r>
              <w:rPr>
                <w:sz w:val="24"/>
              </w:rPr>
              <w:t>(1,317)</w:t>
            </w:r>
          </w:p>
        </w:tc>
        <w:tc>
          <w:tcPr>
            <w:tcW w:w="1250" w:type="dxa"/>
          </w:tcPr>
          <w:p w:rsidR="00A1463E" w:rsidRDefault="00F52429">
            <w:pPr>
              <w:pStyle w:val="TableParagraph"/>
              <w:spacing w:before="194"/>
              <w:ind w:left="213" w:right="121"/>
              <w:jc w:val="center"/>
              <w:rPr>
                <w:sz w:val="24"/>
              </w:rPr>
            </w:pPr>
            <w:r>
              <w:rPr>
                <w:sz w:val="24"/>
              </w:rPr>
              <w:t>4,945</w:t>
            </w:r>
          </w:p>
        </w:tc>
        <w:tc>
          <w:tcPr>
            <w:tcW w:w="8296" w:type="dxa"/>
          </w:tcPr>
          <w:p w:rsidR="00A1463E" w:rsidRDefault="00F52429">
            <w:pPr>
              <w:pStyle w:val="TableParagraph"/>
              <w:spacing w:before="55" w:line="235" w:lineRule="auto"/>
              <w:ind w:left="164" w:right="33"/>
              <w:rPr>
                <w:sz w:val="24"/>
              </w:rPr>
            </w:pPr>
            <w:r>
              <w:rPr>
                <w:sz w:val="24"/>
              </w:rPr>
              <w:t>Reduced expenditure, as above, was offset partially by a reduction in the amount of income received from the ICT Renewal and Reform Fund.</w:t>
            </w:r>
          </w:p>
        </w:tc>
      </w:tr>
      <w:tr w:rsidR="00A1463E" w:rsidTr="00B30C9E">
        <w:trPr>
          <w:trHeight w:val="1260"/>
        </w:trPr>
        <w:tc>
          <w:tcPr>
            <w:tcW w:w="2945" w:type="dxa"/>
          </w:tcPr>
          <w:p w:rsidR="00A1463E" w:rsidRDefault="00F52429" w:rsidP="00C678CB">
            <w:pPr>
              <w:pStyle w:val="TableParagraph"/>
              <w:spacing w:before="199"/>
              <w:rPr>
                <w:sz w:val="24"/>
              </w:rPr>
            </w:pPr>
            <w:r>
              <w:rPr>
                <w:sz w:val="24"/>
              </w:rPr>
              <w:t>Total equity</w:t>
            </w:r>
          </w:p>
        </w:tc>
        <w:tc>
          <w:tcPr>
            <w:tcW w:w="1568" w:type="dxa"/>
          </w:tcPr>
          <w:p w:rsidR="00A1463E" w:rsidRDefault="00F52429" w:rsidP="00C678CB">
            <w:pPr>
              <w:pStyle w:val="TableParagraph"/>
              <w:spacing w:before="199"/>
              <w:ind w:left="502"/>
              <w:rPr>
                <w:sz w:val="24"/>
              </w:rPr>
            </w:pPr>
            <w:r>
              <w:rPr>
                <w:sz w:val="24"/>
              </w:rPr>
              <w:t>0</w:t>
            </w:r>
          </w:p>
        </w:tc>
        <w:tc>
          <w:tcPr>
            <w:tcW w:w="1417" w:type="dxa"/>
            <w:shd w:val="clear" w:color="auto" w:fill="auto"/>
          </w:tcPr>
          <w:p w:rsidR="00A1463E" w:rsidRDefault="00F52429" w:rsidP="00C678CB">
            <w:pPr>
              <w:pStyle w:val="TableParagraph"/>
              <w:spacing w:before="199"/>
              <w:ind w:left="207" w:right="334"/>
              <w:rPr>
                <w:sz w:val="24"/>
              </w:rPr>
            </w:pPr>
            <w:r>
              <w:rPr>
                <w:sz w:val="24"/>
              </w:rPr>
              <w:t>3,619</w:t>
            </w:r>
          </w:p>
        </w:tc>
        <w:tc>
          <w:tcPr>
            <w:tcW w:w="1250" w:type="dxa"/>
          </w:tcPr>
          <w:p w:rsidR="00A1463E" w:rsidRDefault="00F52429" w:rsidP="00C678CB">
            <w:pPr>
              <w:pStyle w:val="TableParagraph"/>
              <w:spacing w:before="199"/>
              <w:ind w:left="312" w:right="121"/>
              <w:rPr>
                <w:sz w:val="24"/>
              </w:rPr>
            </w:pPr>
            <w:r>
              <w:rPr>
                <w:sz w:val="24"/>
              </w:rPr>
              <w:t>3,619</w:t>
            </w:r>
          </w:p>
        </w:tc>
        <w:tc>
          <w:tcPr>
            <w:tcW w:w="8296" w:type="dxa"/>
          </w:tcPr>
          <w:p w:rsidR="00A1463E" w:rsidRDefault="00F52429">
            <w:pPr>
              <w:pStyle w:val="TableParagraph"/>
              <w:spacing w:before="64" w:line="235" w:lineRule="auto"/>
              <w:ind w:left="164"/>
              <w:rPr>
                <w:sz w:val="24"/>
              </w:rPr>
            </w:pPr>
            <w:r>
              <w:rPr>
                <w:sz w:val="24"/>
              </w:rPr>
              <w:t>At the time the 2017-18 budget was set the Office was scheduled to complete all activity and expend all resources by the end of 2017-18 leaving a projected net equity balance of nil. During 2017-18, the life of the Office was extended by 12 months with a portion of resources retained to fund operations in 2018-19.</w:t>
            </w:r>
          </w:p>
        </w:tc>
      </w:tr>
      <w:tr w:rsidR="00A1463E" w:rsidTr="00B30C9E">
        <w:trPr>
          <w:trHeight w:val="920"/>
        </w:trPr>
        <w:tc>
          <w:tcPr>
            <w:tcW w:w="2945" w:type="dxa"/>
          </w:tcPr>
          <w:p w:rsidR="00A1463E" w:rsidRDefault="00F52429">
            <w:pPr>
              <w:pStyle w:val="TableParagraph"/>
              <w:spacing w:before="182" w:line="235" w:lineRule="auto"/>
              <w:ind w:left="7"/>
              <w:rPr>
                <w:sz w:val="24"/>
              </w:rPr>
            </w:pPr>
            <w:r>
              <w:rPr>
                <w:sz w:val="24"/>
              </w:rPr>
              <w:t>Net increase/ (decrease) in cash held</w:t>
            </w:r>
          </w:p>
        </w:tc>
        <w:tc>
          <w:tcPr>
            <w:tcW w:w="1568" w:type="dxa"/>
          </w:tcPr>
          <w:p w:rsidR="00A1463E" w:rsidRDefault="00F52429" w:rsidP="00C678CB">
            <w:pPr>
              <w:pStyle w:val="TableParagraph"/>
              <w:ind w:left="360" w:right="139"/>
              <w:rPr>
                <w:sz w:val="24"/>
              </w:rPr>
            </w:pPr>
            <w:r>
              <w:rPr>
                <w:sz w:val="24"/>
              </w:rPr>
              <w:t>(3,399)</w:t>
            </w:r>
          </w:p>
        </w:tc>
        <w:tc>
          <w:tcPr>
            <w:tcW w:w="1417" w:type="dxa"/>
            <w:shd w:val="clear" w:color="auto" w:fill="auto"/>
          </w:tcPr>
          <w:p w:rsidR="00A1463E" w:rsidRDefault="00F52429" w:rsidP="00C678CB">
            <w:pPr>
              <w:pStyle w:val="TableParagraph"/>
              <w:ind w:left="207" w:right="334"/>
              <w:rPr>
                <w:sz w:val="24"/>
              </w:rPr>
            </w:pPr>
            <w:r>
              <w:rPr>
                <w:sz w:val="24"/>
              </w:rPr>
              <w:t>(2,115)</w:t>
            </w:r>
          </w:p>
        </w:tc>
        <w:tc>
          <w:tcPr>
            <w:tcW w:w="1250" w:type="dxa"/>
          </w:tcPr>
          <w:p w:rsidR="00A1463E" w:rsidRDefault="00F52429" w:rsidP="00C678CB">
            <w:pPr>
              <w:pStyle w:val="TableParagraph"/>
              <w:ind w:left="313" w:right="120"/>
              <w:rPr>
                <w:sz w:val="24"/>
              </w:rPr>
            </w:pPr>
            <w:r>
              <w:rPr>
                <w:sz w:val="24"/>
              </w:rPr>
              <w:t>1,284</w:t>
            </w:r>
          </w:p>
        </w:tc>
        <w:tc>
          <w:tcPr>
            <w:tcW w:w="8296" w:type="dxa"/>
          </w:tcPr>
          <w:p w:rsidR="00A1463E" w:rsidRDefault="00F52429">
            <w:pPr>
              <w:pStyle w:val="TableParagraph"/>
              <w:spacing w:before="33" w:line="290" w:lineRule="exact"/>
              <w:ind w:left="164"/>
              <w:rPr>
                <w:sz w:val="24"/>
              </w:rPr>
            </w:pPr>
            <w:r>
              <w:rPr>
                <w:sz w:val="24"/>
              </w:rPr>
              <w:t>As outlined above, the life of the Office was extended by 12 months during 2017-</w:t>
            </w:r>
          </w:p>
          <w:p w:rsidR="00A1463E" w:rsidRDefault="00F52429">
            <w:pPr>
              <w:pStyle w:val="TableParagraph"/>
              <w:spacing w:line="288" w:lineRule="exact"/>
              <w:ind w:left="164"/>
              <w:rPr>
                <w:sz w:val="24"/>
              </w:rPr>
            </w:pPr>
            <w:r>
              <w:rPr>
                <w:sz w:val="24"/>
              </w:rPr>
              <w:t>18. As a result, not all cash balances were expended as forecast. A component was</w:t>
            </w:r>
          </w:p>
          <w:p w:rsidR="00A1463E" w:rsidRDefault="00F52429">
            <w:pPr>
              <w:pStyle w:val="TableParagraph"/>
              <w:spacing w:line="288" w:lineRule="exact"/>
              <w:ind w:left="164"/>
              <w:rPr>
                <w:sz w:val="24"/>
              </w:rPr>
            </w:pPr>
            <w:r>
              <w:rPr>
                <w:sz w:val="24"/>
              </w:rPr>
              <w:t>retained to fund the Office in 2018-19.</w:t>
            </w:r>
          </w:p>
        </w:tc>
      </w:tr>
      <w:tr w:rsidR="00C678CB" w:rsidTr="00B30C9E">
        <w:trPr>
          <w:trHeight w:val="920"/>
        </w:trPr>
        <w:tc>
          <w:tcPr>
            <w:tcW w:w="2945" w:type="dxa"/>
          </w:tcPr>
          <w:p w:rsidR="00C678CB" w:rsidRDefault="00C678CB">
            <w:pPr>
              <w:pStyle w:val="TableParagraph"/>
              <w:spacing w:before="182" w:line="235" w:lineRule="auto"/>
              <w:ind w:left="7"/>
              <w:rPr>
                <w:sz w:val="24"/>
              </w:rPr>
            </w:pPr>
            <w:r>
              <w:rPr>
                <w:sz w:val="24"/>
              </w:rPr>
              <w:t>Approved salary expense level</w:t>
            </w:r>
          </w:p>
        </w:tc>
        <w:tc>
          <w:tcPr>
            <w:tcW w:w="1568" w:type="dxa"/>
          </w:tcPr>
          <w:p w:rsidR="00C678CB" w:rsidRDefault="00C678CB" w:rsidP="00C678CB">
            <w:pPr>
              <w:pStyle w:val="TableParagraph"/>
              <w:ind w:left="360" w:right="139"/>
              <w:rPr>
                <w:sz w:val="24"/>
              </w:rPr>
            </w:pPr>
            <w:r>
              <w:rPr>
                <w:sz w:val="24"/>
              </w:rPr>
              <w:t>6,353</w:t>
            </w:r>
          </w:p>
        </w:tc>
        <w:tc>
          <w:tcPr>
            <w:tcW w:w="1417" w:type="dxa"/>
            <w:shd w:val="clear" w:color="auto" w:fill="auto"/>
          </w:tcPr>
          <w:p w:rsidR="00C678CB" w:rsidRDefault="00C678CB" w:rsidP="00C678CB">
            <w:pPr>
              <w:pStyle w:val="TableParagraph"/>
              <w:ind w:left="207" w:right="334"/>
              <w:rPr>
                <w:sz w:val="24"/>
              </w:rPr>
            </w:pPr>
            <w:r>
              <w:rPr>
                <w:sz w:val="24"/>
              </w:rPr>
              <w:t>4,085</w:t>
            </w:r>
          </w:p>
        </w:tc>
        <w:tc>
          <w:tcPr>
            <w:tcW w:w="1250" w:type="dxa"/>
          </w:tcPr>
          <w:p w:rsidR="00C678CB" w:rsidRDefault="00C678CB" w:rsidP="00C678CB">
            <w:pPr>
              <w:pStyle w:val="TableParagraph"/>
              <w:ind w:left="313" w:right="120"/>
              <w:rPr>
                <w:sz w:val="24"/>
              </w:rPr>
            </w:pPr>
          </w:p>
        </w:tc>
        <w:tc>
          <w:tcPr>
            <w:tcW w:w="8296" w:type="dxa"/>
          </w:tcPr>
          <w:p w:rsidR="00C678CB" w:rsidRDefault="00C678CB">
            <w:pPr>
              <w:pStyle w:val="TableParagraph"/>
              <w:spacing w:before="33" w:line="290" w:lineRule="exact"/>
              <w:ind w:left="164"/>
              <w:rPr>
                <w:sz w:val="24"/>
              </w:rPr>
            </w:pPr>
            <w:r>
              <w:rPr>
                <w:sz w:val="24"/>
              </w:rPr>
              <w:t>The</w:t>
            </w:r>
            <w:r>
              <w:rPr>
                <w:spacing w:val="-6"/>
                <w:sz w:val="24"/>
              </w:rPr>
              <w:t xml:space="preserve"> </w:t>
            </w:r>
            <w:r>
              <w:rPr>
                <w:sz w:val="24"/>
              </w:rPr>
              <w:t>actual</w:t>
            </w:r>
            <w:r>
              <w:rPr>
                <w:spacing w:val="-6"/>
                <w:sz w:val="24"/>
              </w:rPr>
              <w:t xml:space="preserve"> </w:t>
            </w:r>
            <w:r>
              <w:rPr>
                <w:sz w:val="24"/>
              </w:rPr>
              <w:t>salary</w:t>
            </w:r>
            <w:r>
              <w:rPr>
                <w:spacing w:val="-5"/>
                <w:sz w:val="24"/>
              </w:rPr>
              <w:t xml:space="preserve"> </w:t>
            </w:r>
            <w:r>
              <w:rPr>
                <w:sz w:val="24"/>
              </w:rPr>
              <w:t>expense</w:t>
            </w:r>
            <w:r>
              <w:rPr>
                <w:spacing w:val="-6"/>
                <w:sz w:val="24"/>
              </w:rPr>
              <w:t xml:space="preserve"> </w:t>
            </w:r>
            <w:r>
              <w:rPr>
                <w:sz w:val="24"/>
              </w:rPr>
              <w:t>was</w:t>
            </w:r>
            <w:r>
              <w:rPr>
                <w:spacing w:val="-6"/>
                <w:sz w:val="24"/>
              </w:rPr>
              <w:t xml:space="preserve"> </w:t>
            </w:r>
            <w:r>
              <w:rPr>
                <w:sz w:val="24"/>
              </w:rPr>
              <w:t>below</w:t>
            </w:r>
            <w:r>
              <w:rPr>
                <w:spacing w:val="-5"/>
                <w:sz w:val="24"/>
              </w:rPr>
              <w:t xml:space="preserve"> </w:t>
            </w:r>
            <w:r>
              <w:rPr>
                <w:sz w:val="24"/>
              </w:rPr>
              <w:t>the</w:t>
            </w:r>
            <w:r>
              <w:rPr>
                <w:spacing w:val="-5"/>
                <w:sz w:val="24"/>
              </w:rPr>
              <w:t xml:space="preserve"> </w:t>
            </w:r>
            <w:r>
              <w:rPr>
                <w:sz w:val="24"/>
              </w:rPr>
              <w:t>estimate</w:t>
            </w:r>
            <w:r>
              <w:rPr>
                <w:spacing w:val="-5"/>
                <w:sz w:val="24"/>
              </w:rPr>
              <w:t xml:space="preserve"> </w:t>
            </w:r>
            <w:r>
              <w:rPr>
                <w:sz w:val="24"/>
              </w:rPr>
              <w:t>largely</w:t>
            </w:r>
            <w:r>
              <w:rPr>
                <w:spacing w:val="-5"/>
                <w:sz w:val="24"/>
              </w:rPr>
              <w:t xml:space="preserve"> </w:t>
            </w:r>
            <w:r>
              <w:rPr>
                <w:sz w:val="24"/>
              </w:rPr>
              <w:t>due</w:t>
            </w:r>
            <w:r>
              <w:rPr>
                <w:spacing w:val="-6"/>
                <w:sz w:val="24"/>
              </w:rPr>
              <w:t xml:space="preserve"> </w:t>
            </w:r>
            <w:r>
              <w:rPr>
                <w:sz w:val="24"/>
              </w:rPr>
              <w:t>to</w:t>
            </w:r>
            <w:r>
              <w:rPr>
                <w:spacing w:val="-6"/>
                <w:sz w:val="24"/>
              </w:rPr>
              <w:t xml:space="preserve"> </w:t>
            </w:r>
            <w:r>
              <w:rPr>
                <w:sz w:val="24"/>
              </w:rPr>
              <w:t>the</w:t>
            </w:r>
            <w:r>
              <w:rPr>
                <w:spacing w:val="-5"/>
                <w:sz w:val="24"/>
              </w:rPr>
              <w:t xml:space="preserve"> </w:t>
            </w:r>
            <w:proofErr w:type="spellStart"/>
            <w:r>
              <w:rPr>
                <w:sz w:val="24"/>
              </w:rPr>
              <w:t>capitalisation</w:t>
            </w:r>
            <w:proofErr w:type="spellEnd"/>
            <w:r>
              <w:rPr>
                <w:sz w:val="24"/>
              </w:rPr>
              <w:t xml:space="preserve"> of salary costs </w:t>
            </w:r>
            <w:r>
              <w:rPr>
                <w:spacing w:val="-3"/>
                <w:sz w:val="24"/>
              </w:rPr>
              <w:t xml:space="preserve">for </w:t>
            </w:r>
            <w:r>
              <w:rPr>
                <w:sz w:val="24"/>
              </w:rPr>
              <w:t xml:space="preserve">the </w:t>
            </w:r>
            <w:proofErr w:type="spellStart"/>
            <w:r>
              <w:rPr>
                <w:spacing w:val="-3"/>
                <w:sz w:val="24"/>
              </w:rPr>
              <w:t>MyWA</w:t>
            </w:r>
            <w:proofErr w:type="spellEnd"/>
            <w:r>
              <w:rPr>
                <w:spacing w:val="-3"/>
                <w:sz w:val="24"/>
              </w:rPr>
              <w:t xml:space="preserve"> </w:t>
            </w:r>
            <w:r>
              <w:rPr>
                <w:sz w:val="24"/>
              </w:rPr>
              <w:t>website and employee positions not filled as a result of the extension of the Office function in the 2018-19 financial</w:t>
            </w:r>
            <w:r>
              <w:rPr>
                <w:spacing w:val="-17"/>
                <w:sz w:val="24"/>
              </w:rPr>
              <w:t xml:space="preserve"> </w:t>
            </w:r>
            <w:r>
              <w:rPr>
                <w:spacing w:val="-6"/>
                <w:sz w:val="24"/>
              </w:rPr>
              <w:t>year.</w:t>
            </w:r>
          </w:p>
        </w:tc>
      </w:tr>
      <w:tr w:rsidR="00C678CB" w:rsidTr="00B30C9E">
        <w:trPr>
          <w:trHeight w:val="920"/>
        </w:trPr>
        <w:tc>
          <w:tcPr>
            <w:tcW w:w="2945" w:type="dxa"/>
          </w:tcPr>
          <w:p w:rsidR="00C678CB" w:rsidRDefault="00C678CB" w:rsidP="00C678CB">
            <w:pPr>
              <w:pStyle w:val="TableParagraph"/>
              <w:spacing w:before="182" w:line="235" w:lineRule="auto"/>
              <w:rPr>
                <w:sz w:val="24"/>
              </w:rPr>
            </w:pPr>
            <w:r>
              <w:rPr>
                <w:sz w:val="24"/>
              </w:rPr>
              <w:t>Working Cash limit</w:t>
            </w:r>
          </w:p>
        </w:tc>
        <w:tc>
          <w:tcPr>
            <w:tcW w:w="1568" w:type="dxa"/>
          </w:tcPr>
          <w:p w:rsidR="00C678CB" w:rsidRDefault="00C678CB" w:rsidP="00C678CB">
            <w:pPr>
              <w:pStyle w:val="TableParagraph"/>
              <w:ind w:left="360" w:right="139"/>
              <w:rPr>
                <w:sz w:val="24"/>
              </w:rPr>
            </w:pPr>
            <w:r>
              <w:rPr>
                <w:sz w:val="24"/>
              </w:rPr>
              <w:t>700</w:t>
            </w:r>
          </w:p>
        </w:tc>
        <w:tc>
          <w:tcPr>
            <w:tcW w:w="1417" w:type="dxa"/>
            <w:shd w:val="clear" w:color="auto" w:fill="auto"/>
          </w:tcPr>
          <w:p w:rsidR="00C678CB" w:rsidRDefault="00C678CB" w:rsidP="00C678CB">
            <w:pPr>
              <w:pStyle w:val="TableParagraph"/>
              <w:ind w:left="207" w:right="334"/>
              <w:rPr>
                <w:sz w:val="24"/>
              </w:rPr>
            </w:pPr>
            <w:r>
              <w:rPr>
                <w:sz w:val="24"/>
              </w:rPr>
              <w:t>401</w:t>
            </w:r>
          </w:p>
        </w:tc>
        <w:tc>
          <w:tcPr>
            <w:tcW w:w="1250" w:type="dxa"/>
          </w:tcPr>
          <w:p w:rsidR="00C678CB" w:rsidRDefault="00C678CB" w:rsidP="00C678CB">
            <w:pPr>
              <w:pStyle w:val="TableParagraph"/>
              <w:ind w:left="313" w:right="120"/>
              <w:rPr>
                <w:sz w:val="24"/>
              </w:rPr>
            </w:pPr>
          </w:p>
        </w:tc>
        <w:tc>
          <w:tcPr>
            <w:tcW w:w="8296" w:type="dxa"/>
          </w:tcPr>
          <w:p w:rsidR="00C678CB" w:rsidRDefault="00C678CB">
            <w:pPr>
              <w:pStyle w:val="TableParagraph"/>
              <w:spacing w:before="33" w:line="290" w:lineRule="exact"/>
              <w:ind w:left="164"/>
              <w:rPr>
                <w:sz w:val="24"/>
              </w:rPr>
            </w:pPr>
            <w:r>
              <w:rPr>
                <w:sz w:val="24"/>
              </w:rPr>
              <w:t>The working cash limit is a factor of the expenditure incurred during the year. The reduced actual figure reflects the lower than budget expenditure during the year.</w:t>
            </w:r>
          </w:p>
        </w:tc>
      </w:tr>
    </w:tbl>
    <w:p w:rsidR="00A1463E" w:rsidRDefault="00F52429" w:rsidP="004E3C25">
      <w:pPr>
        <w:spacing w:before="1"/>
        <w:ind w:left="567"/>
        <w:rPr>
          <w:sz w:val="20"/>
        </w:rPr>
      </w:pPr>
      <w:r>
        <w:rPr>
          <w:sz w:val="20"/>
        </w:rPr>
        <w:t>(a) Further explanations are contained in Note 29 of the financial statements.</w:t>
      </w:r>
    </w:p>
    <w:p w:rsidR="00A1463E" w:rsidRDefault="00A1463E">
      <w:pPr>
        <w:rPr>
          <w:sz w:val="20"/>
        </w:rPr>
        <w:sectPr w:rsidR="00A1463E">
          <w:pgSz w:w="16840" w:h="11910" w:orient="landscape"/>
          <w:pgMar w:top="540" w:right="0" w:bottom="360" w:left="0" w:header="229" w:footer="145" w:gutter="0"/>
          <w:cols w:space="720"/>
        </w:sectPr>
      </w:pPr>
    </w:p>
    <w:p w:rsidR="00A1463E" w:rsidRDefault="00A1463E">
      <w:pPr>
        <w:pStyle w:val="BodyText"/>
        <w:spacing w:before="9"/>
        <w:rPr>
          <w:sz w:val="16"/>
        </w:rPr>
      </w:pPr>
    </w:p>
    <w:p w:rsidR="00A1463E" w:rsidRDefault="00C678CB" w:rsidP="00C678CB">
      <w:pPr>
        <w:pStyle w:val="Heading2"/>
      </w:pPr>
      <w:bookmarkStart w:id="20" w:name="summary_of_non-financial_performance_for"/>
      <w:bookmarkStart w:id="21" w:name="_bookmark18"/>
      <w:bookmarkEnd w:id="20"/>
      <w:bookmarkEnd w:id="21"/>
      <w:r>
        <w:t>Outcome</w:t>
      </w:r>
    </w:p>
    <w:tbl>
      <w:tblPr>
        <w:tblStyle w:val="TableGrid"/>
        <w:tblW w:w="0" w:type="auto"/>
        <w:tblInd w:w="704" w:type="dxa"/>
        <w:tblLook w:val="04A0" w:firstRow="1" w:lastRow="0" w:firstColumn="1" w:lastColumn="0" w:noHBand="0" w:noVBand="1"/>
        <w:tblCaption w:val="Key effectiveness indicator table"/>
        <w:tblDescription w:val="table showing 75% of ICT policies endorsed by Governance groups for development by the OGCIO that have been developed and approved by Government"/>
      </w:tblPr>
      <w:tblGrid>
        <w:gridCol w:w="11907"/>
        <w:gridCol w:w="1418"/>
        <w:gridCol w:w="1134"/>
        <w:gridCol w:w="992"/>
      </w:tblGrid>
      <w:tr w:rsidR="00C678CB" w:rsidTr="00B30C9E">
        <w:trPr>
          <w:tblHeader/>
        </w:trPr>
        <w:tc>
          <w:tcPr>
            <w:tcW w:w="11907" w:type="dxa"/>
          </w:tcPr>
          <w:p w:rsidR="00C678CB" w:rsidRDefault="00C678CB" w:rsidP="00E061CF">
            <w:pPr>
              <w:pStyle w:val="TableParagraph"/>
              <w:spacing w:before="15"/>
              <w:rPr>
                <w:sz w:val="20"/>
              </w:rPr>
            </w:pPr>
            <w:r w:rsidRPr="00E061CF">
              <w:rPr>
                <w:b/>
                <w:sz w:val="24"/>
              </w:rPr>
              <w:t>Key effectiveness indicator</w:t>
            </w:r>
          </w:p>
        </w:tc>
        <w:tc>
          <w:tcPr>
            <w:tcW w:w="1418" w:type="dxa"/>
          </w:tcPr>
          <w:p w:rsidR="00C678CB" w:rsidRPr="00E061CF" w:rsidRDefault="00C678CB" w:rsidP="00E061CF">
            <w:pPr>
              <w:pStyle w:val="TableParagraph"/>
              <w:spacing w:before="15"/>
              <w:rPr>
                <w:b/>
                <w:sz w:val="24"/>
              </w:rPr>
            </w:pPr>
            <w:r w:rsidRPr="00E061CF">
              <w:rPr>
                <w:b/>
                <w:sz w:val="24"/>
              </w:rPr>
              <w:t>Unit</w:t>
            </w:r>
          </w:p>
        </w:tc>
        <w:tc>
          <w:tcPr>
            <w:tcW w:w="1134" w:type="dxa"/>
          </w:tcPr>
          <w:p w:rsidR="00C678CB" w:rsidRPr="00E061CF" w:rsidRDefault="00C678CB" w:rsidP="00E061CF">
            <w:pPr>
              <w:pStyle w:val="TableParagraph"/>
              <w:spacing w:before="15"/>
              <w:rPr>
                <w:b/>
                <w:sz w:val="24"/>
              </w:rPr>
            </w:pPr>
            <w:r w:rsidRPr="00E061CF">
              <w:rPr>
                <w:b/>
                <w:sz w:val="24"/>
              </w:rPr>
              <w:t>Target</w:t>
            </w:r>
          </w:p>
        </w:tc>
        <w:tc>
          <w:tcPr>
            <w:tcW w:w="992" w:type="dxa"/>
          </w:tcPr>
          <w:p w:rsidR="00C678CB" w:rsidRPr="00E061CF" w:rsidRDefault="00C678CB" w:rsidP="00E061CF">
            <w:pPr>
              <w:pStyle w:val="TableParagraph"/>
              <w:spacing w:before="15"/>
              <w:rPr>
                <w:b/>
                <w:sz w:val="24"/>
              </w:rPr>
            </w:pPr>
            <w:r w:rsidRPr="00E061CF">
              <w:rPr>
                <w:b/>
                <w:sz w:val="24"/>
              </w:rPr>
              <w:t>Actual</w:t>
            </w:r>
          </w:p>
        </w:tc>
      </w:tr>
      <w:tr w:rsidR="00C678CB" w:rsidTr="00B30C9E">
        <w:tc>
          <w:tcPr>
            <w:tcW w:w="11907" w:type="dxa"/>
          </w:tcPr>
          <w:p w:rsidR="00C678CB" w:rsidRPr="00E061CF" w:rsidRDefault="00E061CF" w:rsidP="00E061CF">
            <w:pPr>
              <w:pStyle w:val="TableParagraph"/>
              <w:spacing w:before="45" w:line="288" w:lineRule="exact"/>
              <w:ind w:right="430"/>
              <w:rPr>
                <w:sz w:val="24"/>
              </w:rPr>
            </w:pPr>
            <w:r w:rsidRPr="00E061CF">
              <w:rPr>
                <w:sz w:val="24"/>
              </w:rPr>
              <w:t>Percentage of ICT policies endorsed by Governance groups for development by OGCIO that have been developed and approved by Government</w:t>
            </w:r>
          </w:p>
        </w:tc>
        <w:tc>
          <w:tcPr>
            <w:tcW w:w="1418" w:type="dxa"/>
          </w:tcPr>
          <w:p w:rsidR="00C678CB" w:rsidRPr="00E061CF" w:rsidRDefault="00E061CF" w:rsidP="00E061CF">
            <w:pPr>
              <w:pStyle w:val="TableParagraph"/>
              <w:spacing w:before="45" w:line="288" w:lineRule="exact"/>
              <w:ind w:right="430"/>
              <w:rPr>
                <w:sz w:val="24"/>
              </w:rPr>
            </w:pPr>
            <w:r w:rsidRPr="00E061CF">
              <w:rPr>
                <w:sz w:val="24"/>
              </w:rPr>
              <w:t>%</w:t>
            </w:r>
          </w:p>
        </w:tc>
        <w:tc>
          <w:tcPr>
            <w:tcW w:w="1134" w:type="dxa"/>
          </w:tcPr>
          <w:p w:rsidR="00C678CB" w:rsidRPr="00E061CF" w:rsidRDefault="00E061CF" w:rsidP="00E061CF">
            <w:pPr>
              <w:pStyle w:val="TableParagraph"/>
              <w:spacing w:before="45" w:line="288" w:lineRule="exact"/>
              <w:ind w:right="430"/>
              <w:rPr>
                <w:sz w:val="24"/>
              </w:rPr>
            </w:pPr>
            <w:r w:rsidRPr="00E061CF">
              <w:rPr>
                <w:sz w:val="24"/>
              </w:rPr>
              <w:t>75</w:t>
            </w:r>
          </w:p>
        </w:tc>
        <w:tc>
          <w:tcPr>
            <w:tcW w:w="992" w:type="dxa"/>
          </w:tcPr>
          <w:p w:rsidR="00C678CB" w:rsidRPr="00E061CF" w:rsidRDefault="00E061CF" w:rsidP="00E061CF">
            <w:pPr>
              <w:pStyle w:val="TableParagraph"/>
              <w:spacing w:before="45" w:line="288" w:lineRule="exact"/>
              <w:ind w:right="430"/>
              <w:rPr>
                <w:sz w:val="24"/>
              </w:rPr>
            </w:pPr>
            <w:r w:rsidRPr="00E061CF">
              <w:rPr>
                <w:sz w:val="24"/>
              </w:rPr>
              <w:t>75</w:t>
            </w:r>
          </w:p>
        </w:tc>
      </w:tr>
    </w:tbl>
    <w:p w:rsidR="00E061CF" w:rsidRDefault="00E061CF" w:rsidP="00E061CF">
      <w:pPr>
        <w:pStyle w:val="Heading2"/>
      </w:pPr>
    </w:p>
    <w:p w:rsidR="00A1463E" w:rsidRDefault="00E061CF" w:rsidP="00E061CF">
      <w:pPr>
        <w:pStyle w:val="Heading2"/>
      </w:pPr>
      <w:r w:rsidRPr="00E061CF">
        <w:t>Service</w:t>
      </w:r>
    </w:p>
    <w:tbl>
      <w:tblPr>
        <w:tblStyle w:val="TableGrid"/>
        <w:tblW w:w="0" w:type="auto"/>
        <w:tblInd w:w="680" w:type="dxa"/>
        <w:tblLook w:val="04A0" w:firstRow="1" w:lastRow="0" w:firstColumn="1" w:lastColumn="0" w:noHBand="0" w:noVBand="1"/>
        <w:tblCaption w:val="Service table"/>
        <w:tblDescription w:val="table showing Average cost of Policy Development and Cost of GovNext and myWA project implementation as a percentage cost of the overall government spend on related services&#10;"/>
      </w:tblPr>
      <w:tblGrid>
        <w:gridCol w:w="11733"/>
        <w:gridCol w:w="1408"/>
        <w:gridCol w:w="1336"/>
        <w:gridCol w:w="1281"/>
      </w:tblGrid>
      <w:tr w:rsidR="00E061CF" w:rsidTr="00B30C9E">
        <w:trPr>
          <w:tblHeader/>
        </w:trPr>
        <w:tc>
          <w:tcPr>
            <w:tcW w:w="11733" w:type="dxa"/>
          </w:tcPr>
          <w:p w:rsidR="00E061CF" w:rsidRPr="00E061CF" w:rsidRDefault="00E061CF" w:rsidP="00E061CF">
            <w:pPr>
              <w:pStyle w:val="TableParagraph"/>
              <w:spacing w:before="15"/>
              <w:rPr>
                <w:b/>
                <w:sz w:val="24"/>
              </w:rPr>
            </w:pPr>
            <w:r>
              <w:rPr>
                <w:b/>
                <w:sz w:val="24"/>
              </w:rPr>
              <w:t>Key efficiency indicator</w:t>
            </w:r>
          </w:p>
        </w:tc>
        <w:tc>
          <w:tcPr>
            <w:tcW w:w="1408" w:type="dxa"/>
          </w:tcPr>
          <w:p w:rsidR="00E061CF" w:rsidRDefault="00E061CF" w:rsidP="00E061CF">
            <w:pPr>
              <w:pStyle w:val="Heading2"/>
              <w:ind w:left="0"/>
              <w:jc w:val="center"/>
            </w:pPr>
            <w:r w:rsidRPr="00E061CF">
              <w:rPr>
                <w:b/>
                <w:sz w:val="24"/>
              </w:rPr>
              <w:t>Unit</w:t>
            </w:r>
          </w:p>
        </w:tc>
        <w:tc>
          <w:tcPr>
            <w:tcW w:w="1336" w:type="dxa"/>
          </w:tcPr>
          <w:p w:rsidR="00E061CF" w:rsidRDefault="00E061CF" w:rsidP="00E061CF">
            <w:pPr>
              <w:pStyle w:val="Heading2"/>
              <w:ind w:left="0"/>
              <w:jc w:val="center"/>
            </w:pPr>
            <w:r w:rsidRPr="00E061CF">
              <w:rPr>
                <w:b/>
                <w:sz w:val="24"/>
              </w:rPr>
              <w:t>Target</w:t>
            </w:r>
          </w:p>
        </w:tc>
        <w:tc>
          <w:tcPr>
            <w:tcW w:w="1281" w:type="dxa"/>
          </w:tcPr>
          <w:p w:rsidR="00E061CF" w:rsidRDefault="00E061CF" w:rsidP="00E061CF">
            <w:pPr>
              <w:pStyle w:val="Heading2"/>
              <w:ind w:left="0"/>
              <w:jc w:val="center"/>
            </w:pPr>
            <w:r w:rsidRPr="00E061CF">
              <w:rPr>
                <w:b/>
                <w:sz w:val="24"/>
              </w:rPr>
              <w:t>Actual</w:t>
            </w:r>
          </w:p>
        </w:tc>
      </w:tr>
      <w:tr w:rsidR="00E061CF" w:rsidRPr="00E061CF" w:rsidTr="00B30C9E">
        <w:tc>
          <w:tcPr>
            <w:tcW w:w="11733" w:type="dxa"/>
          </w:tcPr>
          <w:p w:rsidR="00E061CF" w:rsidRDefault="00E061CF" w:rsidP="00E061CF">
            <w:pPr>
              <w:pStyle w:val="TableParagraph"/>
              <w:spacing w:before="54"/>
              <w:rPr>
                <w:sz w:val="24"/>
              </w:rPr>
            </w:pPr>
            <w:r>
              <w:rPr>
                <w:sz w:val="24"/>
              </w:rPr>
              <w:t>Average cost of Policy Development</w:t>
            </w:r>
          </w:p>
        </w:tc>
        <w:tc>
          <w:tcPr>
            <w:tcW w:w="1408" w:type="dxa"/>
          </w:tcPr>
          <w:p w:rsidR="00E061CF" w:rsidRPr="00E061CF" w:rsidRDefault="00E061CF" w:rsidP="00E061CF">
            <w:pPr>
              <w:pStyle w:val="TableParagraph"/>
              <w:spacing w:before="54"/>
              <w:ind w:left="118" w:right="18"/>
              <w:jc w:val="center"/>
              <w:rPr>
                <w:sz w:val="24"/>
              </w:rPr>
            </w:pPr>
            <w:r>
              <w:rPr>
                <w:sz w:val="24"/>
              </w:rPr>
              <w:t>$’000</w:t>
            </w:r>
          </w:p>
        </w:tc>
        <w:tc>
          <w:tcPr>
            <w:tcW w:w="1336" w:type="dxa"/>
          </w:tcPr>
          <w:p w:rsidR="00E061CF" w:rsidRPr="00E061CF" w:rsidRDefault="00E061CF" w:rsidP="00E061CF">
            <w:pPr>
              <w:pStyle w:val="TableParagraph"/>
              <w:spacing w:before="54"/>
              <w:ind w:left="386" w:right="369"/>
              <w:jc w:val="center"/>
              <w:rPr>
                <w:sz w:val="24"/>
              </w:rPr>
            </w:pPr>
            <w:r w:rsidRPr="00E061CF">
              <w:rPr>
                <w:sz w:val="24"/>
              </w:rPr>
              <w:t>203</w:t>
            </w:r>
          </w:p>
        </w:tc>
        <w:tc>
          <w:tcPr>
            <w:tcW w:w="1281" w:type="dxa"/>
          </w:tcPr>
          <w:p w:rsidR="00E061CF" w:rsidRPr="00E061CF" w:rsidRDefault="00E061CF" w:rsidP="00E061CF">
            <w:pPr>
              <w:pStyle w:val="TableParagraph"/>
              <w:spacing w:before="54"/>
              <w:ind w:right="369"/>
              <w:jc w:val="center"/>
              <w:rPr>
                <w:sz w:val="24"/>
              </w:rPr>
            </w:pPr>
            <w:r w:rsidRPr="00E061CF">
              <w:rPr>
                <w:sz w:val="24"/>
              </w:rPr>
              <w:t>225 (a)</w:t>
            </w:r>
          </w:p>
        </w:tc>
      </w:tr>
      <w:tr w:rsidR="00E061CF" w:rsidTr="00B30C9E">
        <w:tc>
          <w:tcPr>
            <w:tcW w:w="11733" w:type="dxa"/>
          </w:tcPr>
          <w:p w:rsidR="00E061CF" w:rsidRDefault="00E061CF" w:rsidP="00E061CF">
            <w:pPr>
              <w:pStyle w:val="Heading2"/>
              <w:ind w:left="0"/>
            </w:pPr>
            <w:r>
              <w:rPr>
                <w:sz w:val="24"/>
              </w:rPr>
              <w:t xml:space="preserve">Cost of </w:t>
            </w:r>
            <w:proofErr w:type="spellStart"/>
            <w:r>
              <w:rPr>
                <w:sz w:val="24"/>
              </w:rPr>
              <w:t>GovNext</w:t>
            </w:r>
            <w:proofErr w:type="spellEnd"/>
            <w:r>
              <w:rPr>
                <w:sz w:val="24"/>
              </w:rPr>
              <w:t xml:space="preserve"> and </w:t>
            </w:r>
            <w:proofErr w:type="spellStart"/>
            <w:r>
              <w:rPr>
                <w:sz w:val="24"/>
              </w:rPr>
              <w:t>myWA</w:t>
            </w:r>
            <w:proofErr w:type="spellEnd"/>
            <w:r>
              <w:rPr>
                <w:sz w:val="24"/>
              </w:rPr>
              <w:t xml:space="preserve"> project implementation as a percentage cost of the overall government spend on related services</w:t>
            </w:r>
          </w:p>
        </w:tc>
        <w:tc>
          <w:tcPr>
            <w:tcW w:w="1408" w:type="dxa"/>
          </w:tcPr>
          <w:p w:rsidR="00E061CF" w:rsidRDefault="00E061CF" w:rsidP="00E061CF">
            <w:pPr>
              <w:pStyle w:val="Heading2"/>
              <w:ind w:left="0"/>
              <w:jc w:val="center"/>
            </w:pPr>
            <w:r>
              <w:rPr>
                <w:sz w:val="24"/>
              </w:rPr>
              <w:t>%</w:t>
            </w:r>
          </w:p>
        </w:tc>
        <w:tc>
          <w:tcPr>
            <w:tcW w:w="1336" w:type="dxa"/>
          </w:tcPr>
          <w:p w:rsidR="00E061CF" w:rsidRDefault="00E061CF" w:rsidP="00E061CF">
            <w:pPr>
              <w:pStyle w:val="Heading2"/>
              <w:ind w:left="0"/>
              <w:jc w:val="center"/>
            </w:pPr>
            <w:r>
              <w:rPr>
                <w:sz w:val="24"/>
              </w:rPr>
              <w:t>5.2</w:t>
            </w:r>
          </w:p>
        </w:tc>
        <w:tc>
          <w:tcPr>
            <w:tcW w:w="1281" w:type="dxa"/>
          </w:tcPr>
          <w:p w:rsidR="00E061CF" w:rsidRDefault="00E061CF" w:rsidP="00E061CF">
            <w:pPr>
              <w:pStyle w:val="Heading2"/>
              <w:ind w:left="0"/>
              <w:jc w:val="center"/>
            </w:pPr>
            <w:r>
              <w:rPr>
                <w:position w:val="-7"/>
                <w:sz w:val="24"/>
              </w:rPr>
              <w:t>4.9</w:t>
            </w:r>
            <w:r>
              <w:rPr>
                <w:sz w:val="14"/>
              </w:rPr>
              <w:t>(b)</w:t>
            </w:r>
          </w:p>
        </w:tc>
      </w:tr>
    </w:tbl>
    <w:p w:rsidR="00A1463E" w:rsidRDefault="00A1463E">
      <w:pPr>
        <w:pStyle w:val="BodyText"/>
        <w:spacing w:before="11"/>
        <w:rPr>
          <w:sz w:val="16"/>
        </w:rPr>
      </w:pPr>
    </w:p>
    <w:p w:rsidR="00A1463E" w:rsidRDefault="00F52429" w:rsidP="004151B8">
      <w:pPr>
        <w:pStyle w:val="ListParagraph"/>
        <w:numPr>
          <w:ilvl w:val="0"/>
          <w:numId w:val="17"/>
        </w:numPr>
        <w:tabs>
          <w:tab w:val="left" w:pos="943"/>
        </w:tabs>
        <w:spacing w:before="63" w:line="235" w:lineRule="auto"/>
        <w:ind w:right="892" w:firstLine="0"/>
        <w:rPr>
          <w:sz w:val="20"/>
        </w:rPr>
      </w:pPr>
      <w:r>
        <w:rPr>
          <w:sz w:val="20"/>
        </w:rPr>
        <w:t>The</w:t>
      </w:r>
      <w:r>
        <w:rPr>
          <w:spacing w:val="-5"/>
          <w:sz w:val="20"/>
        </w:rPr>
        <w:t xml:space="preserve"> </w:t>
      </w:r>
      <w:r>
        <w:rPr>
          <w:sz w:val="20"/>
        </w:rPr>
        <w:t>higher</w:t>
      </w:r>
      <w:r>
        <w:rPr>
          <w:spacing w:val="-5"/>
          <w:sz w:val="20"/>
        </w:rPr>
        <w:t xml:space="preserve"> </w:t>
      </w:r>
      <w:r>
        <w:rPr>
          <w:sz w:val="20"/>
        </w:rPr>
        <w:t>average</w:t>
      </w:r>
      <w:r>
        <w:rPr>
          <w:spacing w:val="-5"/>
          <w:sz w:val="20"/>
        </w:rPr>
        <w:t xml:space="preserve"> </w:t>
      </w:r>
      <w:r>
        <w:rPr>
          <w:sz w:val="20"/>
        </w:rPr>
        <w:t>cost</w:t>
      </w:r>
      <w:r>
        <w:rPr>
          <w:spacing w:val="-5"/>
          <w:sz w:val="20"/>
        </w:rPr>
        <w:t xml:space="preserve"> </w:t>
      </w:r>
      <w:r>
        <w:rPr>
          <w:sz w:val="20"/>
        </w:rPr>
        <w:t>reflects</w:t>
      </w:r>
      <w:r>
        <w:rPr>
          <w:spacing w:val="-5"/>
          <w:sz w:val="20"/>
        </w:rPr>
        <w:t xml:space="preserve"> </w:t>
      </w:r>
      <w:r>
        <w:rPr>
          <w:sz w:val="20"/>
        </w:rPr>
        <w:t>the</w:t>
      </w:r>
      <w:r>
        <w:rPr>
          <w:spacing w:val="-5"/>
          <w:sz w:val="20"/>
        </w:rPr>
        <w:t xml:space="preserve"> </w:t>
      </w:r>
      <w:r>
        <w:rPr>
          <w:sz w:val="20"/>
        </w:rPr>
        <w:t>fewer</w:t>
      </w:r>
      <w:r>
        <w:rPr>
          <w:spacing w:val="-5"/>
          <w:sz w:val="20"/>
        </w:rPr>
        <w:t xml:space="preserve"> </w:t>
      </w:r>
      <w:r>
        <w:rPr>
          <w:sz w:val="20"/>
        </w:rPr>
        <w:t>policies</w:t>
      </w:r>
      <w:r>
        <w:rPr>
          <w:spacing w:val="-5"/>
          <w:sz w:val="20"/>
        </w:rPr>
        <w:t xml:space="preserve"> </w:t>
      </w:r>
      <w:r>
        <w:rPr>
          <w:sz w:val="20"/>
        </w:rPr>
        <w:t>in</w:t>
      </w:r>
      <w:r>
        <w:rPr>
          <w:spacing w:val="-5"/>
          <w:sz w:val="20"/>
        </w:rPr>
        <w:t xml:space="preserve"> </w:t>
      </w:r>
      <w:r>
        <w:rPr>
          <w:sz w:val="20"/>
        </w:rPr>
        <w:t>total</w:t>
      </w:r>
      <w:r>
        <w:rPr>
          <w:spacing w:val="-5"/>
          <w:sz w:val="20"/>
        </w:rPr>
        <w:t xml:space="preserve"> </w:t>
      </w:r>
      <w:r>
        <w:rPr>
          <w:sz w:val="20"/>
        </w:rPr>
        <w:t>worked</w:t>
      </w:r>
      <w:r>
        <w:rPr>
          <w:spacing w:val="-5"/>
          <w:sz w:val="20"/>
        </w:rPr>
        <w:t xml:space="preserve"> </w:t>
      </w:r>
      <w:r>
        <w:rPr>
          <w:sz w:val="20"/>
        </w:rPr>
        <w:t>on</w:t>
      </w:r>
      <w:r>
        <w:rPr>
          <w:spacing w:val="-5"/>
          <w:sz w:val="20"/>
        </w:rPr>
        <w:t xml:space="preserve"> </w:t>
      </w:r>
      <w:r>
        <w:rPr>
          <w:sz w:val="20"/>
        </w:rPr>
        <w:t>(10)</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year</w:t>
      </w:r>
      <w:r>
        <w:rPr>
          <w:spacing w:val="-5"/>
          <w:sz w:val="20"/>
        </w:rPr>
        <w:t xml:space="preserve"> </w:t>
      </w:r>
      <w:r>
        <w:rPr>
          <w:sz w:val="20"/>
        </w:rPr>
        <w:t>when</w:t>
      </w:r>
      <w:r>
        <w:rPr>
          <w:spacing w:val="-5"/>
          <w:sz w:val="20"/>
        </w:rPr>
        <w:t xml:space="preserve"> </w:t>
      </w:r>
      <w:r>
        <w:rPr>
          <w:sz w:val="20"/>
        </w:rPr>
        <w:t>compared</w:t>
      </w:r>
      <w:r>
        <w:rPr>
          <w:spacing w:val="-5"/>
          <w:sz w:val="20"/>
        </w:rPr>
        <w:t xml:space="preserve"> </w:t>
      </w:r>
      <w:r>
        <w:rPr>
          <w:sz w:val="20"/>
        </w:rPr>
        <w:t>to</w:t>
      </w:r>
      <w:r>
        <w:rPr>
          <w:spacing w:val="-5"/>
          <w:sz w:val="20"/>
        </w:rPr>
        <w:t xml:space="preserve"> </w:t>
      </w:r>
      <w:r>
        <w:rPr>
          <w:sz w:val="20"/>
        </w:rPr>
        <w:t>target</w:t>
      </w:r>
      <w:r>
        <w:rPr>
          <w:spacing w:val="-5"/>
          <w:sz w:val="20"/>
        </w:rPr>
        <w:t xml:space="preserve"> </w:t>
      </w:r>
      <w:r>
        <w:rPr>
          <w:sz w:val="20"/>
        </w:rPr>
        <w:t>(12)</w:t>
      </w:r>
      <w:r>
        <w:rPr>
          <w:spacing w:val="-5"/>
          <w:sz w:val="20"/>
        </w:rPr>
        <w:t xml:space="preserve"> </w:t>
      </w:r>
      <w:r>
        <w:rPr>
          <w:sz w:val="20"/>
        </w:rPr>
        <w:t>and</w:t>
      </w:r>
      <w:r>
        <w:rPr>
          <w:spacing w:val="-5"/>
          <w:sz w:val="20"/>
        </w:rPr>
        <w:t xml:space="preserve"> </w:t>
      </w:r>
      <w:r>
        <w:rPr>
          <w:sz w:val="20"/>
        </w:rPr>
        <w:t>prior</w:t>
      </w:r>
      <w:r>
        <w:rPr>
          <w:spacing w:val="-5"/>
          <w:sz w:val="20"/>
        </w:rPr>
        <w:t xml:space="preserve"> </w:t>
      </w:r>
      <w:r>
        <w:rPr>
          <w:sz w:val="20"/>
        </w:rPr>
        <w:t>year</w:t>
      </w:r>
      <w:r>
        <w:rPr>
          <w:spacing w:val="-5"/>
          <w:sz w:val="20"/>
        </w:rPr>
        <w:t xml:space="preserve"> </w:t>
      </w:r>
      <w:r>
        <w:rPr>
          <w:sz w:val="20"/>
        </w:rPr>
        <w:t>actual</w:t>
      </w:r>
      <w:r>
        <w:rPr>
          <w:spacing w:val="-5"/>
          <w:sz w:val="20"/>
        </w:rPr>
        <w:t xml:space="preserve"> </w:t>
      </w:r>
      <w:r>
        <w:rPr>
          <w:sz w:val="20"/>
        </w:rPr>
        <w:t>(12).</w:t>
      </w:r>
      <w:r>
        <w:rPr>
          <w:spacing w:val="35"/>
          <w:sz w:val="20"/>
        </w:rPr>
        <w:t xml:space="preserve"> </w:t>
      </w:r>
      <w:r>
        <w:rPr>
          <w:spacing w:val="-4"/>
          <w:sz w:val="20"/>
        </w:rPr>
        <w:t>Two</w:t>
      </w:r>
      <w:r>
        <w:rPr>
          <w:spacing w:val="-5"/>
          <w:sz w:val="20"/>
        </w:rPr>
        <w:t xml:space="preserve"> </w:t>
      </w:r>
      <w:r>
        <w:rPr>
          <w:sz w:val="20"/>
        </w:rPr>
        <w:t>policies</w:t>
      </w:r>
      <w:r>
        <w:rPr>
          <w:spacing w:val="-5"/>
          <w:sz w:val="20"/>
        </w:rPr>
        <w:t xml:space="preserve"> </w:t>
      </w:r>
      <w:r>
        <w:rPr>
          <w:sz w:val="20"/>
        </w:rPr>
        <w:t>developed</w:t>
      </w:r>
      <w:r>
        <w:rPr>
          <w:spacing w:val="-5"/>
          <w:sz w:val="20"/>
        </w:rPr>
        <w:t xml:space="preserve"> </w:t>
      </w:r>
      <w:r>
        <w:rPr>
          <w:sz w:val="20"/>
        </w:rPr>
        <w:t>and</w:t>
      </w:r>
      <w:r>
        <w:rPr>
          <w:spacing w:val="-5"/>
          <w:sz w:val="20"/>
        </w:rPr>
        <w:t xml:space="preserve"> </w:t>
      </w:r>
      <w:r>
        <w:rPr>
          <w:sz w:val="20"/>
        </w:rPr>
        <w:t>approved required no further work during</w:t>
      </w:r>
      <w:r>
        <w:rPr>
          <w:spacing w:val="-5"/>
          <w:sz w:val="20"/>
        </w:rPr>
        <w:t xml:space="preserve"> </w:t>
      </w:r>
      <w:r>
        <w:rPr>
          <w:sz w:val="20"/>
        </w:rPr>
        <w:t>2017-18.</w:t>
      </w:r>
    </w:p>
    <w:p w:rsidR="00A1463E" w:rsidRPr="004E3C25" w:rsidRDefault="00F52429" w:rsidP="004E3C25">
      <w:pPr>
        <w:pStyle w:val="ListParagraph"/>
        <w:numPr>
          <w:ilvl w:val="0"/>
          <w:numId w:val="17"/>
        </w:numPr>
        <w:tabs>
          <w:tab w:val="left" w:pos="952"/>
        </w:tabs>
        <w:spacing w:before="172" w:line="235" w:lineRule="auto"/>
        <w:ind w:right="1503" w:firstLine="0"/>
        <w:rPr>
          <w:sz w:val="20"/>
        </w:rPr>
        <w:sectPr w:rsidR="00A1463E" w:rsidRPr="004E3C25">
          <w:pgSz w:w="16840" w:h="11910" w:orient="landscape"/>
          <w:pgMar w:top="540" w:right="0" w:bottom="360" w:left="0" w:header="229" w:footer="145" w:gutter="0"/>
          <w:cols w:space="720"/>
        </w:sectPr>
      </w:pPr>
      <w:r>
        <w:rPr>
          <w:sz w:val="20"/>
        </w:rPr>
        <w:t>The</w:t>
      </w:r>
      <w:r>
        <w:rPr>
          <w:spacing w:val="-5"/>
          <w:sz w:val="20"/>
        </w:rPr>
        <w:t xml:space="preserve"> </w:t>
      </w:r>
      <w:r>
        <w:rPr>
          <w:sz w:val="20"/>
        </w:rPr>
        <w:t>increased</w:t>
      </w:r>
      <w:r>
        <w:rPr>
          <w:spacing w:val="-4"/>
          <w:sz w:val="20"/>
        </w:rPr>
        <w:t xml:space="preserve"> </w:t>
      </w:r>
      <w:r>
        <w:rPr>
          <w:sz w:val="20"/>
        </w:rPr>
        <w:t>result</w:t>
      </w:r>
      <w:r>
        <w:rPr>
          <w:spacing w:val="-4"/>
          <w:sz w:val="20"/>
        </w:rPr>
        <w:t xml:space="preserve"> </w:t>
      </w:r>
      <w:r>
        <w:rPr>
          <w:sz w:val="20"/>
        </w:rPr>
        <w:t>compared</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prior</w:t>
      </w:r>
      <w:r>
        <w:rPr>
          <w:spacing w:val="-5"/>
          <w:sz w:val="20"/>
        </w:rPr>
        <w:t xml:space="preserve"> </w:t>
      </w:r>
      <w:r>
        <w:rPr>
          <w:sz w:val="20"/>
        </w:rPr>
        <w:t>year</w:t>
      </w:r>
      <w:r>
        <w:rPr>
          <w:spacing w:val="-4"/>
          <w:sz w:val="20"/>
        </w:rPr>
        <w:t xml:space="preserve"> </w:t>
      </w:r>
      <w:r>
        <w:rPr>
          <w:sz w:val="20"/>
        </w:rPr>
        <w:t>reflects</w:t>
      </w:r>
      <w:r>
        <w:rPr>
          <w:spacing w:val="-5"/>
          <w:sz w:val="20"/>
        </w:rPr>
        <w:t xml:space="preserve"> </w:t>
      </w:r>
      <w:r>
        <w:rPr>
          <w:sz w:val="20"/>
        </w:rPr>
        <w:t>a</w:t>
      </w:r>
      <w:r>
        <w:rPr>
          <w:spacing w:val="-5"/>
          <w:sz w:val="20"/>
        </w:rPr>
        <w:t xml:space="preserve"> </w:t>
      </w:r>
      <w:r>
        <w:rPr>
          <w:sz w:val="20"/>
        </w:rPr>
        <w:t>reduction</w:t>
      </w:r>
      <w:r>
        <w:rPr>
          <w:spacing w:val="-4"/>
          <w:sz w:val="20"/>
        </w:rPr>
        <w:t xml:space="preserve"> </w:t>
      </w:r>
      <w:r>
        <w:rPr>
          <w:sz w:val="20"/>
        </w:rPr>
        <w:t>in</w:t>
      </w:r>
      <w:r>
        <w:rPr>
          <w:spacing w:val="-5"/>
          <w:sz w:val="20"/>
        </w:rPr>
        <w:t xml:space="preserve"> </w:t>
      </w:r>
      <w:r>
        <w:rPr>
          <w:sz w:val="20"/>
        </w:rPr>
        <w:t>reported</w:t>
      </w:r>
      <w:r>
        <w:rPr>
          <w:spacing w:val="-4"/>
          <w:sz w:val="20"/>
        </w:rPr>
        <w:t xml:space="preserve"> </w:t>
      </w:r>
      <w:r>
        <w:rPr>
          <w:sz w:val="20"/>
        </w:rPr>
        <w:t>government</w:t>
      </w:r>
      <w:r>
        <w:rPr>
          <w:spacing w:val="-4"/>
          <w:sz w:val="20"/>
        </w:rPr>
        <w:t xml:space="preserve"> </w:t>
      </w:r>
      <w:r>
        <w:rPr>
          <w:sz w:val="20"/>
        </w:rPr>
        <w:t>spend</w:t>
      </w:r>
      <w:r>
        <w:rPr>
          <w:spacing w:val="-5"/>
          <w:sz w:val="20"/>
        </w:rPr>
        <w:t xml:space="preserve"> </w:t>
      </w:r>
      <w:r>
        <w:rPr>
          <w:sz w:val="20"/>
        </w:rPr>
        <w:t>on</w:t>
      </w:r>
      <w:r>
        <w:rPr>
          <w:spacing w:val="-5"/>
          <w:sz w:val="20"/>
        </w:rPr>
        <w:t xml:space="preserve"> </w:t>
      </w:r>
      <w:r>
        <w:rPr>
          <w:sz w:val="20"/>
        </w:rPr>
        <w:t>related</w:t>
      </w:r>
      <w:r>
        <w:rPr>
          <w:spacing w:val="-4"/>
          <w:sz w:val="20"/>
        </w:rPr>
        <w:t xml:space="preserve"> </w:t>
      </w:r>
      <w:r>
        <w:rPr>
          <w:sz w:val="20"/>
        </w:rPr>
        <w:t>ICT</w:t>
      </w:r>
      <w:r>
        <w:rPr>
          <w:spacing w:val="-5"/>
          <w:sz w:val="20"/>
        </w:rPr>
        <w:t xml:space="preserve"> </w:t>
      </w:r>
      <w:r>
        <w:rPr>
          <w:sz w:val="20"/>
        </w:rPr>
        <w:t>services</w:t>
      </w:r>
      <w:r>
        <w:rPr>
          <w:spacing w:val="-4"/>
          <w:sz w:val="20"/>
        </w:rPr>
        <w:t xml:space="preserve"> </w:t>
      </w:r>
      <w:r>
        <w:rPr>
          <w:sz w:val="20"/>
        </w:rPr>
        <w:t>due</w:t>
      </w:r>
      <w:r>
        <w:rPr>
          <w:spacing w:val="-5"/>
          <w:sz w:val="20"/>
        </w:rPr>
        <w:t xml:space="preserve"> </w:t>
      </w:r>
      <w:r>
        <w:rPr>
          <w:sz w:val="20"/>
        </w:rPr>
        <w:t>in</w:t>
      </w:r>
      <w:r>
        <w:rPr>
          <w:spacing w:val="-5"/>
          <w:sz w:val="20"/>
        </w:rPr>
        <w:t xml:space="preserve"> </w:t>
      </w:r>
      <w:r>
        <w:rPr>
          <w:sz w:val="20"/>
        </w:rPr>
        <w:t>part</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cessation</w:t>
      </w:r>
      <w:r>
        <w:rPr>
          <w:spacing w:val="-5"/>
          <w:sz w:val="20"/>
        </w:rPr>
        <w:t xml:space="preserve"> </w:t>
      </w:r>
      <w:r>
        <w:rPr>
          <w:sz w:val="20"/>
        </w:rPr>
        <w:t>of</w:t>
      </w:r>
      <w:r>
        <w:rPr>
          <w:spacing w:val="-5"/>
          <w:sz w:val="20"/>
        </w:rPr>
        <w:t xml:space="preserve"> </w:t>
      </w:r>
      <w:r>
        <w:rPr>
          <w:sz w:val="20"/>
        </w:rPr>
        <w:t>several</w:t>
      </w:r>
      <w:r>
        <w:rPr>
          <w:spacing w:val="-5"/>
          <w:sz w:val="20"/>
        </w:rPr>
        <w:t xml:space="preserve"> </w:t>
      </w:r>
      <w:r>
        <w:rPr>
          <w:sz w:val="20"/>
        </w:rPr>
        <w:t>ICT</w:t>
      </w:r>
      <w:r>
        <w:rPr>
          <w:spacing w:val="-5"/>
          <w:sz w:val="20"/>
        </w:rPr>
        <w:t xml:space="preserve"> </w:t>
      </w:r>
      <w:r>
        <w:rPr>
          <w:sz w:val="20"/>
        </w:rPr>
        <w:t>common</w:t>
      </w:r>
      <w:r>
        <w:rPr>
          <w:spacing w:val="-5"/>
          <w:sz w:val="20"/>
        </w:rPr>
        <w:t xml:space="preserve"> </w:t>
      </w:r>
      <w:r>
        <w:rPr>
          <w:sz w:val="20"/>
        </w:rPr>
        <w:t>use arrangements.</w:t>
      </w:r>
    </w:p>
    <w:p w:rsidR="00A1463E" w:rsidRDefault="00A1463E">
      <w:pPr>
        <w:pStyle w:val="BodyText"/>
        <w:spacing w:before="6"/>
        <w:rPr>
          <w:sz w:val="8"/>
        </w:rPr>
      </w:pPr>
    </w:p>
    <w:p w:rsidR="00A1463E" w:rsidRDefault="00AD6184" w:rsidP="00AD6184">
      <w:pPr>
        <w:pStyle w:val="Heading1"/>
      </w:pPr>
      <w:bookmarkStart w:id="22" w:name="certification_of_financial_statements"/>
      <w:bookmarkStart w:id="23" w:name="_bookmark19"/>
      <w:bookmarkStart w:id="24" w:name="_bookmark20"/>
      <w:bookmarkStart w:id="25" w:name="_bookmark21"/>
      <w:bookmarkStart w:id="26" w:name="_bookmark22"/>
      <w:bookmarkStart w:id="27" w:name="_bookmark23"/>
      <w:bookmarkStart w:id="28" w:name="_bookmark24"/>
      <w:bookmarkEnd w:id="22"/>
      <w:bookmarkEnd w:id="23"/>
      <w:bookmarkEnd w:id="24"/>
      <w:bookmarkEnd w:id="25"/>
      <w:bookmarkEnd w:id="26"/>
      <w:bookmarkEnd w:id="27"/>
      <w:bookmarkEnd w:id="28"/>
      <w:r>
        <w:t>Certification of financial statements</w:t>
      </w:r>
    </w:p>
    <w:p w:rsidR="00AD6184" w:rsidRDefault="00185881" w:rsidP="00185881">
      <w:pPr>
        <w:pStyle w:val="Heading2"/>
      </w:pPr>
      <w:r>
        <w:t>For the year ended 30 June 2018</w:t>
      </w:r>
    </w:p>
    <w:p w:rsidR="00185881" w:rsidRDefault="00185881">
      <w:pPr>
        <w:rPr>
          <w:sz w:val="19"/>
        </w:rPr>
      </w:pPr>
    </w:p>
    <w:p w:rsidR="00185881" w:rsidRDefault="00185881" w:rsidP="00185881">
      <w:pPr>
        <w:pStyle w:val="CM72"/>
        <w:spacing w:after="162" w:line="291" w:lineRule="atLeast"/>
        <w:ind w:left="709"/>
        <w:jc w:val="both"/>
        <w:rPr>
          <w:color w:val="000000"/>
          <w:sz w:val="23"/>
          <w:szCs w:val="23"/>
        </w:rPr>
      </w:pPr>
      <w:r>
        <w:rPr>
          <w:color w:val="000000"/>
          <w:sz w:val="23"/>
          <w:szCs w:val="23"/>
        </w:rPr>
        <w:t xml:space="preserve">The accompanying financial statements of the Office of the Government Chief Information Officer have been prepared in compliance with the provisions of the </w:t>
      </w:r>
      <w:r>
        <w:rPr>
          <w:i/>
          <w:iCs/>
          <w:color w:val="000000"/>
          <w:sz w:val="23"/>
          <w:szCs w:val="23"/>
        </w:rPr>
        <w:t xml:space="preserve">Financial Management Act 2006 </w:t>
      </w:r>
      <w:r>
        <w:rPr>
          <w:color w:val="000000"/>
          <w:sz w:val="23"/>
          <w:szCs w:val="23"/>
        </w:rPr>
        <w:t xml:space="preserve">from proper accounts and records to present fairly the financial transactions for the reporting period ended 30 June 2018 and the financial position as at 30 June 2018. </w:t>
      </w:r>
    </w:p>
    <w:p w:rsidR="00185881" w:rsidRDefault="00185881" w:rsidP="00185881">
      <w:pPr>
        <w:ind w:left="709"/>
        <w:rPr>
          <w:color w:val="000000"/>
          <w:sz w:val="23"/>
          <w:szCs w:val="23"/>
        </w:rPr>
      </w:pPr>
      <w:r>
        <w:rPr>
          <w:color w:val="000000"/>
          <w:sz w:val="23"/>
          <w:szCs w:val="23"/>
        </w:rPr>
        <w:t>At the date of signing we are not aware of any circumstances which would render the particulars included within the financial statements misleading or inaccurate.</w:t>
      </w:r>
    </w:p>
    <w:p w:rsidR="00185881" w:rsidRDefault="00185881" w:rsidP="00185881">
      <w:pPr>
        <w:ind w:left="709"/>
        <w:rPr>
          <w:sz w:val="19"/>
        </w:rPr>
        <w:sectPr w:rsidR="00185881" w:rsidSect="00185881">
          <w:pgSz w:w="16840" w:h="11910" w:orient="landscape"/>
          <w:pgMar w:top="540" w:right="822" w:bottom="360" w:left="0" w:header="229" w:footer="145" w:gutter="0"/>
          <w:cols w:space="720"/>
        </w:sectPr>
      </w:pPr>
    </w:p>
    <w:p w:rsidR="00A1463E" w:rsidRDefault="00A1463E">
      <w:pPr>
        <w:pStyle w:val="BodyText"/>
        <w:spacing w:before="6"/>
        <w:rPr>
          <w:sz w:val="8"/>
        </w:rPr>
      </w:pPr>
    </w:p>
    <w:p w:rsidR="00A1463E" w:rsidRDefault="00F52429" w:rsidP="00DC3AEB">
      <w:pPr>
        <w:pStyle w:val="Heading1"/>
        <w:ind w:left="567"/>
      </w:pPr>
      <w:bookmarkStart w:id="29" w:name="audit_opinion"/>
      <w:bookmarkStart w:id="30" w:name="_bookmark25"/>
      <w:bookmarkEnd w:id="29"/>
      <w:bookmarkEnd w:id="30"/>
      <w:r>
        <w:t>AUDIT OPINION</w:t>
      </w:r>
    </w:p>
    <w:p w:rsidR="00A1463E" w:rsidRDefault="00A1463E">
      <w:pPr>
        <w:pStyle w:val="BodyText"/>
        <w:spacing w:line="60" w:lineRule="exact"/>
        <w:ind w:left="650"/>
        <w:rPr>
          <w:sz w:val="6"/>
        </w:rPr>
      </w:pPr>
    </w:p>
    <w:p w:rsidR="00A1463E" w:rsidRDefault="00A1463E">
      <w:pPr>
        <w:pStyle w:val="BodyText"/>
        <w:spacing w:before="3"/>
        <w:rPr>
          <w:sz w:val="19"/>
        </w:rPr>
      </w:pPr>
    </w:p>
    <w:p w:rsidR="00A1463E" w:rsidRDefault="00185881" w:rsidP="00185881">
      <w:pPr>
        <w:pStyle w:val="Heading2"/>
        <w:ind w:left="567"/>
        <w:rPr>
          <w:w w:val="105"/>
        </w:rPr>
      </w:pPr>
      <w:r>
        <w:rPr>
          <w:w w:val="105"/>
        </w:rPr>
        <w:t>INDEPENDENT AUDITOR'S REPORT</w:t>
      </w:r>
    </w:p>
    <w:p w:rsidR="00185881" w:rsidRDefault="00185881" w:rsidP="00185881">
      <w:pPr>
        <w:pStyle w:val="Heading2"/>
        <w:rPr>
          <w:w w:val="105"/>
        </w:rPr>
      </w:pPr>
    </w:p>
    <w:p w:rsidR="00185881" w:rsidRDefault="00185881" w:rsidP="00185881">
      <w:pPr>
        <w:pStyle w:val="BodyText"/>
        <w:ind w:left="567"/>
      </w:pPr>
      <w:r>
        <w:rPr>
          <w:w w:val="105"/>
        </w:rPr>
        <w:t>To the Parliament of Western Australia</w:t>
      </w:r>
    </w:p>
    <w:p w:rsidR="00185881" w:rsidRDefault="00185881" w:rsidP="00185881">
      <w:pPr>
        <w:pStyle w:val="BodyText"/>
        <w:ind w:left="567"/>
        <w:rPr>
          <w:sz w:val="22"/>
        </w:rPr>
      </w:pPr>
    </w:p>
    <w:p w:rsidR="00185881" w:rsidRDefault="00185881" w:rsidP="00185881">
      <w:pPr>
        <w:pStyle w:val="BodyText"/>
        <w:ind w:left="567"/>
      </w:pPr>
      <w:r>
        <w:rPr>
          <w:w w:val="105"/>
        </w:rPr>
        <w:t>OFFICE OF THE GOVERNMENT CHIEF INFORMATION OFFICER</w:t>
      </w:r>
    </w:p>
    <w:p w:rsidR="00185881" w:rsidRDefault="00185881" w:rsidP="00185881">
      <w:pPr>
        <w:pStyle w:val="BodyText"/>
        <w:ind w:left="567"/>
        <w:rPr>
          <w:sz w:val="22"/>
        </w:rPr>
      </w:pPr>
    </w:p>
    <w:p w:rsidR="00185881" w:rsidRDefault="00185881" w:rsidP="00185881">
      <w:pPr>
        <w:pStyle w:val="BodyText"/>
        <w:ind w:left="567"/>
      </w:pPr>
      <w:r>
        <w:rPr>
          <w:w w:val="105"/>
        </w:rPr>
        <w:t>Report on the Financial Statements</w:t>
      </w:r>
    </w:p>
    <w:p w:rsidR="00A1463E" w:rsidRDefault="00A1463E" w:rsidP="00185881">
      <w:pPr>
        <w:ind w:left="567"/>
        <w:rPr>
          <w:sz w:val="16"/>
        </w:rPr>
      </w:pPr>
    </w:p>
    <w:p w:rsidR="00185881" w:rsidRDefault="00185881" w:rsidP="00185881">
      <w:pPr>
        <w:pStyle w:val="Heading3"/>
        <w:ind w:left="567"/>
      </w:pPr>
      <w:r>
        <w:t>Opinion</w:t>
      </w:r>
    </w:p>
    <w:p w:rsidR="00185881" w:rsidRPr="00185881" w:rsidRDefault="00185881" w:rsidP="00185881">
      <w:pPr>
        <w:pStyle w:val="BodyText"/>
        <w:ind w:left="567"/>
      </w:pPr>
      <w:r w:rsidRPr="00185881">
        <w:t>I have audited the financial statements of the Office of the Government Chief Information Officer which comprise the Statement of Financial Position as at 30 June 2018, the Statement of Comprehensive Income, Statement of Changes in Equity, Statement of Cash Flows, Schedule of Income and Expenses by Service, Schedule of Assets and Liabilities by Service, and Summary of Consolidated Account Appropriations and Income Estimates for the year then ended, and Notes comprising a summary of significant accounting policies and other explanatory information,</w:t>
      </w:r>
    </w:p>
    <w:p w:rsidR="00185881" w:rsidRPr="00185881" w:rsidRDefault="00185881" w:rsidP="00185881">
      <w:pPr>
        <w:pStyle w:val="BodyText"/>
        <w:ind w:left="567"/>
      </w:pPr>
      <w:r w:rsidRPr="00185881">
        <w:t>including Administered transactions and balances.</w:t>
      </w:r>
    </w:p>
    <w:p w:rsidR="00185881" w:rsidRPr="00185881" w:rsidRDefault="00185881" w:rsidP="00185881">
      <w:pPr>
        <w:pStyle w:val="BodyText"/>
        <w:ind w:left="567"/>
      </w:pPr>
    </w:p>
    <w:p w:rsidR="00185881" w:rsidRDefault="00185881" w:rsidP="00185881">
      <w:pPr>
        <w:pStyle w:val="BodyText"/>
        <w:ind w:left="567"/>
      </w:pPr>
      <w:r w:rsidRPr="00185881">
        <w:t>In my opinion, the financial statements are based on proper accounts and present fairly, in all material respects, the operating results and cash flows of the Office of the Government Chief Information Officer for the year ended 30 June 2018 and the financial position at the end of that period. They are in accordance with Australian Accounting Standards, the Financial Management Act 2006 and the Treasurer's Instructions.</w:t>
      </w:r>
    </w:p>
    <w:p w:rsidR="00185881" w:rsidRDefault="00185881" w:rsidP="00185881">
      <w:pPr>
        <w:pStyle w:val="Heading3"/>
        <w:ind w:left="567"/>
      </w:pPr>
      <w:r w:rsidRPr="00185881">
        <w:t>Basis for Opinion</w:t>
      </w:r>
    </w:p>
    <w:p w:rsidR="00ED09D4" w:rsidRDefault="00185881" w:rsidP="00ED09D4">
      <w:pPr>
        <w:pStyle w:val="BodyText"/>
        <w:ind w:left="567"/>
      </w:pPr>
      <w:r w:rsidRPr="00185881">
        <w:t>I conducted my audit in accordance with the Australian Auditing Standards. My responsibilities under those standards are further described in the Auditor's Responsibilities for the Audit of the Financial Statements section of my report. I am independent of the Office in accordance with the Auditor General Act 2006 and the relevant ethical requirements of the Accounting Professional and Ethical Standards Board's APES 11O Code of Ethics for Professional Accountants (the Code) that are relevant to my audit of the financial statements. I have also fulfilled my other ethical responsibilities in accordance with the Code. I believe that the audit evidence I have obtained is sufficient and appropriate to provide a basis for my opinion.</w:t>
      </w:r>
    </w:p>
    <w:p w:rsidR="00ED09D4" w:rsidRDefault="00ED09D4" w:rsidP="00ED09D4">
      <w:pPr>
        <w:pStyle w:val="Heading3"/>
        <w:ind w:left="567"/>
      </w:pPr>
      <w:r>
        <w:t>Responsibility of the Reporting Officer for the Financial Statements</w:t>
      </w:r>
    </w:p>
    <w:p w:rsidR="00ED09D4" w:rsidRPr="00ED09D4" w:rsidRDefault="00ED09D4" w:rsidP="00ED09D4">
      <w:pPr>
        <w:pStyle w:val="BodyText"/>
        <w:ind w:left="567"/>
      </w:pPr>
      <w:r w:rsidRPr="00ED09D4">
        <w:t>The Office of the Government Chief Information Officer ceased to exist as a sub-department under the Financial Management Act 2006 on 30 June 2018. The Treasurer appointed a Reporting Officer under section 68 of the Act who was responsible for the preparation and fair presentation of the financial statements in accordance with Australian Accounting Standards, the Financial Management Act 2006 and the Treasurer's Instructions that are free from material misstatement, whether due to fraud or error.</w:t>
      </w:r>
    </w:p>
    <w:p w:rsidR="00ED09D4" w:rsidRDefault="00ED09D4" w:rsidP="00ED09D4">
      <w:pPr>
        <w:pStyle w:val="Heading3"/>
        <w:ind w:left="567"/>
      </w:pPr>
    </w:p>
    <w:p w:rsidR="00ED09D4" w:rsidRDefault="00ED09D4" w:rsidP="00ED09D4">
      <w:pPr>
        <w:pStyle w:val="Heading3"/>
        <w:ind w:left="567"/>
      </w:pPr>
      <w:r>
        <w:lastRenderedPageBreak/>
        <w:t>Auditor’s Responsibility for the Audit of the Financial Statements</w:t>
      </w:r>
    </w:p>
    <w:p w:rsidR="00ED09D4" w:rsidRDefault="00ED09D4" w:rsidP="00ED09D4">
      <w:pPr>
        <w:pStyle w:val="BodyText"/>
        <w:ind w:left="567"/>
      </w:pPr>
      <w:r w:rsidRPr="00ED09D4">
        <w:t>As required by the Auditor General Act 2006, my responsibility is to express an opinion on the financial statements. The objectives of my audit are to obtain reasonable assurance about whether the financial statements as a whole are free from material misstatement, whether due to fraud or error, and to issue an auditor's report that includes my opinion. Reasonable assurance is a high le</w:t>
      </w:r>
      <w:r w:rsidR="00112734">
        <w:t>vel of assurance</w:t>
      </w:r>
      <w:r w:rsidRPr="00ED09D4">
        <w:t xml:space="preserv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statements. </w:t>
      </w:r>
    </w:p>
    <w:p w:rsidR="00ED09D4" w:rsidRPr="00ED09D4" w:rsidRDefault="00ED09D4" w:rsidP="00ED09D4">
      <w:pPr>
        <w:pStyle w:val="BodyText"/>
        <w:ind w:left="567"/>
      </w:pPr>
      <w:r w:rsidRPr="00ED09D4">
        <w:t xml:space="preserve">As part of an audit in accordance with Australian Auditing Standards, I exercise professional judgment and maintain professional </w:t>
      </w:r>
      <w:r w:rsidR="00112734" w:rsidRPr="00ED09D4">
        <w:t>skepticism</w:t>
      </w:r>
      <w:r w:rsidRPr="00ED09D4">
        <w:t xml:space="preserve"> throughout the audit. I also:</w:t>
      </w:r>
    </w:p>
    <w:p w:rsidR="00ED09D4" w:rsidRDefault="00ED09D4" w:rsidP="00ED09D4">
      <w:pPr>
        <w:pStyle w:val="BodyText"/>
        <w:spacing w:before="10"/>
        <w:rPr>
          <w:sz w:val="21"/>
        </w:rPr>
      </w:pPr>
    </w:p>
    <w:p w:rsidR="00ED09D4" w:rsidRDefault="00ED09D4" w:rsidP="004151B8">
      <w:pPr>
        <w:pStyle w:val="ListParagraph"/>
        <w:numPr>
          <w:ilvl w:val="0"/>
          <w:numId w:val="21"/>
        </w:numPr>
        <w:ind w:left="851"/>
      </w:pPr>
      <w:r>
        <w:rPr>
          <w:w w:val="105"/>
        </w:rPr>
        <w:t>Identify and assess the risks of material misstatement of the financial statements</w:t>
      </w:r>
      <w:r>
        <w:rPr>
          <w:color w:val="2F2D38"/>
          <w:w w:val="105"/>
        </w:rPr>
        <w:t xml:space="preserve">, </w:t>
      </w:r>
      <w:r>
        <w:rPr>
          <w:w w:val="105"/>
        </w:rPr>
        <w:t>whether due to fraud or error, design and perform audit procedures responsive to those r</w:t>
      </w:r>
      <w:r>
        <w:rPr>
          <w:color w:val="2F2D38"/>
          <w:w w:val="105"/>
        </w:rPr>
        <w:t>i</w:t>
      </w:r>
      <w:r>
        <w:rPr>
          <w:w w:val="105"/>
        </w:rPr>
        <w:t>sks</w:t>
      </w:r>
      <w:r>
        <w:rPr>
          <w:color w:val="2F2D38"/>
          <w:w w:val="105"/>
        </w:rPr>
        <w:t xml:space="preserve">, </w:t>
      </w:r>
      <w:r>
        <w:rPr>
          <w:w w:val="105"/>
        </w:rPr>
        <w:t>and obtain audit evidence that is sufficient and appropriate to provide a basis for my opinion</w:t>
      </w:r>
      <w:r>
        <w:rPr>
          <w:color w:val="2F2D38"/>
          <w:w w:val="105"/>
        </w:rPr>
        <w:t xml:space="preserve">. </w:t>
      </w:r>
      <w:r>
        <w:rPr>
          <w:w w:val="105"/>
        </w:rPr>
        <w:t>The risk of not detecting a material misstatement resulting from fraud is higher than for one resulting from error, as fraud may involve collusion, forgery</w:t>
      </w:r>
      <w:r>
        <w:rPr>
          <w:color w:val="2F2D38"/>
          <w:w w:val="105"/>
        </w:rPr>
        <w:t xml:space="preserve">, </w:t>
      </w:r>
      <w:r w:rsidR="00112734">
        <w:rPr>
          <w:w w:val="105"/>
        </w:rPr>
        <w:t>intentiona</w:t>
      </w:r>
      <w:r>
        <w:rPr>
          <w:color w:val="2F2D38"/>
          <w:w w:val="105"/>
        </w:rPr>
        <w:t xml:space="preserve">l </w:t>
      </w:r>
      <w:r>
        <w:rPr>
          <w:w w:val="105"/>
        </w:rPr>
        <w:t>omissions, misrepresentations, or the override of internal control.</w:t>
      </w:r>
    </w:p>
    <w:p w:rsidR="00ED09D4" w:rsidRDefault="00ED09D4" w:rsidP="00ED09D4">
      <w:pPr>
        <w:pStyle w:val="ListParagraph"/>
        <w:ind w:left="851"/>
        <w:rPr>
          <w:sz w:val="21"/>
        </w:rPr>
      </w:pPr>
    </w:p>
    <w:p w:rsidR="00ED09D4" w:rsidRDefault="00ED09D4" w:rsidP="004151B8">
      <w:pPr>
        <w:pStyle w:val="ListParagraph"/>
        <w:numPr>
          <w:ilvl w:val="0"/>
          <w:numId w:val="21"/>
        </w:numPr>
        <w:ind w:left="851"/>
      </w:pPr>
      <w:r>
        <w:rPr>
          <w:w w:val="105"/>
        </w:rPr>
        <w:t xml:space="preserve">Obtain an understanding of internal control relevant to the audit in order to design audit procedures that are appropriate in the circumstances, but not for the purpose of expressing an opinion on the effectiveness of the agency </w:t>
      </w:r>
      <w:r>
        <w:rPr>
          <w:color w:val="2F2D38"/>
          <w:w w:val="105"/>
        </w:rPr>
        <w:t>'</w:t>
      </w:r>
      <w:r>
        <w:rPr>
          <w:w w:val="105"/>
        </w:rPr>
        <w:t>s internal control.</w:t>
      </w:r>
    </w:p>
    <w:p w:rsidR="00ED09D4" w:rsidRDefault="00ED09D4" w:rsidP="00ED09D4">
      <w:pPr>
        <w:pStyle w:val="ListParagraph"/>
        <w:ind w:left="851"/>
        <w:rPr>
          <w:sz w:val="21"/>
        </w:rPr>
      </w:pPr>
    </w:p>
    <w:p w:rsidR="00ED09D4" w:rsidRDefault="00ED09D4" w:rsidP="004151B8">
      <w:pPr>
        <w:pStyle w:val="ListParagraph"/>
        <w:numPr>
          <w:ilvl w:val="0"/>
          <w:numId w:val="21"/>
        </w:numPr>
        <w:ind w:left="851"/>
      </w:pPr>
      <w:r>
        <w:rPr>
          <w:w w:val="105"/>
        </w:rPr>
        <w:t>Evaluate the appropriateness of accounting policies used and the reasonableness of accounting estimates and related disclosures made by the Reporting Officer</w:t>
      </w:r>
      <w:r>
        <w:rPr>
          <w:color w:val="4D4D4D"/>
          <w:w w:val="105"/>
        </w:rPr>
        <w:t>.</w:t>
      </w:r>
    </w:p>
    <w:p w:rsidR="00ED09D4" w:rsidRDefault="00ED09D4" w:rsidP="00ED09D4">
      <w:pPr>
        <w:pStyle w:val="ListParagraph"/>
        <w:ind w:left="851"/>
        <w:rPr>
          <w:sz w:val="21"/>
        </w:rPr>
      </w:pPr>
    </w:p>
    <w:p w:rsidR="00ED09D4" w:rsidRDefault="00ED09D4" w:rsidP="004151B8">
      <w:pPr>
        <w:pStyle w:val="ListParagraph"/>
        <w:numPr>
          <w:ilvl w:val="0"/>
          <w:numId w:val="21"/>
        </w:numPr>
        <w:ind w:left="851"/>
      </w:pPr>
      <w:r>
        <w:rPr>
          <w:w w:val="105"/>
        </w:rPr>
        <w:t>Evaluate the overall presentation</w:t>
      </w:r>
      <w:r>
        <w:rPr>
          <w:color w:val="2F2D38"/>
          <w:w w:val="105"/>
        </w:rPr>
        <w:t xml:space="preserve">, </w:t>
      </w:r>
      <w:r>
        <w:rPr>
          <w:w w:val="105"/>
        </w:rPr>
        <w:t xml:space="preserve">structure and content of the financial statements, including the disclosures, and whether the financial statements represent the underlying transact </w:t>
      </w:r>
      <w:r>
        <w:rPr>
          <w:color w:val="2F2D38"/>
          <w:w w:val="105"/>
        </w:rPr>
        <w:t>i</w:t>
      </w:r>
      <w:r>
        <w:rPr>
          <w:w w:val="105"/>
        </w:rPr>
        <w:t>ons and events in a manner that achieves fair presentation.</w:t>
      </w:r>
    </w:p>
    <w:p w:rsidR="00ED09D4" w:rsidRDefault="00ED09D4" w:rsidP="00ED09D4">
      <w:pPr>
        <w:pStyle w:val="BodyText"/>
        <w:spacing w:before="11"/>
      </w:pPr>
    </w:p>
    <w:p w:rsidR="00ED09D4" w:rsidRDefault="00ED09D4" w:rsidP="00ED09D4">
      <w:pPr>
        <w:pStyle w:val="BodyText"/>
        <w:ind w:left="567"/>
      </w:pPr>
      <w:r w:rsidRPr="00ED09D4">
        <w:t>I communicate with those charged with governance regarding, among other matters, the planned scope and timing of the audit and significant audit findings, including any significant deficiencies in internal control that I identify during my audit.</w:t>
      </w:r>
    </w:p>
    <w:p w:rsidR="00ED09D4" w:rsidRDefault="00ED09D4" w:rsidP="00ED09D4">
      <w:pPr>
        <w:pStyle w:val="Heading2"/>
        <w:ind w:left="567"/>
      </w:pPr>
      <w:r>
        <w:t>Report on Controls</w:t>
      </w:r>
    </w:p>
    <w:p w:rsidR="00ED09D4" w:rsidRDefault="00ED09D4" w:rsidP="00ED09D4">
      <w:pPr>
        <w:pStyle w:val="Heading3"/>
        <w:ind w:left="567"/>
      </w:pPr>
      <w:r>
        <w:t>Opinion</w:t>
      </w:r>
    </w:p>
    <w:p w:rsidR="00ED09D4" w:rsidRPr="00ED09D4" w:rsidRDefault="00ED09D4" w:rsidP="00ED09D4">
      <w:pPr>
        <w:pStyle w:val="BodyText"/>
        <w:ind w:left="567" w:right="142"/>
      </w:pPr>
      <w:r w:rsidRPr="00ED09D4">
        <w:t>I have undertaken a reasonable assurance engagement on the design and implementation of controls exercised by the Office of the Government Chief Information Officer. The controls exercised by the Office are those policies and procedures established by the Government Chief Information Officer to ensure that the receipt, expenditure and investment of money, the acquisition and disposal of property, and the incurring of liabilities have been in accordance with legislative provisions (the overall control objectives).</w:t>
      </w:r>
    </w:p>
    <w:p w:rsidR="00ED09D4" w:rsidRPr="00ED09D4" w:rsidRDefault="00ED09D4" w:rsidP="00ED09D4">
      <w:pPr>
        <w:pStyle w:val="BodyText"/>
        <w:ind w:left="567" w:right="142"/>
      </w:pPr>
    </w:p>
    <w:p w:rsidR="00ED09D4" w:rsidRPr="00ED09D4" w:rsidRDefault="00ED09D4" w:rsidP="00ED09D4">
      <w:pPr>
        <w:pStyle w:val="BodyText"/>
        <w:ind w:left="567" w:right="142"/>
      </w:pPr>
      <w:r w:rsidRPr="00ED09D4">
        <w:t>My opinion has been formed on the basis of the matters outlined in this report.</w:t>
      </w:r>
    </w:p>
    <w:p w:rsidR="00ED09D4" w:rsidRPr="00ED09D4" w:rsidRDefault="00ED09D4" w:rsidP="00ED09D4">
      <w:pPr>
        <w:pStyle w:val="BodyText"/>
        <w:ind w:left="567" w:right="142"/>
      </w:pPr>
    </w:p>
    <w:p w:rsidR="00ED09D4" w:rsidRDefault="00ED09D4" w:rsidP="00ED09D4">
      <w:pPr>
        <w:pStyle w:val="BodyText"/>
        <w:ind w:left="567" w:right="142"/>
      </w:pPr>
      <w:r w:rsidRPr="00ED09D4">
        <w:t xml:space="preserve">In my opinion, in all material respects, the controls exercised by the Office of the Government Chief Information Officer are sufficiently adequate to provide </w:t>
      </w:r>
      <w:r w:rsidRPr="00ED09D4">
        <w:lastRenderedPageBreak/>
        <w:t>reasonable assurance that the receipt, expenditure and investment of money, the acquisition and disposal of property and the incurring of liabilities have been in accordance with legislative provisions during the year ended 30 June 2018.</w:t>
      </w:r>
    </w:p>
    <w:p w:rsidR="00ED09D4" w:rsidRDefault="00ED09D4" w:rsidP="00ED09D4">
      <w:pPr>
        <w:pStyle w:val="Heading3"/>
        <w:ind w:left="567"/>
      </w:pPr>
      <w:r w:rsidRPr="00ED09D4">
        <w:t>The Government Chief Information Officer’s Responsibilities</w:t>
      </w:r>
    </w:p>
    <w:p w:rsidR="00ED09D4" w:rsidRPr="00ED09D4" w:rsidRDefault="00ED09D4" w:rsidP="00ED09D4">
      <w:pPr>
        <w:pStyle w:val="BodyText"/>
        <w:ind w:left="567"/>
      </w:pPr>
      <w:r w:rsidRPr="00ED09D4">
        <w:t>The Government Chief Information Officer was responsible for designing, implementing and maintaining controls to ensure that the receipt, expenditure and investment of money, the acquisition and disposal of property, and the incurring of liabilities are in accordance with the Financial Management Act 2006, the Treasurer's Instructions and other relevant written law.</w:t>
      </w:r>
    </w:p>
    <w:p w:rsidR="00ED09D4" w:rsidRDefault="00ED09D4" w:rsidP="00ED09D4">
      <w:pPr>
        <w:pStyle w:val="Heading3"/>
        <w:ind w:left="567"/>
      </w:pPr>
      <w:r w:rsidRPr="00ED09D4">
        <w:t>Auditor General’s Responsibilities</w:t>
      </w:r>
    </w:p>
    <w:p w:rsidR="00ED09D4" w:rsidRDefault="00ED09D4" w:rsidP="00ED09D4">
      <w:pPr>
        <w:pStyle w:val="BodyText"/>
        <w:ind w:left="567"/>
      </w:pPr>
      <w:r>
        <w:t xml:space="preserve">As required by the </w:t>
      </w:r>
      <w:r>
        <w:rPr>
          <w:i/>
        </w:rPr>
        <w:t>Auditor General Act 2006</w:t>
      </w:r>
      <w:r>
        <w:rPr>
          <w:i/>
          <w:color w:val="2F2D38"/>
        </w:rPr>
        <w:t xml:space="preserve">, </w:t>
      </w:r>
      <w:r>
        <w:t xml:space="preserve">my responsibility as an assurance practitioner is to express an opinion on the suitability of the design of </w:t>
      </w:r>
      <w:r>
        <w:rPr>
          <w:color w:val="2F2D38"/>
        </w:rPr>
        <w:t>t</w:t>
      </w:r>
      <w:r>
        <w:t xml:space="preserve">he controls to achieve the overall control objectives and the implementation of the controls as designed. I conducted my engagement in accordance with Standard on Assurance Engagements ASAE 3150 </w:t>
      </w:r>
      <w:r>
        <w:rPr>
          <w:i/>
        </w:rPr>
        <w:t xml:space="preserve">Assurance Engagements on Controls </w:t>
      </w:r>
      <w:r>
        <w:t>issued by the Australian Auditing and Assurance</w:t>
      </w:r>
      <w:r w:rsidR="00DC3AEB">
        <w:t xml:space="preserve"> Standards Board. That standard</w:t>
      </w:r>
      <w:r>
        <w:t xml:space="preserve"> requires that I comply with relevant ethical requirements and plan and perform my procedures to obtain reasonable assurance about whether</w:t>
      </w:r>
      <w:r>
        <w:rPr>
          <w:color w:val="2F2D38"/>
        </w:rPr>
        <w:t xml:space="preserve">, </w:t>
      </w:r>
      <w:r>
        <w:t>in all material respects, the controls are suitably designed to achieve the overall control objectives and the controls</w:t>
      </w:r>
      <w:r>
        <w:rPr>
          <w:color w:val="2F2D38"/>
        </w:rPr>
        <w:t xml:space="preserve">, </w:t>
      </w:r>
      <w:r>
        <w:t>necessary to achieve the overall control objectives, were implemented as</w:t>
      </w:r>
      <w:r>
        <w:rPr>
          <w:spacing w:val="-3"/>
        </w:rPr>
        <w:t xml:space="preserve"> </w:t>
      </w:r>
      <w:r>
        <w:t>designed.</w:t>
      </w:r>
    </w:p>
    <w:p w:rsidR="00ED09D4" w:rsidRDefault="00ED09D4" w:rsidP="00ED09D4">
      <w:pPr>
        <w:pStyle w:val="BodyText"/>
        <w:spacing w:before="78" w:line="252" w:lineRule="auto"/>
        <w:ind w:left="567" w:right="122" w:firstLine="3"/>
      </w:pPr>
      <w:r>
        <w:rPr>
          <w:color w:val="161623"/>
          <w:w w:val="105"/>
        </w:rPr>
        <w:t xml:space="preserve">An assurance engagement to report on the design and implementation of controls </w:t>
      </w:r>
      <w:r>
        <w:rPr>
          <w:color w:val="2B2A36"/>
          <w:w w:val="105"/>
        </w:rPr>
        <w:t xml:space="preserve">involves </w:t>
      </w:r>
      <w:r>
        <w:rPr>
          <w:color w:val="161623"/>
          <w:w w:val="105"/>
        </w:rPr>
        <w:t xml:space="preserve">performing procedures to obtain evidence about the suitability of the design of controls to achieve the overall control objectives and the implementation of those controls. The procedures selected depend on my judgement, </w:t>
      </w:r>
      <w:r>
        <w:rPr>
          <w:color w:val="2B2A36"/>
          <w:w w:val="105"/>
        </w:rPr>
        <w:t xml:space="preserve">including </w:t>
      </w:r>
      <w:r>
        <w:rPr>
          <w:color w:val="161623"/>
          <w:w w:val="105"/>
        </w:rPr>
        <w:t>the assessment of the risks that controls are not suitably designed or implemented as designed. My procedures included testing the implementation of those controls that I consider necessary to achieve the overall control objectives.</w:t>
      </w:r>
    </w:p>
    <w:p w:rsidR="00ED09D4" w:rsidRDefault="00ED09D4" w:rsidP="00ED09D4">
      <w:pPr>
        <w:pStyle w:val="BodyText"/>
        <w:ind w:left="567"/>
        <w:rPr>
          <w:sz w:val="21"/>
        </w:rPr>
      </w:pPr>
    </w:p>
    <w:p w:rsidR="00ED09D4" w:rsidRDefault="00ED09D4" w:rsidP="00ED09D4">
      <w:pPr>
        <w:pStyle w:val="BodyText"/>
        <w:spacing w:before="1" w:line="249" w:lineRule="auto"/>
        <w:ind w:left="567" w:hanging="3"/>
      </w:pPr>
      <w:r>
        <w:rPr>
          <w:color w:val="161623"/>
          <w:w w:val="105"/>
        </w:rPr>
        <w:t>I believe that the evidence I have obtained is sufficient and appropriate to provide a basis for my opinion.</w:t>
      </w:r>
    </w:p>
    <w:p w:rsidR="00ED09D4" w:rsidRDefault="00ED09D4" w:rsidP="00ED09D4">
      <w:pPr>
        <w:pStyle w:val="Heading3"/>
        <w:ind w:left="567"/>
      </w:pPr>
      <w:r>
        <w:t>Limitations of Controls</w:t>
      </w:r>
    </w:p>
    <w:p w:rsidR="00ED09D4" w:rsidRDefault="00ED09D4" w:rsidP="00ED09D4">
      <w:pPr>
        <w:pStyle w:val="BodyText"/>
        <w:ind w:left="567"/>
      </w:pPr>
      <w:r w:rsidRPr="00ED09D4">
        <w:t>Because of the inherent limitations of any internal control structure it is possible that, even if the controls are suitably designed and implemented as designed, once the controls are in operation, the overall control objectives may not be achieved so that fraud, error, or noncompliance with laws and regulations may occur and not be detected. Any projection of the outcome of the evaluation of the suitability of the design of controls to future periods is subject to the risk that the controls may become unsuitable because of changes in conditions.</w:t>
      </w:r>
    </w:p>
    <w:p w:rsidR="00ED09D4" w:rsidRDefault="00ED09D4" w:rsidP="00ED09D4">
      <w:pPr>
        <w:pStyle w:val="Heading2"/>
        <w:ind w:left="567"/>
      </w:pPr>
      <w:r w:rsidRPr="00ED09D4">
        <w:t>Report on Key Performance Indicators</w:t>
      </w:r>
    </w:p>
    <w:p w:rsidR="00ED09D4" w:rsidRDefault="00ED09D4" w:rsidP="00ED09D4">
      <w:pPr>
        <w:pStyle w:val="Heading3"/>
        <w:ind w:left="567"/>
      </w:pPr>
      <w:r>
        <w:t>Opinion</w:t>
      </w:r>
    </w:p>
    <w:p w:rsidR="00ED09D4" w:rsidRPr="00ED09D4" w:rsidRDefault="00ED09D4" w:rsidP="00ED09D4">
      <w:pPr>
        <w:pStyle w:val="BodyText"/>
        <w:ind w:left="567"/>
      </w:pPr>
      <w:r w:rsidRPr="00ED09D4">
        <w:t>I have undertaken a reasonable assurance engagement on the key performance indicators of the Office of the Government Chief Information Officer for the year ended 30 June 2018. The key performance indicators are the key effectiveness indicators and the key efficiency indicators that provide performance information about achieving outcomes and delivering services.</w:t>
      </w:r>
    </w:p>
    <w:p w:rsidR="00ED09D4" w:rsidRPr="00ED09D4" w:rsidRDefault="00ED09D4" w:rsidP="00ED09D4">
      <w:pPr>
        <w:pStyle w:val="BodyText"/>
        <w:ind w:left="567"/>
      </w:pPr>
    </w:p>
    <w:p w:rsidR="00ED09D4" w:rsidRDefault="00ED09D4" w:rsidP="00ED09D4">
      <w:pPr>
        <w:pStyle w:val="BodyText"/>
        <w:ind w:left="567"/>
      </w:pPr>
      <w:r w:rsidRPr="00ED09D4">
        <w:t>In my opinion, in all material respects, the key performance indicators of the Office of the Government Chief Information Officer are relevant and appropriate to assist users to assess the Office's performance and fairly represent indicated performance for the year ended 30 June 2018.</w:t>
      </w:r>
    </w:p>
    <w:p w:rsidR="00ED09D4" w:rsidRDefault="00ED09D4" w:rsidP="00ED09D4">
      <w:pPr>
        <w:pStyle w:val="Heading3"/>
      </w:pPr>
    </w:p>
    <w:p w:rsidR="00ED09D4" w:rsidRDefault="00ED09D4" w:rsidP="00ED09D4">
      <w:pPr>
        <w:pStyle w:val="Heading3"/>
        <w:ind w:left="567"/>
      </w:pPr>
      <w:r>
        <w:lastRenderedPageBreak/>
        <w:t>The Reporting Officer’s Responsibility for the Key Performance Indicators</w:t>
      </w:r>
    </w:p>
    <w:p w:rsidR="00ED09D4" w:rsidRPr="00ED09D4" w:rsidRDefault="00ED09D4" w:rsidP="00ED09D4">
      <w:pPr>
        <w:pStyle w:val="BodyText"/>
        <w:ind w:left="567"/>
      </w:pPr>
      <w:r w:rsidRPr="00ED09D4">
        <w:t>The Reporting Officer is responsible for the preparation and fair presentation of the key performance indicators in accordance with the Financial Management Act 2006 and the Treasurer's Instructions and for such internal control as the Reporting Officer determines necessary to enable the preparation of key performance indicators that are free from material misstatement, whether due to fraud or error.</w:t>
      </w:r>
    </w:p>
    <w:p w:rsidR="00ED09D4" w:rsidRPr="00ED09D4" w:rsidRDefault="00ED09D4" w:rsidP="00ED09D4">
      <w:pPr>
        <w:pStyle w:val="BodyText"/>
        <w:ind w:left="567"/>
      </w:pPr>
    </w:p>
    <w:p w:rsidR="00ED09D4" w:rsidRDefault="00ED09D4" w:rsidP="00ED09D4">
      <w:pPr>
        <w:pStyle w:val="BodyText"/>
        <w:ind w:left="567"/>
      </w:pPr>
      <w:r w:rsidRPr="00ED09D4">
        <w:t>In preparing the key performance indicators, the Reporting Officer is responsible for identifying key performance indicators that are relevant and appropriate having regard to their purpose in accordance with Treasurer's Instruction 904 Key Performance Indicators.</w:t>
      </w:r>
    </w:p>
    <w:p w:rsidR="00ED09D4" w:rsidRDefault="00ED09D4" w:rsidP="00112734">
      <w:pPr>
        <w:pStyle w:val="Heading3"/>
        <w:ind w:left="567"/>
      </w:pPr>
      <w:r>
        <w:t>Auditor General’s Responsibility</w:t>
      </w:r>
    </w:p>
    <w:p w:rsidR="00112734" w:rsidRPr="00112734" w:rsidRDefault="00112734" w:rsidP="00112734">
      <w:pPr>
        <w:pStyle w:val="BodyText"/>
        <w:ind w:left="567"/>
      </w:pPr>
      <w:r w:rsidRPr="00112734">
        <w:t>As required by the Auditor General Act 2006, my responsibility as an assurance practitioner is to express an opinion on the key performance indicators. The objectives of my engagement are to obtain reasonable assurance about whether the key performance indicators are relevant and appropriate to assist users to assess the agency's performance and whether the key performance indicators are free from material misstatement, whether due to fraud or error, and to issue an auditor's report that includes my opinion. I conducted my engagement in accordance with Standard on Assurance Engagements ASAE 3000 Assurance Engagements Other than Audits or Reviews of Historical Financial Information issued by the Australian Auditing and Assurance Standards Board. That standard requires that I comply with relevant ethical requirements relating to assurance engagements.</w:t>
      </w:r>
    </w:p>
    <w:p w:rsidR="00112734" w:rsidRPr="00112734" w:rsidRDefault="00112734" w:rsidP="00112734">
      <w:pPr>
        <w:pStyle w:val="BodyText"/>
        <w:ind w:left="567"/>
      </w:pPr>
    </w:p>
    <w:p w:rsidR="00112734" w:rsidRDefault="00112734" w:rsidP="00112734">
      <w:pPr>
        <w:pStyle w:val="BodyText"/>
        <w:ind w:left="567"/>
      </w:pPr>
      <w:r w:rsidRPr="00112734">
        <w:t>An assurance engagement involves performing procedures to obtain evidence about the amounts and disclosures in the key performance indicators. It also involves evaluating the relevance and appropriateness of the key performance indicators against the criteria and guidance in Treasurer's Instruction 904 for measuring the extent of outcome achievement and the efficiency of service delivery.</w:t>
      </w:r>
    </w:p>
    <w:p w:rsidR="00112734" w:rsidRDefault="00112734" w:rsidP="00250016">
      <w:pPr>
        <w:pStyle w:val="BodyText"/>
        <w:spacing w:after="240"/>
        <w:ind w:left="567"/>
      </w:pPr>
      <w:r w:rsidRPr="00112734">
        <w:t>The procedures selected depend on my judgement, including the assessment of the risks of material misstatement of the key performance indicators. In making these risk assessments I obtain an understanding of internal control relevant to the engagement in order to design procedures that are appropriate in the circumstances.</w:t>
      </w:r>
      <w:r>
        <w:t xml:space="preserve"> </w:t>
      </w:r>
      <w:r w:rsidRPr="00112734">
        <w:t>I believe that the evidence I have obtained is sufficient and appropriate to provide a basis for my opinion.</w:t>
      </w:r>
    </w:p>
    <w:p w:rsidR="00112734" w:rsidRPr="00112734" w:rsidRDefault="00112734" w:rsidP="00250016">
      <w:pPr>
        <w:pStyle w:val="BodyText"/>
        <w:ind w:left="567"/>
      </w:pPr>
      <w:r>
        <w:t>My Independence and Quality Control Relating to the Reports on Controls and Key Performance Indicators</w:t>
      </w:r>
    </w:p>
    <w:p w:rsidR="00112734" w:rsidRDefault="00112734" w:rsidP="00250016">
      <w:pPr>
        <w:pStyle w:val="BodyText"/>
        <w:spacing w:after="240"/>
        <w:ind w:left="567"/>
        <w:rPr>
          <w:w w:val="105"/>
        </w:rPr>
      </w:pPr>
      <w:r>
        <w:rPr>
          <w:w w:val="105"/>
        </w:rPr>
        <w:t xml:space="preserve">I have complied with the independence requirements of the </w:t>
      </w:r>
      <w:r>
        <w:rPr>
          <w:i/>
          <w:w w:val="105"/>
        </w:rPr>
        <w:t xml:space="preserve">Auditor General Act 2006 </w:t>
      </w:r>
      <w:r>
        <w:rPr>
          <w:w w:val="105"/>
        </w:rPr>
        <w:t xml:space="preserve">and the relevant ethical requirements relating to assurance engagements. In accordance with ASQC 1 </w:t>
      </w:r>
      <w:r>
        <w:rPr>
          <w:i/>
          <w:w w:val="105"/>
        </w:rPr>
        <w:t xml:space="preserve">Quality Control for Firms that Perform Audits and Reviews of Financial Reports and Other Financial Information, and Other Assurance Engagements, </w:t>
      </w:r>
      <w:r>
        <w:rPr>
          <w:w w:val="105"/>
        </w:rPr>
        <w:t>the Office of the Auditor General maintains a comprehensive system of quality control including documented policies and procedures regarding compliance with ethical requirements, professional standards and applicable legal and regulatory requirements.</w:t>
      </w:r>
    </w:p>
    <w:p w:rsidR="00112734" w:rsidRDefault="00112734" w:rsidP="00250016">
      <w:pPr>
        <w:pStyle w:val="BodyText"/>
        <w:ind w:left="567"/>
        <w:rPr>
          <w:w w:val="105"/>
        </w:rPr>
      </w:pPr>
      <w:r>
        <w:rPr>
          <w:w w:val="105"/>
        </w:rPr>
        <w:t>Matters Relating to the Electronic Publication of the Audited Financial Statements and Key Performance Indicators</w:t>
      </w:r>
    </w:p>
    <w:p w:rsidR="00112734" w:rsidRPr="00112734" w:rsidRDefault="00112734" w:rsidP="00112734">
      <w:pPr>
        <w:pStyle w:val="BodyText"/>
        <w:ind w:left="567"/>
      </w:pPr>
      <w:r w:rsidRPr="00112734">
        <w:t>This auditor's report relates to the financial statements and key performance indicators of the Office of the Government Chief Information Officer for the year ended 30 June 2018 included on the Office's website. The Office's management is responsible for the integrity of the Office's website.</w:t>
      </w:r>
    </w:p>
    <w:p w:rsidR="00112734" w:rsidRPr="00112734" w:rsidRDefault="00112734" w:rsidP="00112734">
      <w:pPr>
        <w:pStyle w:val="BodyText"/>
        <w:ind w:left="567"/>
      </w:pPr>
      <w:r w:rsidRPr="00112734">
        <w:t>This audit does not provide assurance on the integrity of the Office's website. The auditor's report refers only to the financial statements and key performance indicators described above. It does not provide an opinion on any other information which may have been hyperlinked to/from these financial statements or key performance indicators. If users of the financial statements and key performance indicators are concerned with the inherent risks arising from publication on a website, they are advised to refer to the hard copy of the audited financial statements and key performance indicators to confirm the information contained in this website version of the financial statements and key performance indicators.</w:t>
      </w:r>
    </w:p>
    <w:p w:rsidR="00ED09D4" w:rsidRPr="00ED09D4" w:rsidRDefault="00ED09D4" w:rsidP="00ED09D4">
      <w:pPr>
        <w:pStyle w:val="Heading3"/>
        <w:ind w:left="567"/>
        <w:sectPr w:rsidR="00ED09D4" w:rsidRPr="00ED09D4" w:rsidSect="00185881">
          <w:pgSz w:w="16840" w:h="11910" w:orient="landscape"/>
          <w:pgMar w:top="540" w:right="822" w:bottom="360" w:left="0" w:header="229" w:footer="145" w:gutter="0"/>
          <w:cols w:space="720"/>
        </w:sectPr>
      </w:pPr>
    </w:p>
    <w:p w:rsidR="00A1463E" w:rsidRDefault="00A1463E">
      <w:pPr>
        <w:pStyle w:val="BodyText"/>
        <w:spacing w:before="9"/>
        <w:rPr>
          <w:rFonts w:ascii="Times New Roman"/>
          <w:sz w:val="17"/>
        </w:rPr>
      </w:pPr>
    </w:p>
    <w:p w:rsidR="00A1463E" w:rsidRDefault="00801401" w:rsidP="00801401">
      <w:pPr>
        <w:pStyle w:val="TableParagraph"/>
        <w:spacing w:line="299" w:lineRule="exact"/>
        <w:ind w:left="709"/>
        <w:rPr>
          <w:color w:val="353434"/>
          <w:sz w:val="32"/>
        </w:rPr>
      </w:pPr>
      <w:bookmarkStart w:id="31" w:name="statement_of_comprehensive_income_For_th"/>
      <w:bookmarkStart w:id="32" w:name="_bookmark26"/>
      <w:bookmarkEnd w:id="31"/>
      <w:bookmarkEnd w:id="32"/>
      <w:r>
        <w:rPr>
          <w:color w:val="353434"/>
          <w:sz w:val="32"/>
        </w:rPr>
        <w:t>Statement of Comprehensive I</w:t>
      </w:r>
      <w:r w:rsidRPr="00801401">
        <w:rPr>
          <w:color w:val="353434"/>
          <w:sz w:val="32"/>
        </w:rPr>
        <w:t>ncome for the year ended 30 June 2018</w:t>
      </w:r>
    </w:p>
    <w:tbl>
      <w:tblPr>
        <w:tblStyle w:val="TableGrid"/>
        <w:tblW w:w="0" w:type="auto"/>
        <w:tblInd w:w="709" w:type="dxa"/>
        <w:tblLook w:val="04A0" w:firstRow="1" w:lastRow="0" w:firstColumn="1" w:lastColumn="0" w:noHBand="0" w:noVBand="1"/>
        <w:tblCaption w:val="Statement of Comprehensive Income for the year ended 30 June 2018"/>
        <w:tblDescription w:val="Table showing statement of comprehensive income for the year ended 30 June 2018"/>
      </w:tblPr>
      <w:tblGrid>
        <w:gridCol w:w="12186"/>
        <w:gridCol w:w="850"/>
        <w:gridCol w:w="851"/>
        <w:gridCol w:w="855"/>
      </w:tblGrid>
      <w:tr w:rsidR="00801401" w:rsidTr="00C4346D">
        <w:trPr>
          <w:tblHeader/>
        </w:trPr>
        <w:tc>
          <w:tcPr>
            <w:tcW w:w="12186" w:type="dxa"/>
          </w:tcPr>
          <w:p w:rsidR="00801401" w:rsidRPr="005F5CA8" w:rsidRDefault="00801401" w:rsidP="00801401">
            <w:pPr>
              <w:pStyle w:val="TableParagraph"/>
              <w:spacing w:before="1"/>
              <w:ind w:left="6"/>
              <w:rPr>
                <w:b/>
                <w:sz w:val="24"/>
              </w:rPr>
            </w:pPr>
            <w:r w:rsidRPr="005F5CA8">
              <w:rPr>
                <w:b/>
                <w:sz w:val="24"/>
              </w:rPr>
              <w:t>Cost of services</w:t>
            </w:r>
            <w:r w:rsidR="00C4346D" w:rsidRPr="005F5CA8">
              <w:rPr>
                <w:b/>
                <w:sz w:val="24"/>
              </w:rPr>
              <w:t xml:space="preserve"> - expenses</w:t>
            </w:r>
          </w:p>
        </w:tc>
        <w:tc>
          <w:tcPr>
            <w:tcW w:w="850" w:type="dxa"/>
          </w:tcPr>
          <w:p w:rsidR="00801401" w:rsidRPr="005F5CA8" w:rsidRDefault="00801401" w:rsidP="00801401">
            <w:pPr>
              <w:pStyle w:val="TableParagraph"/>
              <w:spacing w:before="1"/>
              <w:ind w:left="6"/>
              <w:rPr>
                <w:b/>
                <w:sz w:val="24"/>
              </w:rPr>
            </w:pPr>
            <w:r w:rsidRPr="005F5CA8">
              <w:rPr>
                <w:b/>
                <w:sz w:val="24"/>
              </w:rPr>
              <w:t>Note</w:t>
            </w:r>
          </w:p>
        </w:tc>
        <w:tc>
          <w:tcPr>
            <w:tcW w:w="851" w:type="dxa"/>
          </w:tcPr>
          <w:p w:rsidR="00801401" w:rsidRPr="005F5CA8" w:rsidRDefault="00801401" w:rsidP="00801401">
            <w:pPr>
              <w:pStyle w:val="TableParagraph"/>
              <w:spacing w:before="1"/>
              <w:ind w:left="6"/>
              <w:rPr>
                <w:b/>
                <w:sz w:val="24"/>
              </w:rPr>
            </w:pPr>
            <w:r w:rsidRPr="005F5CA8">
              <w:rPr>
                <w:b/>
                <w:sz w:val="24"/>
              </w:rPr>
              <w:t>2018 $000</w:t>
            </w:r>
          </w:p>
        </w:tc>
        <w:tc>
          <w:tcPr>
            <w:tcW w:w="855" w:type="dxa"/>
          </w:tcPr>
          <w:p w:rsidR="00801401" w:rsidRPr="005F5CA8" w:rsidRDefault="00801401" w:rsidP="00801401">
            <w:pPr>
              <w:pStyle w:val="TableParagraph"/>
              <w:spacing w:before="1"/>
              <w:ind w:left="6"/>
              <w:rPr>
                <w:b/>
                <w:sz w:val="24"/>
              </w:rPr>
            </w:pPr>
            <w:r w:rsidRPr="005F5CA8">
              <w:rPr>
                <w:b/>
                <w:sz w:val="24"/>
              </w:rPr>
              <w:t>2017 $000</w:t>
            </w:r>
          </w:p>
        </w:tc>
      </w:tr>
      <w:tr w:rsidR="00801401" w:rsidTr="00C4346D">
        <w:trPr>
          <w:trHeight w:val="284"/>
        </w:trPr>
        <w:tc>
          <w:tcPr>
            <w:tcW w:w="12186" w:type="dxa"/>
          </w:tcPr>
          <w:p w:rsidR="00801401" w:rsidRPr="00801401" w:rsidRDefault="00801401" w:rsidP="00801401">
            <w:pPr>
              <w:pStyle w:val="Pa1"/>
              <w:rPr>
                <w:color w:val="000000"/>
                <w:sz w:val="23"/>
                <w:szCs w:val="23"/>
              </w:rPr>
            </w:pPr>
            <w:r>
              <w:rPr>
                <w:color w:val="000000"/>
                <w:sz w:val="23"/>
                <w:szCs w:val="23"/>
              </w:rPr>
              <w:t xml:space="preserve">Employee benefits expense </w:t>
            </w:r>
          </w:p>
        </w:tc>
        <w:tc>
          <w:tcPr>
            <w:tcW w:w="850" w:type="dxa"/>
          </w:tcPr>
          <w:p w:rsidR="00801401" w:rsidRPr="00801401" w:rsidRDefault="00801401" w:rsidP="00801401">
            <w:pPr>
              <w:pStyle w:val="TableParagraph"/>
              <w:ind w:left="6"/>
              <w:rPr>
                <w:sz w:val="24"/>
              </w:rPr>
            </w:pPr>
            <w:r>
              <w:rPr>
                <w:sz w:val="24"/>
              </w:rPr>
              <w:t>7</w:t>
            </w:r>
          </w:p>
        </w:tc>
        <w:tc>
          <w:tcPr>
            <w:tcW w:w="851" w:type="dxa"/>
          </w:tcPr>
          <w:p w:rsidR="00801401" w:rsidRPr="00801401" w:rsidRDefault="00801401" w:rsidP="00801401">
            <w:pPr>
              <w:pStyle w:val="TableParagraph"/>
              <w:ind w:left="6"/>
              <w:rPr>
                <w:sz w:val="24"/>
              </w:rPr>
            </w:pPr>
            <w:r>
              <w:rPr>
                <w:sz w:val="24"/>
              </w:rPr>
              <w:t>4519</w:t>
            </w:r>
          </w:p>
        </w:tc>
        <w:tc>
          <w:tcPr>
            <w:tcW w:w="855" w:type="dxa"/>
          </w:tcPr>
          <w:p w:rsidR="00801401" w:rsidRPr="00801401" w:rsidRDefault="00801401" w:rsidP="00801401">
            <w:pPr>
              <w:pStyle w:val="TableParagraph"/>
              <w:ind w:left="6"/>
              <w:rPr>
                <w:sz w:val="24"/>
              </w:rPr>
            </w:pPr>
            <w:r>
              <w:rPr>
                <w:sz w:val="24"/>
              </w:rPr>
              <w:t>4408</w:t>
            </w:r>
          </w:p>
        </w:tc>
      </w:tr>
      <w:tr w:rsidR="00801401" w:rsidTr="00C4346D">
        <w:trPr>
          <w:trHeight w:val="247"/>
        </w:trPr>
        <w:tc>
          <w:tcPr>
            <w:tcW w:w="12186" w:type="dxa"/>
          </w:tcPr>
          <w:p w:rsidR="00801401" w:rsidRPr="00801401" w:rsidRDefault="00801401" w:rsidP="00801401">
            <w:pPr>
              <w:pStyle w:val="Pa1"/>
              <w:rPr>
                <w:color w:val="000000"/>
                <w:sz w:val="23"/>
                <w:szCs w:val="23"/>
              </w:rPr>
            </w:pPr>
            <w:r>
              <w:rPr>
                <w:color w:val="000000"/>
                <w:sz w:val="23"/>
                <w:szCs w:val="23"/>
              </w:rPr>
              <w:t xml:space="preserve">Supplies and services </w:t>
            </w:r>
          </w:p>
        </w:tc>
        <w:tc>
          <w:tcPr>
            <w:tcW w:w="850" w:type="dxa"/>
          </w:tcPr>
          <w:p w:rsidR="00801401" w:rsidRPr="00801401" w:rsidRDefault="00801401" w:rsidP="00801401">
            <w:pPr>
              <w:pStyle w:val="TableParagraph"/>
              <w:ind w:left="6"/>
              <w:rPr>
                <w:sz w:val="24"/>
              </w:rPr>
            </w:pPr>
            <w:r>
              <w:rPr>
                <w:sz w:val="24"/>
              </w:rPr>
              <w:t>8</w:t>
            </w:r>
          </w:p>
        </w:tc>
        <w:tc>
          <w:tcPr>
            <w:tcW w:w="851" w:type="dxa"/>
          </w:tcPr>
          <w:p w:rsidR="00801401" w:rsidRPr="00801401" w:rsidRDefault="00801401" w:rsidP="00801401">
            <w:pPr>
              <w:pStyle w:val="TableParagraph"/>
              <w:ind w:left="6"/>
              <w:rPr>
                <w:sz w:val="24"/>
              </w:rPr>
            </w:pPr>
            <w:r>
              <w:rPr>
                <w:sz w:val="24"/>
              </w:rPr>
              <w:t>1372</w:t>
            </w:r>
          </w:p>
        </w:tc>
        <w:tc>
          <w:tcPr>
            <w:tcW w:w="855" w:type="dxa"/>
          </w:tcPr>
          <w:p w:rsidR="00801401" w:rsidRPr="00801401" w:rsidRDefault="00801401" w:rsidP="00801401">
            <w:pPr>
              <w:pStyle w:val="TableParagraph"/>
              <w:ind w:left="6"/>
              <w:rPr>
                <w:sz w:val="24"/>
              </w:rPr>
            </w:pPr>
            <w:r>
              <w:rPr>
                <w:sz w:val="24"/>
              </w:rPr>
              <w:t>4246</w:t>
            </w:r>
          </w:p>
        </w:tc>
      </w:tr>
      <w:tr w:rsidR="00801401" w:rsidTr="00C4346D">
        <w:tc>
          <w:tcPr>
            <w:tcW w:w="12186" w:type="dxa"/>
          </w:tcPr>
          <w:p w:rsidR="00801401" w:rsidRPr="00801401" w:rsidRDefault="00801401" w:rsidP="00801401">
            <w:pPr>
              <w:pStyle w:val="Pa1"/>
              <w:rPr>
                <w:color w:val="000000"/>
                <w:sz w:val="23"/>
                <w:szCs w:val="23"/>
              </w:rPr>
            </w:pPr>
            <w:r>
              <w:rPr>
                <w:color w:val="000000"/>
                <w:sz w:val="23"/>
                <w:szCs w:val="23"/>
              </w:rPr>
              <w:t xml:space="preserve">Amortisation expense </w:t>
            </w:r>
          </w:p>
        </w:tc>
        <w:tc>
          <w:tcPr>
            <w:tcW w:w="850" w:type="dxa"/>
          </w:tcPr>
          <w:p w:rsidR="00801401" w:rsidRPr="00801401" w:rsidRDefault="00801401" w:rsidP="00801401">
            <w:pPr>
              <w:pStyle w:val="TableParagraph"/>
              <w:ind w:left="6"/>
              <w:rPr>
                <w:sz w:val="24"/>
              </w:rPr>
            </w:pPr>
            <w:r>
              <w:rPr>
                <w:sz w:val="24"/>
              </w:rPr>
              <w:t>9</w:t>
            </w:r>
          </w:p>
        </w:tc>
        <w:tc>
          <w:tcPr>
            <w:tcW w:w="851" w:type="dxa"/>
          </w:tcPr>
          <w:p w:rsidR="00801401" w:rsidRPr="00801401" w:rsidRDefault="00801401" w:rsidP="00801401">
            <w:pPr>
              <w:pStyle w:val="TableParagraph"/>
              <w:ind w:left="6"/>
              <w:rPr>
                <w:sz w:val="24"/>
              </w:rPr>
            </w:pPr>
            <w:r>
              <w:rPr>
                <w:sz w:val="24"/>
              </w:rPr>
              <w:t>82</w:t>
            </w:r>
          </w:p>
        </w:tc>
        <w:tc>
          <w:tcPr>
            <w:tcW w:w="855" w:type="dxa"/>
          </w:tcPr>
          <w:p w:rsidR="00801401" w:rsidRPr="00801401" w:rsidRDefault="00801401" w:rsidP="00801401">
            <w:pPr>
              <w:pStyle w:val="TableParagraph"/>
              <w:ind w:left="6"/>
              <w:rPr>
                <w:sz w:val="24"/>
              </w:rPr>
            </w:pPr>
            <w:r>
              <w:rPr>
                <w:sz w:val="24"/>
              </w:rPr>
              <w:t>0</w:t>
            </w:r>
          </w:p>
        </w:tc>
      </w:tr>
      <w:tr w:rsidR="00801401" w:rsidTr="00C4346D">
        <w:tc>
          <w:tcPr>
            <w:tcW w:w="12186" w:type="dxa"/>
          </w:tcPr>
          <w:p w:rsidR="00801401" w:rsidRPr="00801401" w:rsidRDefault="00801401" w:rsidP="00801401">
            <w:pPr>
              <w:pStyle w:val="Pa1"/>
              <w:rPr>
                <w:color w:val="000000"/>
                <w:sz w:val="23"/>
                <w:szCs w:val="23"/>
              </w:rPr>
            </w:pPr>
            <w:r>
              <w:rPr>
                <w:color w:val="000000"/>
                <w:sz w:val="23"/>
                <w:szCs w:val="23"/>
              </w:rPr>
              <w:t xml:space="preserve">Accommodation expenses </w:t>
            </w:r>
          </w:p>
        </w:tc>
        <w:tc>
          <w:tcPr>
            <w:tcW w:w="850" w:type="dxa"/>
          </w:tcPr>
          <w:p w:rsidR="00801401" w:rsidRPr="00801401" w:rsidRDefault="00801401" w:rsidP="00801401">
            <w:pPr>
              <w:pStyle w:val="TableParagraph"/>
              <w:rPr>
                <w:sz w:val="24"/>
              </w:rPr>
            </w:pPr>
            <w:r>
              <w:rPr>
                <w:sz w:val="24"/>
              </w:rPr>
              <w:t>10</w:t>
            </w:r>
          </w:p>
        </w:tc>
        <w:tc>
          <w:tcPr>
            <w:tcW w:w="851" w:type="dxa"/>
          </w:tcPr>
          <w:p w:rsidR="00801401" w:rsidRPr="00801401" w:rsidRDefault="00801401" w:rsidP="00801401">
            <w:pPr>
              <w:pStyle w:val="TableParagraph"/>
              <w:ind w:left="6"/>
              <w:rPr>
                <w:sz w:val="24"/>
              </w:rPr>
            </w:pPr>
            <w:r>
              <w:rPr>
                <w:sz w:val="24"/>
              </w:rPr>
              <w:t>535</w:t>
            </w:r>
          </w:p>
        </w:tc>
        <w:tc>
          <w:tcPr>
            <w:tcW w:w="855" w:type="dxa"/>
          </w:tcPr>
          <w:p w:rsidR="00801401" w:rsidRPr="00801401" w:rsidRDefault="00801401" w:rsidP="00801401">
            <w:pPr>
              <w:pStyle w:val="TableParagraph"/>
              <w:ind w:left="6"/>
              <w:rPr>
                <w:sz w:val="24"/>
              </w:rPr>
            </w:pPr>
            <w:r>
              <w:rPr>
                <w:sz w:val="24"/>
              </w:rPr>
              <w:t>313</w:t>
            </w:r>
          </w:p>
        </w:tc>
      </w:tr>
      <w:tr w:rsidR="00801401" w:rsidTr="00C4346D">
        <w:tc>
          <w:tcPr>
            <w:tcW w:w="12186" w:type="dxa"/>
          </w:tcPr>
          <w:p w:rsidR="00801401" w:rsidRPr="00801401" w:rsidRDefault="00801401" w:rsidP="00801401">
            <w:pPr>
              <w:pStyle w:val="Pa1"/>
              <w:rPr>
                <w:color w:val="000000"/>
                <w:sz w:val="23"/>
                <w:szCs w:val="23"/>
              </w:rPr>
            </w:pPr>
            <w:r>
              <w:rPr>
                <w:color w:val="000000"/>
                <w:sz w:val="23"/>
                <w:szCs w:val="23"/>
              </w:rPr>
              <w:t xml:space="preserve">Grants and subsidies </w:t>
            </w:r>
          </w:p>
        </w:tc>
        <w:tc>
          <w:tcPr>
            <w:tcW w:w="850" w:type="dxa"/>
          </w:tcPr>
          <w:p w:rsidR="00801401" w:rsidRPr="00801401" w:rsidRDefault="00801401" w:rsidP="00801401">
            <w:pPr>
              <w:pStyle w:val="TableParagraph"/>
              <w:ind w:left="6"/>
              <w:rPr>
                <w:sz w:val="24"/>
              </w:rPr>
            </w:pPr>
            <w:r>
              <w:rPr>
                <w:sz w:val="24"/>
              </w:rPr>
              <w:t>11</w:t>
            </w:r>
          </w:p>
        </w:tc>
        <w:tc>
          <w:tcPr>
            <w:tcW w:w="851" w:type="dxa"/>
          </w:tcPr>
          <w:p w:rsidR="00801401" w:rsidRPr="00801401" w:rsidRDefault="00801401" w:rsidP="00801401">
            <w:pPr>
              <w:pStyle w:val="TableParagraph"/>
              <w:ind w:left="6"/>
              <w:rPr>
                <w:sz w:val="24"/>
              </w:rPr>
            </w:pPr>
            <w:r>
              <w:rPr>
                <w:sz w:val="24"/>
              </w:rPr>
              <w:t>180</w:t>
            </w:r>
          </w:p>
        </w:tc>
        <w:tc>
          <w:tcPr>
            <w:tcW w:w="855" w:type="dxa"/>
          </w:tcPr>
          <w:p w:rsidR="00801401" w:rsidRPr="00801401" w:rsidRDefault="00801401" w:rsidP="00801401">
            <w:pPr>
              <w:pStyle w:val="TableParagraph"/>
              <w:ind w:left="6"/>
              <w:rPr>
                <w:sz w:val="24"/>
              </w:rPr>
            </w:pPr>
            <w:r>
              <w:rPr>
                <w:sz w:val="24"/>
              </w:rPr>
              <w:t>369</w:t>
            </w:r>
          </w:p>
        </w:tc>
      </w:tr>
      <w:tr w:rsidR="00801401" w:rsidTr="00C4346D">
        <w:tc>
          <w:tcPr>
            <w:tcW w:w="12186" w:type="dxa"/>
          </w:tcPr>
          <w:p w:rsidR="00801401" w:rsidRPr="00801401" w:rsidRDefault="00801401" w:rsidP="00801401">
            <w:pPr>
              <w:pStyle w:val="Pa1"/>
              <w:rPr>
                <w:color w:val="000000"/>
                <w:sz w:val="23"/>
                <w:szCs w:val="23"/>
              </w:rPr>
            </w:pPr>
            <w:r>
              <w:rPr>
                <w:color w:val="000000"/>
                <w:sz w:val="23"/>
                <w:szCs w:val="23"/>
              </w:rPr>
              <w:t xml:space="preserve">Other expenses </w:t>
            </w:r>
          </w:p>
        </w:tc>
        <w:tc>
          <w:tcPr>
            <w:tcW w:w="850" w:type="dxa"/>
          </w:tcPr>
          <w:p w:rsidR="00801401" w:rsidRPr="00801401" w:rsidRDefault="00801401" w:rsidP="00801401">
            <w:pPr>
              <w:pStyle w:val="TableParagraph"/>
              <w:ind w:left="6"/>
              <w:rPr>
                <w:sz w:val="24"/>
              </w:rPr>
            </w:pPr>
            <w:r>
              <w:rPr>
                <w:sz w:val="24"/>
              </w:rPr>
              <w:t>12</w:t>
            </w:r>
          </w:p>
        </w:tc>
        <w:tc>
          <w:tcPr>
            <w:tcW w:w="851" w:type="dxa"/>
          </w:tcPr>
          <w:p w:rsidR="00801401" w:rsidRPr="00801401" w:rsidRDefault="00801401" w:rsidP="00801401">
            <w:pPr>
              <w:pStyle w:val="TableParagraph"/>
              <w:ind w:left="6"/>
              <w:rPr>
                <w:sz w:val="24"/>
              </w:rPr>
            </w:pPr>
            <w:r>
              <w:rPr>
                <w:sz w:val="24"/>
              </w:rPr>
              <w:t>54</w:t>
            </w:r>
          </w:p>
        </w:tc>
        <w:tc>
          <w:tcPr>
            <w:tcW w:w="855" w:type="dxa"/>
          </w:tcPr>
          <w:p w:rsidR="00801401" w:rsidRPr="00801401" w:rsidRDefault="00801401" w:rsidP="00801401">
            <w:pPr>
              <w:pStyle w:val="TableParagraph"/>
              <w:ind w:left="6"/>
              <w:rPr>
                <w:sz w:val="24"/>
              </w:rPr>
            </w:pPr>
            <w:r>
              <w:rPr>
                <w:sz w:val="24"/>
              </w:rPr>
              <w:t>94</w:t>
            </w:r>
          </w:p>
        </w:tc>
      </w:tr>
      <w:tr w:rsidR="00801401" w:rsidTr="00C4346D">
        <w:tc>
          <w:tcPr>
            <w:tcW w:w="12186" w:type="dxa"/>
          </w:tcPr>
          <w:p w:rsidR="00801401" w:rsidRPr="00801401" w:rsidRDefault="00801401" w:rsidP="00801401">
            <w:pPr>
              <w:pStyle w:val="Pa1"/>
              <w:rPr>
                <w:b/>
                <w:color w:val="000000"/>
                <w:sz w:val="23"/>
                <w:szCs w:val="23"/>
              </w:rPr>
            </w:pPr>
            <w:r w:rsidRPr="00801401">
              <w:rPr>
                <w:b/>
                <w:bCs/>
                <w:color w:val="000000"/>
                <w:sz w:val="23"/>
                <w:szCs w:val="23"/>
              </w:rPr>
              <w:t>Total cost of services</w:t>
            </w:r>
          </w:p>
        </w:tc>
        <w:tc>
          <w:tcPr>
            <w:tcW w:w="850" w:type="dxa"/>
          </w:tcPr>
          <w:p w:rsidR="00801401" w:rsidRPr="00801401" w:rsidRDefault="00801401" w:rsidP="00801401">
            <w:pPr>
              <w:pStyle w:val="TableParagraph"/>
              <w:ind w:left="6"/>
              <w:rPr>
                <w:b/>
                <w:sz w:val="24"/>
              </w:rPr>
            </w:pPr>
          </w:p>
        </w:tc>
        <w:tc>
          <w:tcPr>
            <w:tcW w:w="851" w:type="dxa"/>
          </w:tcPr>
          <w:p w:rsidR="00801401" w:rsidRPr="00801401" w:rsidRDefault="00801401" w:rsidP="00801401">
            <w:pPr>
              <w:pStyle w:val="TableParagraph"/>
              <w:ind w:left="6"/>
              <w:rPr>
                <w:b/>
                <w:sz w:val="24"/>
              </w:rPr>
            </w:pPr>
            <w:r w:rsidRPr="00801401">
              <w:rPr>
                <w:b/>
                <w:sz w:val="24"/>
              </w:rPr>
              <w:t>6742</w:t>
            </w:r>
          </w:p>
        </w:tc>
        <w:tc>
          <w:tcPr>
            <w:tcW w:w="855" w:type="dxa"/>
          </w:tcPr>
          <w:p w:rsidR="00801401" w:rsidRPr="00801401" w:rsidRDefault="00801401" w:rsidP="00801401">
            <w:pPr>
              <w:pStyle w:val="TableParagraph"/>
              <w:ind w:left="6"/>
              <w:rPr>
                <w:b/>
                <w:sz w:val="24"/>
              </w:rPr>
            </w:pPr>
            <w:r w:rsidRPr="00801401">
              <w:rPr>
                <w:b/>
                <w:sz w:val="24"/>
              </w:rPr>
              <w:t>9430</w:t>
            </w:r>
          </w:p>
        </w:tc>
      </w:tr>
    </w:tbl>
    <w:p w:rsidR="00B30C9E" w:rsidRDefault="00B30C9E" w:rsidP="00921714">
      <w:pPr>
        <w:pStyle w:val="BodyText"/>
        <w:ind w:left="709"/>
      </w:pPr>
    </w:p>
    <w:tbl>
      <w:tblPr>
        <w:tblStyle w:val="TableGrid"/>
        <w:tblW w:w="0" w:type="auto"/>
        <w:tblInd w:w="709" w:type="dxa"/>
        <w:tblLook w:val="04A0" w:firstRow="1" w:lastRow="0" w:firstColumn="1" w:lastColumn="0" w:noHBand="0" w:noVBand="1"/>
        <w:tblCaption w:val="Statement of Comprehensive income"/>
        <w:tblDescription w:val="Statement of comprehensive income for the year ended 30 June 2018 Income"/>
      </w:tblPr>
      <w:tblGrid>
        <w:gridCol w:w="12186"/>
        <w:gridCol w:w="850"/>
        <w:gridCol w:w="853"/>
        <w:gridCol w:w="859"/>
      </w:tblGrid>
      <w:tr w:rsidR="00B30C9E" w:rsidRPr="00801401" w:rsidTr="006604EC">
        <w:trPr>
          <w:tblHeader/>
        </w:trPr>
        <w:tc>
          <w:tcPr>
            <w:tcW w:w="12186" w:type="dxa"/>
          </w:tcPr>
          <w:p w:rsidR="00B30C9E" w:rsidRDefault="00B30C9E" w:rsidP="00DC3AEB">
            <w:pPr>
              <w:pStyle w:val="Pa1"/>
              <w:rPr>
                <w:b/>
                <w:bCs/>
                <w:color w:val="000000"/>
                <w:sz w:val="23"/>
                <w:szCs w:val="23"/>
              </w:rPr>
            </w:pPr>
            <w:r>
              <w:rPr>
                <w:b/>
                <w:bCs/>
                <w:color w:val="000000"/>
                <w:sz w:val="23"/>
                <w:szCs w:val="23"/>
              </w:rPr>
              <w:t>Income</w:t>
            </w:r>
          </w:p>
        </w:tc>
        <w:tc>
          <w:tcPr>
            <w:tcW w:w="850" w:type="dxa"/>
          </w:tcPr>
          <w:p w:rsidR="00B30C9E" w:rsidRPr="005F5CA8" w:rsidRDefault="00B30C9E" w:rsidP="005F5CA8">
            <w:pPr>
              <w:pStyle w:val="TableParagraph"/>
              <w:spacing w:before="1"/>
              <w:ind w:left="6"/>
              <w:rPr>
                <w:b/>
                <w:sz w:val="24"/>
              </w:rPr>
            </w:pPr>
            <w:r w:rsidRPr="005F5CA8">
              <w:rPr>
                <w:b/>
                <w:sz w:val="24"/>
              </w:rPr>
              <w:t>Note</w:t>
            </w:r>
          </w:p>
        </w:tc>
        <w:tc>
          <w:tcPr>
            <w:tcW w:w="851" w:type="dxa"/>
          </w:tcPr>
          <w:p w:rsidR="00B30C9E" w:rsidRPr="005F5CA8" w:rsidRDefault="00B30C9E" w:rsidP="005F5CA8">
            <w:pPr>
              <w:pStyle w:val="TableParagraph"/>
              <w:spacing w:before="1"/>
              <w:ind w:left="6"/>
              <w:rPr>
                <w:b/>
                <w:sz w:val="24"/>
              </w:rPr>
            </w:pPr>
            <w:r w:rsidRPr="005F5CA8">
              <w:rPr>
                <w:b/>
                <w:sz w:val="24"/>
              </w:rPr>
              <w:t>2018 $000</w:t>
            </w:r>
          </w:p>
        </w:tc>
        <w:tc>
          <w:tcPr>
            <w:tcW w:w="855" w:type="dxa"/>
          </w:tcPr>
          <w:p w:rsidR="00B30C9E" w:rsidRPr="005F5CA8" w:rsidRDefault="00B30C9E" w:rsidP="005F5CA8">
            <w:pPr>
              <w:pStyle w:val="TableParagraph"/>
              <w:spacing w:before="1"/>
              <w:ind w:left="6"/>
              <w:rPr>
                <w:b/>
                <w:sz w:val="24"/>
              </w:rPr>
            </w:pPr>
            <w:r w:rsidRPr="005F5CA8">
              <w:rPr>
                <w:b/>
                <w:sz w:val="24"/>
              </w:rPr>
              <w:t>2017 $000</w:t>
            </w:r>
          </w:p>
        </w:tc>
      </w:tr>
      <w:tr w:rsidR="00B30C9E" w:rsidRPr="00801401" w:rsidTr="00DC3AEB">
        <w:tc>
          <w:tcPr>
            <w:tcW w:w="12186" w:type="dxa"/>
          </w:tcPr>
          <w:p w:rsidR="00B30C9E" w:rsidRPr="005F5CA8" w:rsidRDefault="00B30C9E" w:rsidP="00DC3AEB">
            <w:pPr>
              <w:pStyle w:val="Pa1"/>
              <w:rPr>
                <w:bCs/>
                <w:color w:val="000000"/>
                <w:sz w:val="23"/>
                <w:szCs w:val="23"/>
              </w:rPr>
            </w:pPr>
            <w:r w:rsidRPr="005F5CA8">
              <w:rPr>
                <w:bCs/>
                <w:color w:val="000000"/>
                <w:sz w:val="23"/>
                <w:szCs w:val="23"/>
              </w:rPr>
              <w:t>Revenue</w:t>
            </w:r>
          </w:p>
        </w:tc>
        <w:tc>
          <w:tcPr>
            <w:tcW w:w="850" w:type="dxa"/>
          </w:tcPr>
          <w:p w:rsidR="00B30C9E" w:rsidRPr="00801401" w:rsidRDefault="00B30C9E" w:rsidP="00DC3AEB">
            <w:pPr>
              <w:pStyle w:val="TableParagraph"/>
              <w:ind w:left="6"/>
              <w:rPr>
                <w:sz w:val="24"/>
              </w:rPr>
            </w:pPr>
            <w:r>
              <w:rPr>
                <w:sz w:val="24"/>
              </w:rPr>
              <w:t>13</w:t>
            </w:r>
          </w:p>
        </w:tc>
        <w:tc>
          <w:tcPr>
            <w:tcW w:w="851" w:type="dxa"/>
          </w:tcPr>
          <w:p w:rsidR="00B30C9E" w:rsidRPr="00801401" w:rsidRDefault="00B30C9E" w:rsidP="00DC3AEB">
            <w:pPr>
              <w:pStyle w:val="TableParagraph"/>
              <w:ind w:left="6"/>
              <w:rPr>
                <w:sz w:val="24"/>
              </w:rPr>
            </w:pPr>
          </w:p>
        </w:tc>
        <w:tc>
          <w:tcPr>
            <w:tcW w:w="855" w:type="dxa"/>
          </w:tcPr>
          <w:p w:rsidR="00B30C9E" w:rsidRPr="00801401" w:rsidRDefault="00B30C9E" w:rsidP="00DC3AEB">
            <w:pPr>
              <w:pStyle w:val="TableParagraph"/>
              <w:ind w:left="6"/>
              <w:rPr>
                <w:sz w:val="24"/>
              </w:rPr>
            </w:pPr>
          </w:p>
        </w:tc>
      </w:tr>
      <w:tr w:rsidR="00B30C9E" w:rsidRPr="00801401" w:rsidTr="00DC3AEB">
        <w:tc>
          <w:tcPr>
            <w:tcW w:w="12186" w:type="dxa"/>
          </w:tcPr>
          <w:p w:rsidR="00B30C9E" w:rsidRPr="00801401" w:rsidRDefault="00B30C9E" w:rsidP="00DC3AEB">
            <w:pPr>
              <w:pStyle w:val="Pa1"/>
              <w:rPr>
                <w:bCs/>
                <w:color w:val="000000"/>
                <w:sz w:val="23"/>
                <w:szCs w:val="23"/>
              </w:rPr>
            </w:pPr>
            <w:r w:rsidRPr="00801401">
              <w:rPr>
                <w:bCs/>
                <w:color w:val="000000"/>
                <w:sz w:val="23"/>
                <w:szCs w:val="23"/>
              </w:rPr>
              <w:t xml:space="preserve">Grants and </w:t>
            </w:r>
            <w:r>
              <w:rPr>
                <w:bCs/>
                <w:color w:val="000000"/>
                <w:sz w:val="23"/>
                <w:szCs w:val="23"/>
              </w:rPr>
              <w:t xml:space="preserve">subsidies </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5415</w:t>
            </w:r>
          </w:p>
        </w:tc>
        <w:tc>
          <w:tcPr>
            <w:tcW w:w="855" w:type="dxa"/>
          </w:tcPr>
          <w:p w:rsidR="00B30C9E" w:rsidRPr="00801401" w:rsidRDefault="00B30C9E" w:rsidP="00DC3AEB">
            <w:pPr>
              <w:pStyle w:val="TableParagraph"/>
              <w:ind w:left="6"/>
              <w:rPr>
                <w:sz w:val="24"/>
              </w:rPr>
            </w:pPr>
            <w:r>
              <w:rPr>
                <w:sz w:val="24"/>
              </w:rPr>
              <w:t>4030</w:t>
            </w:r>
          </w:p>
        </w:tc>
      </w:tr>
      <w:tr w:rsidR="00B30C9E" w:rsidRPr="00801401" w:rsidTr="00DC3AEB">
        <w:tc>
          <w:tcPr>
            <w:tcW w:w="12186" w:type="dxa"/>
          </w:tcPr>
          <w:p w:rsidR="00B30C9E" w:rsidRPr="00801401" w:rsidRDefault="00B30C9E" w:rsidP="00DC3AEB">
            <w:pPr>
              <w:pStyle w:val="Pa1"/>
              <w:rPr>
                <w:bCs/>
                <w:color w:val="000000"/>
                <w:sz w:val="23"/>
                <w:szCs w:val="23"/>
              </w:rPr>
            </w:pPr>
            <w:r>
              <w:rPr>
                <w:bCs/>
                <w:color w:val="000000"/>
                <w:sz w:val="23"/>
                <w:szCs w:val="23"/>
              </w:rPr>
              <w:t>Other revenue</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10</w:t>
            </w:r>
          </w:p>
        </w:tc>
        <w:tc>
          <w:tcPr>
            <w:tcW w:w="855" w:type="dxa"/>
          </w:tcPr>
          <w:p w:rsidR="00B30C9E" w:rsidRPr="00801401" w:rsidRDefault="00B30C9E" w:rsidP="00DC3AEB">
            <w:pPr>
              <w:pStyle w:val="TableParagraph"/>
              <w:ind w:left="6"/>
              <w:rPr>
                <w:sz w:val="24"/>
              </w:rPr>
            </w:pPr>
            <w:r>
              <w:rPr>
                <w:sz w:val="24"/>
              </w:rPr>
              <w:t>15</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Total Revenue</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5425</w:t>
            </w:r>
          </w:p>
        </w:tc>
        <w:tc>
          <w:tcPr>
            <w:tcW w:w="855" w:type="dxa"/>
          </w:tcPr>
          <w:p w:rsidR="00B30C9E" w:rsidRPr="00801401" w:rsidRDefault="00B30C9E" w:rsidP="00DC3AEB">
            <w:pPr>
              <w:pStyle w:val="TableParagraph"/>
              <w:ind w:left="6"/>
              <w:rPr>
                <w:sz w:val="24"/>
              </w:rPr>
            </w:pPr>
            <w:r>
              <w:rPr>
                <w:sz w:val="24"/>
              </w:rPr>
              <w:t>4045</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Total income other than from State Government</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rPr>
                <w:sz w:val="24"/>
              </w:rPr>
            </w:pPr>
            <w:r>
              <w:rPr>
                <w:sz w:val="24"/>
              </w:rPr>
              <w:t>5425</w:t>
            </w:r>
          </w:p>
        </w:tc>
        <w:tc>
          <w:tcPr>
            <w:tcW w:w="855" w:type="dxa"/>
          </w:tcPr>
          <w:p w:rsidR="00B30C9E" w:rsidRPr="00801401" w:rsidRDefault="00B30C9E" w:rsidP="00DC3AEB">
            <w:pPr>
              <w:pStyle w:val="TableParagraph"/>
              <w:ind w:left="6"/>
              <w:rPr>
                <w:sz w:val="24"/>
              </w:rPr>
            </w:pPr>
            <w:r>
              <w:rPr>
                <w:sz w:val="24"/>
              </w:rPr>
              <w:t>4045</w:t>
            </w:r>
          </w:p>
        </w:tc>
      </w:tr>
      <w:tr w:rsidR="00B30C9E" w:rsidRPr="00801401" w:rsidTr="00DC3AEB">
        <w:tc>
          <w:tcPr>
            <w:tcW w:w="12186" w:type="dxa"/>
          </w:tcPr>
          <w:p w:rsidR="00B30C9E" w:rsidRPr="005F5CA8" w:rsidRDefault="00B30C9E" w:rsidP="00DC3AEB">
            <w:pPr>
              <w:pStyle w:val="Pa1"/>
              <w:rPr>
                <w:b/>
                <w:bCs/>
                <w:color w:val="000000"/>
                <w:sz w:val="23"/>
                <w:szCs w:val="23"/>
              </w:rPr>
            </w:pPr>
            <w:r w:rsidRPr="005F5CA8">
              <w:rPr>
                <w:b/>
                <w:bCs/>
                <w:color w:val="000000"/>
                <w:sz w:val="23"/>
                <w:szCs w:val="23"/>
              </w:rPr>
              <w:t>Net cost of services</w:t>
            </w:r>
          </w:p>
        </w:tc>
        <w:tc>
          <w:tcPr>
            <w:tcW w:w="850" w:type="dxa"/>
          </w:tcPr>
          <w:p w:rsidR="00B30C9E" w:rsidRPr="005F5CA8" w:rsidRDefault="00B30C9E" w:rsidP="00DC3AEB">
            <w:pPr>
              <w:pStyle w:val="TableParagraph"/>
              <w:ind w:left="6"/>
              <w:rPr>
                <w:b/>
                <w:sz w:val="24"/>
              </w:rPr>
            </w:pPr>
          </w:p>
        </w:tc>
        <w:tc>
          <w:tcPr>
            <w:tcW w:w="851" w:type="dxa"/>
          </w:tcPr>
          <w:p w:rsidR="00B30C9E" w:rsidRPr="005F5CA8" w:rsidRDefault="00B30C9E" w:rsidP="00DC3AEB">
            <w:pPr>
              <w:pStyle w:val="TableParagraph"/>
              <w:rPr>
                <w:b/>
                <w:sz w:val="24"/>
              </w:rPr>
            </w:pPr>
            <w:r w:rsidRPr="005F5CA8">
              <w:rPr>
                <w:b/>
                <w:sz w:val="24"/>
              </w:rPr>
              <w:t>(1317)</w:t>
            </w:r>
          </w:p>
        </w:tc>
        <w:tc>
          <w:tcPr>
            <w:tcW w:w="855" w:type="dxa"/>
          </w:tcPr>
          <w:p w:rsidR="00B30C9E" w:rsidRPr="005F5CA8" w:rsidRDefault="00B30C9E" w:rsidP="00DC3AEB">
            <w:pPr>
              <w:pStyle w:val="TableParagraph"/>
              <w:ind w:left="6"/>
              <w:rPr>
                <w:b/>
                <w:sz w:val="24"/>
              </w:rPr>
            </w:pPr>
            <w:r w:rsidRPr="005F5CA8">
              <w:rPr>
                <w:b/>
                <w:sz w:val="24"/>
              </w:rPr>
              <w:t>(5385)</w:t>
            </w:r>
          </w:p>
        </w:tc>
      </w:tr>
    </w:tbl>
    <w:p w:rsidR="00B30C9E" w:rsidRDefault="00B30C9E" w:rsidP="00921714">
      <w:pPr>
        <w:pStyle w:val="BodyText"/>
        <w:ind w:left="709"/>
      </w:pPr>
    </w:p>
    <w:tbl>
      <w:tblPr>
        <w:tblStyle w:val="TableGrid"/>
        <w:tblW w:w="0" w:type="auto"/>
        <w:tblInd w:w="709" w:type="dxa"/>
        <w:tblLook w:val="04A0" w:firstRow="1" w:lastRow="0" w:firstColumn="1" w:lastColumn="0" w:noHBand="0" w:noVBand="1"/>
        <w:tblCaption w:val="Statement of comprehensive income"/>
        <w:tblDescription w:val="Table showing income figures for the statement of comprehensive income for the year ended 30 June 2018"/>
      </w:tblPr>
      <w:tblGrid>
        <w:gridCol w:w="12186"/>
        <w:gridCol w:w="850"/>
        <w:gridCol w:w="851"/>
        <w:gridCol w:w="855"/>
      </w:tblGrid>
      <w:tr w:rsidR="00B30C9E" w:rsidRPr="00801401" w:rsidTr="006604EC">
        <w:trPr>
          <w:tblHeader/>
        </w:trPr>
        <w:tc>
          <w:tcPr>
            <w:tcW w:w="12186" w:type="dxa"/>
          </w:tcPr>
          <w:p w:rsidR="00B30C9E" w:rsidRPr="005F5CA8" w:rsidRDefault="00B30C9E" w:rsidP="005F5CA8">
            <w:pPr>
              <w:pStyle w:val="TableParagraph"/>
              <w:spacing w:before="1"/>
              <w:ind w:left="6"/>
              <w:rPr>
                <w:b/>
                <w:sz w:val="24"/>
              </w:rPr>
            </w:pPr>
            <w:r w:rsidRPr="005F5CA8">
              <w:rPr>
                <w:b/>
                <w:sz w:val="24"/>
              </w:rPr>
              <w:t>Income</w:t>
            </w:r>
          </w:p>
        </w:tc>
        <w:tc>
          <w:tcPr>
            <w:tcW w:w="850" w:type="dxa"/>
          </w:tcPr>
          <w:p w:rsidR="00B30C9E" w:rsidRPr="005F5CA8" w:rsidRDefault="00B30C9E" w:rsidP="005F5CA8">
            <w:pPr>
              <w:pStyle w:val="TableParagraph"/>
              <w:spacing w:before="1"/>
              <w:ind w:left="6"/>
              <w:rPr>
                <w:b/>
                <w:sz w:val="24"/>
              </w:rPr>
            </w:pPr>
            <w:r w:rsidRPr="005F5CA8">
              <w:rPr>
                <w:b/>
                <w:sz w:val="24"/>
              </w:rPr>
              <w:t>Note</w:t>
            </w:r>
          </w:p>
        </w:tc>
        <w:tc>
          <w:tcPr>
            <w:tcW w:w="851" w:type="dxa"/>
          </w:tcPr>
          <w:p w:rsidR="00B30C9E" w:rsidRPr="005F5CA8" w:rsidRDefault="00B30C9E" w:rsidP="005F5CA8">
            <w:pPr>
              <w:pStyle w:val="TableParagraph"/>
              <w:spacing w:before="1"/>
              <w:ind w:left="6"/>
              <w:rPr>
                <w:b/>
                <w:sz w:val="24"/>
              </w:rPr>
            </w:pPr>
            <w:r w:rsidRPr="005F5CA8">
              <w:rPr>
                <w:b/>
                <w:sz w:val="24"/>
              </w:rPr>
              <w:t>2018 $000</w:t>
            </w:r>
          </w:p>
        </w:tc>
        <w:tc>
          <w:tcPr>
            <w:tcW w:w="855" w:type="dxa"/>
          </w:tcPr>
          <w:p w:rsidR="00B30C9E" w:rsidRPr="005F5CA8" w:rsidRDefault="00B30C9E" w:rsidP="005F5CA8">
            <w:pPr>
              <w:pStyle w:val="TableParagraph"/>
              <w:spacing w:before="1"/>
              <w:ind w:left="6"/>
              <w:rPr>
                <w:b/>
                <w:sz w:val="24"/>
              </w:rPr>
            </w:pPr>
            <w:r w:rsidRPr="005F5CA8">
              <w:rPr>
                <w:b/>
                <w:sz w:val="24"/>
              </w:rPr>
              <w:t>2017 $000</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Income from State Government</w:t>
            </w:r>
          </w:p>
        </w:tc>
        <w:tc>
          <w:tcPr>
            <w:tcW w:w="850" w:type="dxa"/>
          </w:tcPr>
          <w:p w:rsidR="00B30C9E" w:rsidRPr="00801401" w:rsidRDefault="00B30C9E" w:rsidP="00DC3AEB">
            <w:pPr>
              <w:pStyle w:val="TableParagraph"/>
              <w:ind w:left="6"/>
              <w:rPr>
                <w:sz w:val="24"/>
              </w:rPr>
            </w:pPr>
            <w:r>
              <w:rPr>
                <w:sz w:val="24"/>
              </w:rPr>
              <w:t>14</w:t>
            </w:r>
          </w:p>
        </w:tc>
        <w:tc>
          <w:tcPr>
            <w:tcW w:w="851" w:type="dxa"/>
          </w:tcPr>
          <w:p w:rsidR="00B30C9E" w:rsidRPr="00801401" w:rsidRDefault="00B30C9E" w:rsidP="00DC3AEB">
            <w:pPr>
              <w:pStyle w:val="TableParagraph"/>
              <w:ind w:left="6"/>
              <w:rPr>
                <w:sz w:val="24"/>
              </w:rPr>
            </w:pPr>
          </w:p>
        </w:tc>
        <w:tc>
          <w:tcPr>
            <w:tcW w:w="855" w:type="dxa"/>
          </w:tcPr>
          <w:p w:rsidR="00B30C9E" w:rsidRPr="00801401" w:rsidRDefault="00B30C9E" w:rsidP="00DC3AEB">
            <w:pPr>
              <w:pStyle w:val="TableParagraph"/>
              <w:ind w:left="6"/>
              <w:rPr>
                <w:sz w:val="24"/>
              </w:rPr>
            </w:pP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Service appropriation</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3403</w:t>
            </w:r>
          </w:p>
        </w:tc>
        <w:tc>
          <w:tcPr>
            <w:tcW w:w="855" w:type="dxa"/>
          </w:tcPr>
          <w:p w:rsidR="00B30C9E" w:rsidRPr="00801401" w:rsidRDefault="00B30C9E" w:rsidP="00DC3AEB">
            <w:pPr>
              <w:pStyle w:val="TableParagraph"/>
              <w:ind w:left="6"/>
              <w:rPr>
                <w:sz w:val="24"/>
              </w:rPr>
            </w:pPr>
            <w:r>
              <w:rPr>
                <w:sz w:val="24"/>
              </w:rPr>
              <w:t>7413</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Services received free of charge</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93</w:t>
            </w:r>
          </w:p>
        </w:tc>
        <w:tc>
          <w:tcPr>
            <w:tcW w:w="855" w:type="dxa"/>
          </w:tcPr>
          <w:p w:rsidR="00B30C9E" w:rsidRPr="00801401" w:rsidRDefault="00B30C9E" w:rsidP="00DC3AEB">
            <w:pPr>
              <w:pStyle w:val="TableParagraph"/>
              <w:ind w:left="6"/>
              <w:rPr>
                <w:sz w:val="24"/>
              </w:rPr>
            </w:pPr>
            <w:r>
              <w:rPr>
                <w:sz w:val="24"/>
              </w:rPr>
              <w:t>111</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Total income from State Government</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3496</w:t>
            </w:r>
          </w:p>
        </w:tc>
        <w:tc>
          <w:tcPr>
            <w:tcW w:w="855" w:type="dxa"/>
          </w:tcPr>
          <w:p w:rsidR="00B30C9E" w:rsidRPr="00801401" w:rsidRDefault="00B30C9E" w:rsidP="00DC3AEB">
            <w:pPr>
              <w:pStyle w:val="TableParagraph"/>
              <w:ind w:left="6"/>
              <w:rPr>
                <w:sz w:val="24"/>
              </w:rPr>
            </w:pPr>
            <w:r>
              <w:rPr>
                <w:sz w:val="24"/>
              </w:rPr>
              <w:t>7524</w:t>
            </w:r>
          </w:p>
        </w:tc>
      </w:tr>
      <w:tr w:rsidR="00B30C9E" w:rsidRPr="00801401" w:rsidTr="00DC3AEB">
        <w:tc>
          <w:tcPr>
            <w:tcW w:w="12186" w:type="dxa"/>
          </w:tcPr>
          <w:p w:rsidR="00B30C9E" w:rsidRDefault="00B30C9E" w:rsidP="00DC3AEB">
            <w:pPr>
              <w:pStyle w:val="Pa1"/>
              <w:rPr>
                <w:bCs/>
                <w:color w:val="000000"/>
                <w:sz w:val="23"/>
                <w:szCs w:val="23"/>
              </w:rPr>
            </w:pPr>
            <w:r>
              <w:rPr>
                <w:bCs/>
                <w:color w:val="000000"/>
                <w:sz w:val="23"/>
                <w:szCs w:val="23"/>
              </w:rPr>
              <w:t>Surplus/ (deficit) for the period</w:t>
            </w:r>
          </w:p>
        </w:tc>
        <w:tc>
          <w:tcPr>
            <w:tcW w:w="850" w:type="dxa"/>
          </w:tcPr>
          <w:p w:rsidR="00B30C9E" w:rsidRPr="00801401" w:rsidRDefault="00B30C9E" w:rsidP="00DC3AEB">
            <w:pPr>
              <w:pStyle w:val="TableParagraph"/>
              <w:ind w:left="6"/>
              <w:rPr>
                <w:sz w:val="24"/>
              </w:rPr>
            </w:pPr>
          </w:p>
        </w:tc>
        <w:tc>
          <w:tcPr>
            <w:tcW w:w="851" w:type="dxa"/>
          </w:tcPr>
          <w:p w:rsidR="00B30C9E" w:rsidRPr="00801401" w:rsidRDefault="00B30C9E" w:rsidP="00DC3AEB">
            <w:pPr>
              <w:pStyle w:val="TableParagraph"/>
              <w:ind w:left="6"/>
              <w:rPr>
                <w:sz w:val="24"/>
              </w:rPr>
            </w:pPr>
            <w:r>
              <w:rPr>
                <w:sz w:val="24"/>
              </w:rPr>
              <w:t>2179</w:t>
            </w:r>
          </w:p>
        </w:tc>
        <w:tc>
          <w:tcPr>
            <w:tcW w:w="855" w:type="dxa"/>
          </w:tcPr>
          <w:p w:rsidR="00B30C9E" w:rsidRPr="00801401" w:rsidRDefault="00B30C9E" w:rsidP="00DC3AEB">
            <w:pPr>
              <w:pStyle w:val="TableParagraph"/>
              <w:ind w:left="6"/>
              <w:rPr>
                <w:sz w:val="24"/>
              </w:rPr>
            </w:pPr>
            <w:r>
              <w:rPr>
                <w:sz w:val="24"/>
              </w:rPr>
              <w:t>2139</w:t>
            </w:r>
          </w:p>
        </w:tc>
      </w:tr>
      <w:tr w:rsidR="00B30C9E" w:rsidRPr="00921714" w:rsidTr="00DC3AEB">
        <w:tc>
          <w:tcPr>
            <w:tcW w:w="12186" w:type="dxa"/>
          </w:tcPr>
          <w:p w:rsidR="00B30C9E" w:rsidRPr="00921714" w:rsidRDefault="00B30C9E" w:rsidP="00DC3AEB">
            <w:pPr>
              <w:pStyle w:val="Pa1"/>
              <w:rPr>
                <w:b/>
                <w:bCs/>
                <w:color w:val="000000"/>
                <w:sz w:val="23"/>
                <w:szCs w:val="23"/>
              </w:rPr>
            </w:pPr>
            <w:r w:rsidRPr="00921714">
              <w:rPr>
                <w:b/>
                <w:bCs/>
                <w:color w:val="000000"/>
                <w:sz w:val="23"/>
                <w:szCs w:val="23"/>
              </w:rPr>
              <w:t>Total comprehensive income for the period</w:t>
            </w:r>
          </w:p>
        </w:tc>
        <w:tc>
          <w:tcPr>
            <w:tcW w:w="850" w:type="dxa"/>
          </w:tcPr>
          <w:p w:rsidR="00B30C9E" w:rsidRPr="00921714" w:rsidRDefault="00B30C9E" w:rsidP="00DC3AEB">
            <w:pPr>
              <w:pStyle w:val="TableParagraph"/>
              <w:ind w:left="6"/>
              <w:rPr>
                <w:b/>
                <w:sz w:val="24"/>
              </w:rPr>
            </w:pPr>
          </w:p>
        </w:tc>
        <w:tc>
          <w:tcPr>
            <w:tcW w:w="851" w:type="dxa"/>
          </w:tcPr>
          <w:p w:rsidR="00B30C9E" w:rsidRPr="00921714" w:rsidRDefault="00B30C9E" w:rsidP="00DC3AEB">
            <w:pPr>
              <w:pStyle w:val="TableParagraph"/>
              <w:rPr>
                <w:b/>
                <w:sz w:val="24"/>
              </w:rPr>
            </w:pPr>
            <w:r w:rsidRPr="00921714">
              <w:rPr>
                <w:b/>
                <w:sz w:val="24"/>
              </w:rPr>
              <w:t>2179</w:t>
            </w:r>
          </w:p>
        </w:tc>
        <w:tc>
          <w:tcPr>
            <w:tcW w:w="855" w:type="dxa"/>
          </w:tcPr>
          <w:p w:rsidR="00B30C9E" w:rsidRPr="00921714" w:rsidRDefault="00B30C9E" w:rsidP="00DC3AEB">
            <w:pPr>
              <w:pStyle w:val="TableParagraph"/>
              <w:ind w:left="6"/>
              <w:rPr>
                <w:b/>
                <w:sz w:val="24"/>
              </w:rPr>
            </w:pPr>
            <w:r w:rsidRPr="00921714">
              <w:rPr>
                <w:b/>
                <w:sz w:val="24"/>
              </w:rPr>
              <w:t>2139</w:t>
            </w:r>
          </w:p>
        </w:tc>
      </w:tr>
    </w:tbl>
    <w:p w:rsidR="00801401" w:rsidRPr="00921714" w:rsidRDefault="00921714" w:rsidP="00B30C9E">
      <w:pPr>
        <w:pStyle w:val="BodyText"/>
        <w:ind w:left="709"/>
        <w:sectPr w:rsidR="00801401" w:rsidRPr="00921714">
          <w:pgSz w:w="16840" w:h="11910" w:orient="landscape"/>
          <w:pgMar w:top="540" w:right="0" w:bottom="360" w:left="0" w:header="229" w:footer="145" w:gutter="0"/>
          <w:cols w:space="720"/>
        </w:sectPr>
      </w:pPr>
      <w:r w:rsidRPr="00921714">
        <w:t>The Statement of Comprehensive Income should be read in conjuncti</w:t>
      </w:r>
      <w:r>
        <w:t xml:space="preserve">on with the accompanying notes. </w:t>
      </w:r>
    </w:p>
    <w:p w:rsidR="00A1463E" w:rsidRDefault="00A1463E">
      <w:pPr>
        <w:pStyle w:val="BodyText"/>
        <w:spacing w:before="9"/>
        <w:rPr>
          <w:rFonts w:ascii="Times New Roman"/>
          <w:sz w:val="17"/>
        </w:rPr>
      </w:pPr>
    </w:p>
    <w:p w:rsidR="00921714" w:rsidRDefault="00921714" w:rsidP="00421842">
      <w:pPr>
        <w:pStyle w:val="TableParagraph"/>
        <w:spacing w:line="299" w:lineRule="exact"/>
        <w:ind w:left="709"/>
        <w:rPr>
          <w:color w:val="353434"/>
          <w:sz w:val="32"/>
        </w:rPr>
      </w:pPr>
      <w:bookmarkStart w:id="33" w:name="statement_of_financial_position_As_at_30"/>
      <w:bookmarkStart w:id="34" w:name="_bookmark27"/>
      <w:bookmarkEnd w:id="33"/>
      <w:bookmarkEnd w:id="34"/>
      <w:r w:rsidRPr="00921714">
        <w:rPr>
          <w:color w:val="353434"/>
          <w:sz w:val="32"/>
        </w:rPr>
        <w:t xml:space="preserve">Statement of Financial Position </w:t>
      </w:r>
      <w:r>
        <w:rPr>
          <w:color w:val="353434"/>
          <w:sz w:val="32"/>
        </w:rPr>
        <w:t>as at</w:t>
      </w:r>
      <w:r w:rsidRPr="00921714">
        <w:rPr>
          <w:color w:val="353434"/>
          <w:sz w:val="32"/>
        </w:rPr>
        <w:t xml:space="preserve"> 30 June 2018</w:t>
      </w:r>
    </w:p>
    <w:tbl>
      <w:tblPr>
        <w:tblStyle w:val="TableGrid"/>
        <w:tblW w:w="0" w:type="auto"/>
        <w:tblInd w:w="704" w:type="dxa"/>
        <w:tblLook w:val="04A0" w:firstRow="1" w:lastRow="0" w:firstColumn="1" w:lastColumn="0" w:noHBand="0" w:noVBand="1"/>
        <w:tblCaption w:val="Statement of Financial Position"/>
        <w:tblDescription w:val="Table showing statement of financial position as at 30 June 2018"/>
      </w:tblPr>
      <w:tblGrid>
        <w:gridCol w:w="12191"/>
        <w:gridCol w:w="850"/>
        <w:gridCol w:w="851"/>
        <w:gridCol w:w="709"/>
      </w:tblGrid>
      <w:tr w:rsidR="00921714" w:rsidTr="002627E2">
        <w:trPr>
          <w:tblHeader/>
        </w:trPr>
        <w:tc>
          <w:tcPr>
            <w:tcW w:w="12191" w:type="dxa"/>
          </w:tcPr>
          <w:p w:rsidR="00921714" w:rsidRPr="00921714" w:rsidRDefault="00534083" w:rsidP="00921714">
            <w:pPr>
              <w:pStyle w:val="TableParagraph"/>
              <w:spacing w:before="1"/>
              <w:ind w:left="6"/>
              <w:rPr>
                <w:b/>
                <w:sz w:val="24"/>
              </w:rPr>
            </w:pPr>
            <w:r>
              <w:rPr>
                <w:b/>
                <w:sz w:val="24"/>
              </w:rPr>
              <w:t>Assets - current</w:t>
            </w:r>
          </w:p>
        </w:tc>
        <w:tc>
          <w:tcPr>
            <w:tcW w:w="850" w:type="dxa"/>
          </w:tcPr>
          <w:p w:rsidR="00921714" w:rsidRPr="00921714" w:rsidRDefault="00921714" w:rsidP="00921714">
            <w:pPr>
              <w:pStyle w:val="TableParagraph"/>
              <w:spacing w:before="1"/>
              <w:ind w:left="6"/>
              <w:rPr>
                <w:b/>
                <w:sz w:val="24"/>
              </w:rPr>
            </w:pPr>
            <w:r w:rsidRPr="00921714">
              <w:rPr>
                <w:b/>
                <w:sz w:val="24"/>
              </w:rPr>
              <w:t>Note</w:t>
            </w:r>
          </w:p>
        </w:tc>
        <w:tc>
          <w:tcPr>
            <w:tcW w:w="851" w:type="dxa"/>
          </w:tcPr>
          <w:p w:rsidR="00921714" w:rsidRPr="00921714" w:rsidRDefault="00921714" w:rsidP="00921714">
            <w:pPr>
              <w:pStyle w:val="TableParagraph"/>
              <w:spacing w:before="1"/>
              <w:ind w:left="6"/>
              <w:rPr>
                <w:b/>
                <w:sz w:val="24"/>
              </w:rPr>
            </w:pPr>
            <w:r>
              <w:rPr>
                <w:b/>
                <w:sz w:val="24"/>
              </w:rPr>
              <w:t>2018 $000</w:t>
            </w:r>
          </w:p>
        </w:tc>
        <w:tc>
          <w:tcPr>
            <w:tcW w:w="709" w:type="dxa"/>
          </w:tcPr>
          <w:p w:rsidR="00921714" w:rsidRPr="00921714" w:rsidRDefault="00921714" w:rsidP="00921714">
            <w:pPr>
              <w:pStyle w:val="TableParagraph"/>
              <w:spacing w:before="1"/>
              <w:ind w:left="6"/>
              <w:rPr>
                <w:b/>
                <w:sz w:val="24"/>
              </w:rPr>
            </w:pPr>
            <w:r>
              <w:rPr>
                <w:b/>
                <w:sz w:val="24"/>
              </w:rPr>
              <w:t>2017 $00</w:t>
            </w:r>
          </w:p>
        </w:tc>
      </w:tr>
      <w:tr w:rsidR="00921714" w:rsidTr="00421842">
        <w:tc>
          <w:tcPr>
            <w:tcW w:w="12191" w:type="dxa"/>
          </w:tcPr>
          <w:p w:rsidR="00921714" w:rsidRPr="00921714" w:rsidRDefault="00921714" w:rsidP="00921714">
            <w:pPr>
              <w:pStyle w:val="Pa1"/>
              <w:rPr>
                <w:bCs/>
                <w:color w:val="000000"/>
                <w:sz w:val="23"/>
                <w:szCs w:val="23"/>
              </w:rPr>
            </w:pPr>
            <w:r>
              <w:rPr>
                <w:bCs/>
                <w:color w:val="000000"/>
                <w:sz w:val="23"/>
                <w:szCs w:val="23"/>
              </w:rPr>
              <w:t>Cash and cash equivalents</w:t>
            </w:r>
          </w:p>
        </w:tc>
        <w:tc>
          <w:tcPr>
            <w:tcW w:w="850" w:type="dxa"/>
          </w:tcPr>
          <w:p w:rsidR="00921714" w:rsidRPr="00921714" w:rsidRDefault="00921714" w:rsidP="00921714">
            <w:pPr>
              <w:pStyle w:val="Pa1"/>
              <w:rPr>
                <w:bCs/>
                <w:color w:val="000000"/>
                <w:sz w:val="23"/>
                <w:szCs w:val="23"/>
              </w:rPr>
            </w:pPr>
            <w:r>
              <w:rPr>
                <w:bCs/>
                <w:color w:val="000000"/>
                <w:sz w:val="23"/>
                <w:szCs w:val="23"/>
              </w:rPr>
              <w:t>22</w:t>
            </w:r>
          </w:p>
        </w:tc>
        <w:tc>
          <w:tcPr>
            <w:tcW w:w="851" w:type="dxa"/>
          </w:tcPr>
          <w:p w:rsidR="00921714" w:rsidRPr="00921714" w:rsidRDefault="00921714" w:rsidP="00921714">
            <w:pPr>
              <w:pStyle w:val="Pa1"/>
              <w:rPr>
                <w:bCs/>
                <w:color w:val="000000"/>
                <w:sz w:val="23"/>
                <w:szCs w:val="23"/>
              </w:rPr>
            </w:pPr>
            <w:r>
              <w:rPr>
                <w:bCs/>
                <w:color w:val="000000"/>
                <w:sz w:val="23"/>
                <w:szCs w:val="23"/>
              </w:rPr>
              <w:t>3062</w:t>
            </w:r>
          </w:p>
        </w:tc>
        <w:tc>
          <w:tcPr>
            <w:tcW w:w="709" w:type="dxa"/>
          </w:tcPr>
          <w:p w:rsidR="00921714" w:rsidRPr="00921714" w:rsidRDefault="00921714" w:rsidP="00921714">
            <w:pPr>
              <w:pStyle w:val="Pa1"/>
              <w:rPr>
                <w:bCs/>
                <w:color w:val="000000"/>
                <w:sz w:val="23"/>
                <w:szCs w:val="23"/>
              </w:rPr>
            </w:pPr>
            <w:r>
              <w:rPr>
                <w:bCs/>
                <w:color w:val="000000"/>
                <w:sz w:val="23"/>
                <w:szCs w:val="23"/>
              </w:rPr>
              <w:t>5177</w:t>
            </w:r>
          </w:p>
        </w:tc>
      </w:tr>
      <w:tr w:rsidR="00921714" w:rsidTr="00421842">
        <w:tc>
          <w:tcPr>
            <w:tcW w:w="12191" w:type="dxa"/>
          </w:tcPr>
          <w:p w:rsidR="00921714" w:rsidRPr="00921714" w:rsidRDefault="00921714" w:rsidP="00921714">
            <w:pPr>
              <w:pStyle w:val="Pa1"/>
              <w:rPr>
                <w:bCs/>
                <w:color w:val="000000"/>
                <w:sz w:val="23"/>
                <w:szCs w:val="23"/>
              </w:rPr>
            </w:pPr>
            <w:r>
              <w:rPr>
                <w:bCs/>
                <w:color w:val="000000"/>
                <w:sz w:val="23"/>
                <w:szCs w:val="23"/>
              </w:rPr>
              <w:t>Receivables</w:t>
            </w:r>
          </w:p>
        </w:tc>
        <w:tc>
          <w:tcPr>
            <w:tcW w:w="850" w:type="dxa"/>
          </w:tcPr>
          <w:p w:rsidR="00921714" w:rsidRPr="00921714" w:rsidRDefault="00921714" w:rsidP="00921714">
            <w:pPr>
              <w:pStyle w:val="Pa1"/>
              <w:rPr>
                <w:bCs/>
                <w:color w:val="000000"/>
                <w:sz w:val="23"/>
                <w:szCs w:val="23"/>
              </w:rPr>
            </w:pPr>
            <w:r>
              <w:rPr>
                <w:bCs/>
                <w:color w:val="000000"/>
                <w:sz w:val="23"/>
                <w:szCs w:val="23"/>
              </w:rPr>
              <w:t>15</w:t>
            </w:r>
          </w:p>
        </w:tc>
        <w:tc>
          <w:tcPr>
            <w:tcW w:w="851" w:type="dxa"/>
          </w:tcPr>
          <w:p w:rsidR="00921714" w:rsidRPr="00921714" w:rsidRDefault="00921714" w:rsidP="00921714">
            <w:pPr>
              <w:pStyle w:val="Pa1"/>
              <w:rPr>
                <w:bCs/>
                <w:color w:val="000000"/>
                <w:sz w:val="23"/>
                <w:szCs w:val="23"/>
              </w:rPr>
            </w:pPr>
            <w:r>
              <w:rPr>
                <w:bCs/>
                <w:color w:val="000000"/>
                <w:sz w:val="23"/>
                <w:szCs w:val="23"/>
              </w:rPr>
              <w:t>176</w:t>
            </w:r>
          </w:p>
        </w:tc>
        <w:tc>
          <w:tcPr>
            <w:tcW w:w="709" w:type="dxa"/>
          </w:tcPr>
          <w:p w:rsidR="00921714" w:rsidRPr="00921714" w:rsidRDefault="00921714" w:rsidP="00921714">
            <w:pPr>
              <w:pStyle w:val="Pa1"/>
              <w:rPr>
                <w:bCs/>
                <w:color w:val="000000"/>
                <w:sz w:val="23"/>
                <w:szCs w:val="23"/>
              </w:rPr>
            </w:pPr>
            <w:r>
              <w:rPr>
                <w:bCs/>
                <w:color w:val="000000"/>
                <w:sz w:val="23"/>
                <w:szCs w:val="23"/>
              </w:rPr>
              <w:t>206</w:t>
            </w:r>
          </w:p>
        </w:tc>
      </w:tr>
      <w:tr w:rsidR="00921714" w:rsidTr="00421842">
        <w:tc>
          <w:tcPr>
            <w:tcW w:w="12191" w:type="dxa"/>
          </w:tcPr>
          <w:p w:rsidR="00921714" w:rsidRPr="00921714" w:rsidRDefault="00921714" w:rsidP="00921714">
            <w:pPr>
              <w:pStyle w:val="Pa1"/>
              <w:rPr>
                <w:bCs/>
                <w:color w:val="000000"/>
                <w:sz w:val="23"/>
                <w:szCs w:val="23"/>
              </w:rPr>
            </w:pPr>
            <w:r>
              <w:rPr>
                <w:bCs/>
                <w:color w:val="000000"/>
                <w:sz w:val="23"/>
                <w:szCs w:val="23"/>
              </w:rPr>
              <w:t>Total Current Assets</w:t>
            </w:r>
          </w:p>
        </w:tc>
        <w:tc>
          <w:tcPr>
            <w:tcW w:w="850" w:type="dxa"/>
          </w:tcPr>
          <w:p w:rsidR="00921714" w:rsidRPr="00921714" w:rsidRDefault="00921714" w:rsidP="00921714">
            <w:pPr>
              <w:pStyle w:val="Pa1"/>
              <w:rPr>
                <w:bCs/>
                <w:color w:val="000000"/>
                <w:sz w:val="23"/>
                <w:szCs w:val="23"/>
              </w:rPr>
            </w:pPr>
          </w:p>
        </w:tc>
        <w:tc>
          <w:tcPr>
            <w:tcW w:w="851" w:type="dxa"/>
          </w:tcPr>
          <w:p w:rsidR="00921714" w:rsidRPr="00921714" w:rsidRDefault="00921714" w:rsidP="00921714">
            <w:pPr>
              <w:pStyle w:val="Pa1"/>
              <w:rPr>
                <w:bCs/>
                <w:color w:val="000000"/>
                <w:sz w:val="23"/>
                <w:szCs w:val="23"/>
              </w:rPr>
            </w:pPr>
            <w:r>
              <w:rPr>
                <w:bCs/>
                <w:color w:val="000000"/>
                <w:sz w:val="23"/>
                <w:szCs w:val="23"/>
              </w:rPr>
              <w:t>3238</w:t>
            </w:r>
          </w:p>
        </w:tc>
        <w:tc>
          <w:tcPr>
            <w:tcW w:w="709" w:type="dxa"/>
          </w:tcPr>
          <w:p w:rsidR="00921714" w:rsidRPr="00921714" w:rsidRDefault="00921714" w:rsidP="00921714">
            <w:pPr>
              <w:pStyle w:val="Pa1"/>
              <w:rPr>
                <w:bCs/>
                <w:color w:val="000000"/>
                <w:sz w:val="23"/>
                <w:szCs w:val="23"/>
              </w:rPr>
            </w:pPr>
            <w:r>
              <w:rPr>
                <w:bCs/>
                <w:color w:val="000000"/>
                <w:sz w:val="23"/>
                <w:szCs w:val="23"/>
              </w:rPr>
              <w:t>5383</w:t>
            </w:r>
          </w:p>
        </w:tc>
      </w:tr>
    </w:tbl>
    <w:p w:rsidR="00534083" w:rsidRDefault="00534083" w:rsidP="00421842">
      <w:pPr>
        <w:pStyle w:val="TableParagraph"/>
        <w:spacing w:line="299" w:lineRule="exact"/>
        <w:ind w:left="709"/>
        <w:rPr>
          <w:sz w:val="24"/>
          <w:szCs w:val="24"/>
        </w:rPr>
      </w:pPr>
    </w:p>
    <w:tbl>
      <w:tblPr>
        <w:tblStyle w:val="TableGrid"/>
        <w:tblW w:w="0" w:type="auto"/>
        <w:tblInd w:w="704" w:type="dxa"/>
        <w:tblLook w:val="04A0" w:firstRow="1" w:lastRow="0" w:firstColumn="1" w:lastColumn="0" w:noHBand="0" w:noVBand="1"/>
        <w:tblCaption w:val="Non current assets"/>
        <w:tblDescription w:val="Table showing non current assets section as part of the statement of financial position as at 30 June 2018"/>
      </w:tblPr>
      <w:tblGrid>
        <w:gridCol w:w="12191"/>
        <w:gridCol w:w="850"/>
        <w:gridCol w:w="851"/>
        <w:gridCol w:w="709"/>
      </w:tblGrid>
      <w:tr w:rsidR="00534083" w:rsidRPr="00921714" w:rsidTr="006604EC">
        <w:trPr>
          <w:tblHeader/>
        </w:trPr>
        <w:tc>
          <w:tcPr>
            <w:tcW w:w="12191" w:type="dxa"/>
          </w:tcPr>
          <w:p w:rsidR="00534083" w:rsidRPr="005F5CA8" w:rsidRDefault="00534083" w:rsidP="005F5CA8">
            <w:pPr>
              <w:pStyle w:val="TableParagraph"/>
              <w:spacing w:before="1"/>
              <w:ind w:left="6"/>
              <w:rPr>
                <w:b/>
                <w:sz w:val="24"/>
              </w:rPr>
            </w:pPr>
            <w:r w:rsidRPr="005F5CA8">
              <w:rPr>
                <w:b/>
                <w:sz w:val="24"/>
              </w:rPr>
              <w:t>Non-Current assets</w:t>
            </w:r>
          </w:p>
        </w:tc>
        <w:tc>
          <w:tcPr>
            <w:tcW w:w="850" w:type="dxa"/>
          </w:tcPr>
          <w:p w:rsidR="00534083" w:rsidRPr="005F5CA8" w:rsidRDefault="00534083" w:rsidP="005F5CA8">
            <w:pPr>
              <w:pStyle w:val="TableParagraph"/>
              <w:spacing w:before="1"/>
              <w:ind w:left="6"/>
              <w:rPr>
                <w:b/>
                <w:sz w:val="24"/>
              </w:rPr>
            </w:pPr>
            <w:r w:rsidRPr="005F5CA8">
              <w:rPr>
                <w:b/>
                <w:sz w:val="24"/>
              </w:rPr>
              <w:t xml:space="preserve">Note </w:t>
            </w:r>
          </w:p>
        </w:tc>
        <w:tc>
          <w:tcPr>
            <w:tcW w:w="851" w:type="dxa"/>
          </w:tcPr>
          <w:p w:rsidR="00534083" w:rsidRPr="005F5CA8" w:rsidRDefault="00534083" w:rsidP="005F5CA8">
            <w:pPr>
              <w:pStyle w:val="TableParagraph"/>
              <w:spacing w:before="1"/>
              <w:ind w:left="6"/>
              <w:rPr>
                <w:b/>
                <w:sz w:val="24"/>
              </w:rPr>
            </w:pPr>
            <w:r w:rsidRPr="005F5CA8">
              <w:rPr>
                <w:b/>
                <w:sz w:val="24"/>
              </w:rPr>
              <w:t>2018 $000</w:t>
            </w:r>
          </w:p>
        </w:tc>
        <w:tc>
          <w:tcPr>
            <w:tcW w:w="709" w:type="dxa"/>
          </w:tcPr>
          <w:p w:rsidR="00534083" w:rsidRPr="005F5CA8" w:rsidRDefault="00534083" w:rsidP="005F5CA8">
            <w:pPr>
              <w:pStyle w:val="TableParagraph"/>
              <w:spacing w:before="1"/>
              <w:ind w:left="6"/>
              <w:rPr>
                <w:b/>
                <w:sz w:val="24"/>
              </w:rPr>
            </w:pPr>
            <w:r w:rsidRPr="005F5CA8">
              <w:rPr>
                <w:b/>
                <w:sz w:val="24"/>
              </w:rPr>
              <w:t>2017 $000</w:t>
            </w:r>
          </w:p>
        </w:tc>
      </w:tr>
      <w:tr w:rsidR="00534083" w:rsidRPr="00921714" w:rsidTr="00DC3AEB">
        <w:tc>
          <w:tcPr>
            <w:tcW w:w="12191" w:type="dxa"/>
          </w:tcPr>
          <w:p w:rsidR="00534083" w:rsidRPr="00921714" w:rsidRDefault="00534083" w:rsidP="00DC3AEB">
            <w:pPr>
              <w:pStyle w:val="Pa1"/>
              <w:rPr>
                <w:bCs/>
                <w:color w:val="000000"/>
                <w:sz w:val="23"/>
                <w:szCs w:val="23"/>
              </w:rPr>
            </w:pPr>
            <w:r>
              <w:rPr>
                <w:bCs/>
                <w:color w:val="000000"/>
                <w:sz w:val="23"/>
                <w:szCs w:val="23"/>
              </w:rPr>
              <w:t>Intangible assets</w:t>
            </w:r>
          </w:p>
        </w:tc>
        <w:tc>
          <w:tcPr>
            <w:tcW w:w="850" w:type="dxa"/>
          </w:tcPr>
          <w:p w:rsidR="00534083" w:rsidRPr="00921714" w:rsidRDefault="00534083" w:rsidP="00DC3AEB">
            <w:pPr>
              <w:pStyle w:val="Pa1"/>
              <w:rPr>
                <w:bCs/>
                <w:color w:val="000000"/>
                <w:sz w:val="23"/>
                <w:szCs w:val="23"/>
              </w:rPr>
            </w:pPr>
            <w:r>
              <w:rPr>
                <w:bCs/>
                <w:color w:val="000000"/>
                <w:sz w:val="23"/>
                <w:szCs w:val="23"/>
              </w:rPr>
              <w:t>16</w:t>
            </w:r>
          </w:p>
        </w:tc>
        <w:tc>
          <w:tcPr>
            <w:tcW w:w="851" w:type="dxa"/>
          </w:tcPr>
          <w:p w:rsidR="00534083" w:rsidRPr="00921714" w:rsidRDefault="00534083" w:rsidP="00DC3AEB">
            <w:pPr>
              <w:pStyle w:val="Pa1"/>
              <w:rPr>
                <w:bCs/>
                <w:color w:val="000000"/>
                <w:sz w:val="23"/>
                <w:szCs w:val="23"/>
              </w:rPr>
            </w:pPr>
            <w:r>
              <w:rPr>
                <w:bCs/>
                <w:color w:val="000000"/>
                <w:sz w:val="23"/>
                <w:szCs w:val="23"/>
              </w:rPr>
              <w:t>1499</w:t>
            </w:r>
          </w:p>
        </w:tc>
        <w:tc>
          <w:tcPr>
            <w:tcW w:w="709" w:type="dxa"/>
          </w:tcPr>
          <w:p w:rsidR="00534083" w:rsidRPr="00921714" w:rsidRDefault="00534083" w:rsidP="00DC3AEB">
            <w:pPr>
              <w:pStyle w:val="Pa1"/>
              <w:rPr>
                <w:bCs/>
                <w:color w:val="000000"/>
                <w:sz w:val="23"/>
                <w:szCs w:val="23"/>
              </w:rPr>
            </w:pPr>
            <w:r>
              <w:rPr>
                <w:bCs/>
                <w:color w:val="000000"/>
                <w:sz w:val="23"/>
                <w:szCs w:val="23"/>
              </w:rPr>
              <w:t>0</w:t>
            </w:r>
          </w:p>
        </w:tc>
      </w:tr>
      <w:tr w:rsidR="00534083" w:rsidRPr="00921714" w:rsidTr="00DC3AEB">
        <w:tc>
          <w:tcPr>
            <w:tcW w:w="12191" w:type="dxa"/>
          </w:tcPr>
          <w:p w:rsidR="00534083" w:rsidRDefault="00534083" w:rsidP="00DC3AEB">
            <w:pPr>
              <w:pStyle w:val="Pa1"/>
              <w:rPr>
                <w:bCs/>
                <w:color w:val="000000"/>
                <w:sz w:val="23"/>
                <w:szCs w:val="23"/>
              </w:rPr>
            </w:pPr>
            <w:r>
              <w:rPr>
                <w:bCs/>
                <w:color w:val="000000"/>
                <w:sz w:val="23"/>
                <w:szCs w:val="23"/>
              </w:rPr>
              <w:t>Total non-current assets</w:t>
            </w:r>
          </w:p>
        </w:tc>
        <w:tc>
          <w:tcPr>
            <w:tcW w:w="850" w:type="dxa"/>
          </w:tcPr>
          <w:p w:rsidR="00534083" w:rsidRPr="00921714" w:rsidRDefault="00534083" w:rsidP="00DC3AEB">
            <w:pPr>
              <w:pStyle w:val="Pa1"/>
              <w:rPr>
                <w:bCs/>
                <w:color w:val="000000"/>
                <w:sz w:val="23"/>
                <w:szCs w:val="23"/>
              </w:rPr>
            </w:pPr>
          </w:p>
        </w:tc>
        <w:tc>
          <w:tcPr>
            <w:tcW w:w="851" w:type="dxa"/>
          </w:tcPr>
          <w:p w:rsidR="00534083" w:rsidRPr="00921714" w:rsidRDefault="00534083" w:rsidP="00DC3AEB">
            <w:pPr>
              <w:pStyle w:val="Pa1"/>
              <w:rPr>
                <w:bCs/>
                <w:color w:val="000000"/>
                <w:sz w:val="23"/>
                <w:szCs w:val="23"/>
              </w:rPr>
            </w:pPr>
            <w:r>
              <w:rPr>
                <w:bCs/>
                <w:color w:val="000000"/>
                <w:sz w:val="23"/>
                <w:szCs w:val="23"/>
              </w:rPr>
              <w:t>1499</w:t>
            </w:r>
          </w:p>
        </w:tc>
        <w:tc>
          <w:tcPr>
            <w:tcW w:w="709" w:type="dxa"/>
          </w:tcPr>
          <w:p w:rsidR="00534083" w:rsidRPr="00921714" w:rsidRDefault="00534083" w:rsidP="00DC3AEB">
            <w:pPr>
              <w:pStyle w:val="Pa1"/>
              <w:rPr>
                <w:bCs/>
                <w:color w:val="000000"/>
                <w:sz w:val="23"/>
                <w:szCs w:val="23"/>
              </w:rPr>
            </w:pPr>
            <w:r>
              <w:rPr>
                <w:bCs/>
                <w:color w:val="000000"/>
                <w:sz w:val="23"/>
                <w:szCs w:val="23"/>
              </w:rPr>
              <w:t>0</w:t>
            </w:r>
          </w:p>
        </w:tc>
      </w:tr>
      <w:tr w:rsidR="00534083" w:rsidRPr="00921714" w:rsidTr="00DC3AEB">
        <w:tc>
          <w:tcPr>
            <w:tcW w:w="12191" w:type="dxa"/>
          </w:tcPr>
          <w:p w:rsidR="00534083" w:rsidRDefault="00534083" w:rsidP="00DC3AEB">
            <w:pPr>
              <w:pStyle w:val="Pa1"/>
              <w:rPr>
                <w:bCs/>
                <w:color w:val="000000"/>
                <w:sz w:val="23"/>
                <w:szCs w:val="23"/>
              </w:rPr>
            </w:pPr>
            <w:r>
              <w:rPr>
                <w:bCs/>
                <w:color w:val="000000"/>
                <w:sz w:val="23"/>
                <w:szCs w:val="23"/>
              </w:rPr>
              <w:t>Total assets</w:t>
            </w:r>
          </w:p>
        </w:tc>
        <w:tc>
          <w:tcPr>
            <w:tcW w:w="850" w:type="dxa"/>
          </w:tcPr>
          <w:p w:rsidR="00534083" w:rsidRPr="00921714" w:rsidRDefault="00534083" w:rsidP="00DC3AEB">
            <w:pPr>
              <w:pStyle w:val="Pa1"/>
              <w:rPr>
                <w:bCs/>
                <w:color w:val="000000"/>
                <w:sz w:val="23"/>
                <w:szCs w:val="23"/>
              </w:rPr>
            </w:pPr>
          </w:p>
        </w:tc>
        <w:tc>
          <w:tcPr>
            <w:tcW w:w="851" w:type="dxa"/>
          </w:tcPr>
          <w:p w:rsidR="00534083" w:rsidRPr="00921714" w:rsidRDefault="00534083" w:rsidP="00DC3AEB">
            <w:pPr>
              <w:pStyle w:val="Pa1"/>
              <w:rPr>
                <w:bCs/>
                <w:color w:val="000000"/>
                <w:sz w:val="23"/>
                <w:szCs w:val="23"/>
              </w:rPr>
            </w:pPr>
            <w:r>
              <w:rPr>
                <w:bCs/>
                <w:color w:val="000000"/>
                <w:sz w:val="23"/>
                <w:szCs w:val="23"/>
              </w:rPr>
              <w:t>4737</w:t>
            </w:r>
          </w:p>
        </w:tc>
        <w:tc>
          <w:tcPr>
            <w:tcW w:w="709" w:type="dxa"/>
          </w:tcPr>
          <w:p w:rsidR="00534083" w:rsidRPr="00921714" w:rsidRDefault="00534083" w:rsidP="00DC3AEB">
            <w:pPr>
              <w:pStyle w:val="Pa1"/>
              <w:rPr>
                <w:bCs/>
                <w:color w:val="000000"/>
                <w:sz w:val="23"/>
                <w:szCs w:val="23"/>
              </w:rPr>
            </w:pPr>
            <w:r>
              <w:rPr>
                <w:bCs/>
                <w:color w:val="000000"/>
                <w:sz w:val="23"/>
                <w:szCs w:val="23"/>
              </w:rPr>
              <w:t>5383</w:t>
            </w:r>
          </w:p>
        </w:tc>
      </w:tr>
    </w:tbl>
    <w:p w:rsidR="00534083" w:rsidRDefault="00534083" w:rsidP="00534083">
      <w:pPr>
        <w:pStyle w:val="TableParagraph"/>
        <w:spacing w:line="299" w:lineRule="exact"/>
        <w:rPr>
          <w:sz w:val="24"/>
          <w:szCs w:val="24"/>
        </w:rPr>
      </w:pPr>
    </w:p>
    <w:tbl>
      <w:tblPr>
        <w:tblStyle w:val="TableGrid"/>
        <w:tblW w:w="0" w:type="auto"/>
        <w:tblInd w:w="704" w:type="dxa"/>
        <w:tblLook w:val="04A0" w:firstRow="1" w:lastRow="0" w:firstColumn="1" w:lastColumn="0" w:noHBand="0" w:noVBand="1"/>
        <w:tblCaption w:val="Current liabilities"/>
        <w:tblDescription w:val="Table showing current liabilities section as part of the statement of financial position as at 30 June 2018"/>
      </w:tblPr>
      <w:tblGrid>
        <w:gridCol w:w="12191"/>
        <w:gridCol w:w="850"/>
        <w:gridCol w:w="851"/>
        <w:gridCol w:w="709"/>
      </w:tblGrid>
      <w:tr w:rsidR="00534083" w:rsidTr="006604EC">
        <w:trPr>
          <w:trHeight w:val="223"/>
          <w:tblHeader/>
        </w:trPr>
        <w:tc>
          <w:tcPr>
            <w:tcW w:w="12191" w:type="dxa"/>
          </w:tcPr>
          <w:p w:rsidR="00534083" w:rsidRPr="005F5CA8" w:rsidRDefault="00534083" w:rsidP="005F5CA8">
            <w:pPr>
              <w:pStyle w:val="TableParagraph"/>
              <w:spacing w:before="1"/>
              <w:ind w:left="6"/>
              <w:rPr>
                <w:b/>
                <w:sz w:val="24"/>
              </w:rPr>
            </w:pPr>
            <w:r w:rsidRPr="005F5CA8">
              <w:rPr>
                <w:b/>
                <w:sz w:val="24"/>
              </w:rPr>
              <w:t>Liabilities – current</w:t>
            </w:r>
          </w:p>
        </w:tc>
        <w:tc>
          <w:tcPr>
            <w:tcW w:w="850" w:type="dxa"/>
          </w:tcPr>
          <w:p w:rsidR="00534083" w:rsidRPr="005F5CA8" w:rsidRDefault="00534083" w:rsidP="005F5CA8">
            <w:pPr>
              <w:pStyle w:val="TableParagraph"/>
              <w:spacing w:before="1"/>
              <w:ind w:left="6"/>
              <w:rPr>
                <w:b/>
                <w:sz w:val="24"/>
              </w:rPr>
            </w:pPr>
            <w:r w:rsidRPr="005F5CA8">
              <w:rPr>
                <w:b/>
                <w:sz w:val="24"/>
              </w:rPr>
              <w:t>Note</w:t>
            </w:r>
          </w:p>
        </w:tc>
        <w:tc>
          <w:tcPr>
            <w:tcW w:w="851" w:type="dxa"/>
          </w:tcPr>
          <w:p w:rsidR="00534083" w:rsidRPr="005F5CA8" w:rsidRDefault="00534083" w:rsidP="005F5CA8">
            <w:pPr>
              <w:pStyle w:val="TableParagraph"/>
              <w:spacing w:before="1"/>
              <w:ind w:left="6"/>
              <w:rPr>
                <w:b/>
                <w:sz w:val="24"/>
              </w:rPr>
            </w:pPr>
            <w:r w:rsidRPr="005F5CA8">
              <w:rPr>
                <w:b/>
                <w:sz w:val="24"/>
              </w:rPr>
              <w:t>2018 $000</w:t>
            </w:r>
          </w:p>
        </w:tc>
        <w:tc>
          <w:tcPr>
            <w:tcW w:w="709" w:type="dxa"/>
          </w:tcPr>
          <w:p w:rsidR="00534083" w:rsidRPr="005F5CA8" w:rsidRDefault="00534083" w:rsidP="005F5CA8">
            <w:pPr>
              <w:pStyle w:val="TableParagraph"/>
              <w:spacing w:before="1"/>
              <w:ind w:left="6"/>
              <w:rPr>
                <w:b/>
                <w:sz w:val="24"/>
              </w:rPr>
            </w:pPr>
            <w:r w:rsidRPr="005F5CA8">
              <w:rPr>
                <w:b/>
                <w:sz w:val="24"/>
              </w:rPr>
              <w:t>2017 $000</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Current liabilities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p>
        </w:tc>
        <w:tc>
          <w:tcPr>
            <w:tcW w:w="709" w:type="dxa"/>
          </w:tcPr>
          <w:p w:rsidR="00534083" w:rsidRDefault="00534083" w:rsidP="00DC3AEB">
            <w:pPr>
              <w:pStyle w:val="Pa1"/>
              <w:rPr>
                <w:bCs/>
                <w:color w:val="000000"/>
                <w:sz w:val="23"/>
                <w:szCs w:val="23"/>
              </w:rPr>
            </w:pP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Payables</w:t>
            </w:r>
          </w:p>
        </w:tc>
        <w:tc>
          <w:tcPr>
            <w:tcW w:w="850" w:type="dxa"/>
          </w:tcPr>
          <w:p w:rsidR="00534083" w:rsidRPr="00921714" w:rsidRDefault="00534083" w:rsidP="00DC3AEB">
            <w:pPr>
              <w:pStyle w:val="Pa1"/>
              <w:rPr>
                <w:bCs/>
                <w:color w:val="000000"/>
                <w:sz w:val="23"/>
                <w:szCs w:val="23"/>
              </w:rPr>
            </w:pPr>
            <w:r>
              <w:rPr>
                <w:bCs/>
                <w:color w:val="000000"/>
                <w:sz w:val="23"/>
                <w:szCs w:val="23"/>
              </w:rPr>
              <w:t>18</w:t>
            </w:r>
          </w:p>
        </w:tc>
        <w:tc>
          <w:tcPr>
            <w:tcW w:w="851" w:type="dxa"/>
          </w:tcPr>
          <w:p w:rsidR="00534083" w:rsidRDefault="00534083" w:rsidP="00DC3AEB">
            <w:pPr>
              <w:pStyle w:val="Pa1"/>
              <w:rPr>
                <w:bCs/>
                <w:color w:val="000000"/>
                <w:sz w:val="23"/>
                <w:szCs w:val="23"/>
              </w:rPr>
            </w:pPr>
            <w:r>
              <w:rPr>
                <w:bCs/>
                <w:color w:val="000000"/>
                <w:sz w:val="23"/>
                <w:szCs w:val="23"/>
              </w:rPr>
              <w:t>126</w:t>
            </w:r>
          </w:p>
        </w:tc>
        <w:tc>
          <w:tcPr>
            <w:tcW w:w="709" w:type="dxa"/>
          </w:tcPr>
          <w:p w:rsidR="00534083" w:rsidRDefault="00534083" w:rsidP="00DC3AEB">
            <w:pPr>
              <w:pStyle w:val="Pa1"/>
              <w:rPr>
                <w:bCs/>
                <w:color w:val="000000"/>
                <w:sz w:val="23"/>
                <w:szCs w:val="23"/>
              </w:rPr>
            </w:pPr>
            <w:r>
              <w:rPr>
                <w:bCs/>
                <w:color w:val="000000"/>
                <w:sz w:val="23"/>
                <w:szCs w:val="23"/>
              </w:rPr>
              <w:t>1209</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Other current liabilities</w:t>
            </w:r>
          </w:p>
        </w:tc>
        <w:tc>
          <w:tcPr>
            <w:tcW w:w="850" w:type="dxa"/>
          </w:tcPr>
          <w:p w:rsidR="00534083" w:rsidRPr="00921714" w:rsidRDefault="00534083" w:rsidP="00DC3AEB">
            <w:pPr>
              <w:pStyle w:val="Pa1"/>
              <w:rPr>
                <w:bCs/>
                <w:color w:val="000000"/>
                <w:sz w:val="23"/>
                <w:szCs w:val="23"/>
              </w:rPr>
            </w:pPr>
            <w:r>
              <w:rPr>
                <w:bCs/>
                <w:color w:val="000000"/>
                <w:sz w:val="23"/>
                <w:szCs w:val="23"/>
              </w:rPr>
              <w:t>19</w:t>
            </w:r>
          </w:p>
        </w:tc>
        <w:tc>
          <w:tcPr>
            <w:tcW w:w="851" w:type="dxa"/>
          </w:tcPr>
          <w:p w:rsidR="00534083" w:rsidRDefault="00534083" w:rsidP="00DC3AEB">
            <w:pPr>
              <w:pStyle w:val="Pa1"/>
              <w:rPr>
                <w:bCs/>
                <w:color w:val="000000"/>
                <w:sz w:val="23"/>
                <w:szCs w:val="23"/>
              </w:rPr>
            </w:pPr>
            <w:r>
              <w:rPr>
                <w:bCs/>
                <w:color w:val="000000"/>
                <w:sz w:val="23"/>
                <w:szCs w:val="23"/>
              </w:rPr>
              <w:t>0</w:t>
            </w:r>
          </w:p>
        </w:tc>
        <w:tc>
          <w:tcPr>
            <w:tcW w:w="709" w:type="dxa"/>
          </w:tcPr>
          <w:p w:rsidR="00534083" w:rsidRDefault="00534083" w:rsidP="00DC3AEB">
            <w:pPr>
              <w:pStyle w:val="Pa1"/>
              <w:rPr>
                <w:bCs/>
                <w:color w:val="000000"/>
                <w:sz w:val="23"/>
                <w:szCs w:val="23"/>
              </w:rPr>
            </w:pPr>
            <w:r>
              <w:rPr>
                <w:bCs/>
                <w:color w:val="000000"/>
                <w:sz w:val="23"/>
                <w:szCs w:val="23"/>
              </w:rPr>
              <w:t>1746</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Provisions</w:t>
            </w:r>
          </w:p>
        </w:tc>
        <w:tc>
          <w:tcPr>
            <w:tcW w:w="850" w:type="dxa"/>
          </w:tcPr>
          <w:p w:rsidR="00534083" w:rsidRPr="00921714" w:rsidRDefault="00534083" w:rsidP="00DC3AEB">
            <w:pPr>
              <w:pStyle w:val="Pa1"/>
              <w:rPr>
                <w:bCs/>
                <w:color w:val="000000"/>
                <w:sz w:val="23"/>
                <w:szCs w:val="23"/>
              </w:rPr>
            </w:pPr>
            <w:r>
              <w:rPr>
                <w:bCs/>
                <w:color w:val="000000"/>
                <w:sz w:val="23"/>
                <w:szCs w:val="23"/>
              </w:rPr>
              <w:t>20</w:t>
            </w:r>
          </w:p>
        </w:tc>
        <w:tc>
          <w:tcPr>
            <w:tcW w:w="851" w:type="dxa"/>
          </w:tcPr>
          <w:p w:rsidR="00534083" w:rsidRDefault="00534083" w:rsidP="00DC3AEB">
            <w:pPr>
              <w:pStyle w:val="Pa1"/>
              <w:rPr>
                <w:bCs/>
                <w:color w:val="000000"/>
                <w:sz w:val="23"/>
                <w:szCs w:val="23"/>
              </w:rPr>
            </w:pPr>
            <w:r>
              <w:rPr>
                <w:bCs/>
                <w:color w:val="000000"/>
                <w:sz w:val="23"/>
                <w:szCs w:val="23"/>
              </w:rPr>
              <w:t>777</w:t>
            </w:r>
          </w:p>
        </w:tc>
        <w:tc>
          <w:tcPr>
            <w:tcW w:w="709" w:type="dxa"/>
          </w:tcPr>
          <w:p w:rsidR="00534083" w:rsidRDefault="00534083" w:rsidP="00DC3AEB">
            <w:pPr>
              <w:pStyle w:val="Pa1"/>
              <w:rPr>
                <w:bCs/>
                <w:color w:val="000000"/>
                <w:sz w:val="23"/>
                <w:szCs w:val="23"/>
              </w:rPr>
            </w:pPr>
            <w:r>
              <w:rPr>
                <w:bCs/>
                <w:color w:val="000000"/>
                <w:sz w:val="23"/>
                <w:szCs w:val="23"/>
              </w:rPr>
              <w:t>844</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Total Current Liabilities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903</w:t>
            </w:r>
          </w:p>
        </w:tc>
        <w:tc>
          <w:tcPr>
            <w:tcW w:w="709" w:type="dxa"/>
          </w:tcPr>
          <w:p w:rsidR="00534083" w:rsidRDefault="00534083" w:rsidP="00DC3AEB">
            <w:pPr>
              <w:pStyle w:val="Pa1"/>
              <w:rPr>
                <w:bCs/>
                <w:color w:val="000000"/>
                <w:sz w:val="23"/>
                <w:szCs w:val="23"/>
              </w:rPr>
            </w:pPr>
            <w:r>
              <w:rPr>
                <w:bCs/>
                <w:color w:val="000000"/>
                <w:sz w:val="23"/>
                <w:szCs w:val="23"/>
              </w:rPr>
              <w:t>3799</w:t>
            </w:r>
          </w:p>
        </w:tc>
      </w:tr>
    </w:tbl>
    <w:p w:rsidR="00534083" w:rsidRDefault="00534083" w:rsidP="00534083">
      <w:pPr>
        <w:pStyle w:val="TableParagraph"/>
        <w:spacing w:line="299" w:lineRule="exact"/>
        <w:rPr>
          <w:sz w:val="24"/>
          <w:szCs w:val="24"/>
        </w:rPr>
      </w:pPr>
    </w:p>
    <w:tbl>
      <w:tblPr>
        <w:tblStyle w:val="TableGrid"/>
        <w:tblW w:w="0" w:type="auto"/>
        <w:tblInd w:w="704" w:type="dxa"/>
        <w:tblLook w:val="04A0" w:firstRow="1" w:lastRow="0" w:firstColumn="1" w:lastColumn="0" w:noHBand="0" w:noVBand="1"/>
        <w:tblCaption w:val="Non current liabilities"/>
        <w:tblDescription w:val="Non current liabilities section as part of statement of financial position as at 30 June 2018"/>
      </w:tblPr>
      <w:tblGrid>
        <w:gridCol w:w="12191"/>
        <w:gridCol w:w="850"/>
        <w:gridCol w:w="851"/>
        <w:gridCol w:w="709"/>
      </w:tblGrid>
      <w:tr w:rsidR="00534083" w:rsidTr="006604EC">
        <w:trPr>
          <w:tblHeader/>
        </w:trPr>
        <w:tc>
          <w:tcPr>
            <w:tcW w:w="12191" w:type="dxa"/>
          </w:tcPr>
          <w:p w:rsidR="00534083" w:rsidRPr="005F5CA8" w:rsidRDefault="00534083" w:rsidP="005F5CA8">
            <w:pPr>
              <w:pStyle w:val="TableParagraph"/>
              <w:spacing w:before="1"/>
              <w:ind w:left="6"/>
              <w:rPr>
                <w:b/>
                <w:sz w:val="24"/>
              </w:rPr>
            </w:pPr>
            <w:r w:rsidRPr="005F5CA8">
              <w:rPr>
                <w:b/>
                <w:sz w:val="24"/>
              </w:rPr>
              <w:t>Non-current liabilities</w:t>
            </w:r>
          </w:p>
        </w:tc>
        <w:tc>
          <w:tcPr>
            <w:tcW w:w="850" w:type="dxa"/>
          </w:tcPr>
          <w:p w:rsidR="00534083" w:rsidRPr="005F5CA8" w:rsidRDefault="00534083" w:rsidP="005F5CA8">
            <w:pPr>
              <w:pStyle w:val="TableParagraph"/>
              <w:spacing w:before="1"/>
              <w:ind w:left="6"/>
              <w:rPr>
                <w:b/>
                <w:sz w:val="24"/>
              </w:rPr>
            </w:pPr>
            <w:r w:rsidRPr="005F5CA8">
              <w:rPr>
                <w:b/>
                <w:sz w:val="24"/>
              </w:rPr>
              <w:t xml:space="preserve">Note </w:t>
            </w:r>
          </w:p>
        </w:tc>
        <w:tc>
          <w:tcPr>
            <w:tcW w:w="851" w:type="dxa"/>
          </w:tcPr>
          <w:p w:rsidR="00534083" w:rsidRPr="005F5CA8" w:rsidRDefault="00534083" w:rsidP="005F5CA8">
            <w:pPr>
              <w:pStyle w:val="TableParagraph"/>
              <w:spacing w:before="1"/>
              <w:ind w:left="6"/>
              <w:rPr>
                <w:b/>
                <w:sz w:val="24"/>
              </w:rPr>
            </w:pPr>
            <w:r w:rsidRPr="005F5CA8">
              <w:rPr>
                <w:b/>
                <w:sz w:val="24"/>
              </w:rPr>
              <w:t>2018 $000</w:t>
            </w:r>
          </w:p>
        </w:tc>
        <w:tc>
          <w:tcPr>
            <w:tcW w:w="709" w:type="dxa"/>
          </w:tcPr>
          <w:p w:rsidR="00534083" w:rsidRPr="005F5CA8" w:rsidRDefault="00534083" w:rsidP="005F5CA8">
            <w:pPr>
              <w:pStyle w:val="TableParagraph"/>
              <w:spacing w:before="1"/>
              <w:ind w:left="6"/>
              <w:rPr>
                <w:b/>
                <w:sz w:val="24"/>
              </w:rPr>
            </w:pPr>
            <w:r w:rsidRPr="005F5CA8">
              <w:rPr>
                <w:b/>
                <w:sz w:val="24"/>
              </w:rPr>
              <w:t>2017 $000</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Provisions</w:t>
            </w:r>
          </w:p>
        </w:tc>
        <w:tc>
          <w:tcPr>
            <w:tcW w:w="850" w:type="dxa"/>
          </w:tcPr>
          <w:p w:rsidR="00534083" w:rsidRPr="00921714" w:rsidRDefault="00534083" w:rsidP="00DC3AEB">
            <w:pPr>
              <w:pStyle w:val="Pa1"/>
              <w:rPr>
                <w:bCs/>
                <w:color w:val="000000"/>
                <w:sz w:val="23"/>
                <w:szCs w:val="23"/>
              </w:rPr>
            </w:pPr>
            <w:r>
              <w:rPr>
                <w:bCs/>
                <w:color w:val="000000"/>
                <w:sz w:val="23"/>
                <w:szCs w:val="23"/>
              </w:rPr>
              <w:t>20</w:t>
            </w:r>
          </w:p>
        </w:tc>
        <w:tc>
          <w:tcPr>
            <w:tcW w:w="851" w:type="dxa"/>
          </w:tcPr>
          <w:p w:rsidR="00534083" w:rsidRDefault="00534083" w:rsidP="00DC3AEB">
            <w:pPr>
              <w:pStyle w:val="Pa1"/>
              <w:rPr>
                <w:bCs/>
                <w:color w:val="000000"/>
                <w:sz w:val="23"/>
                <w:szCs w:val="23"/>
              </w:rPr>
            </w:pPr>
            <w:r>
              <w:rPr>
                <w:bCs/>
                <w:color w:val="000000"/>
                <w:sz w:val="23"/>
                <w:szCs w:val="23"/>
              </w:rPr>
              <w:t>215</w:t>
            </w:r>
          </w:p>
        </w:tc>
        <w:tc>
          <w:tcPr>
            <w:tcW w:w="709" w:type="dxa"/>
          </w:tcPr>
          <w:p w:rsidR="00534083" w:rsidRDefault="00534083" w:rsidP="00DC3AEB">
            <w:pPr>
              <w:pStyle w:val="Pa1"/>
              <w:rPr>
                <w:bCs/>
                <w:color w:val="000000"/>
                <w:sz w:val="23"/>
                <w:szCs w:val="23"/>
              </w:rPr>
            </w:pPr>
            <w:r>
              <w:rPr>
                <w:bCs/>
                <w:color w:val="000000"/>
                <w:sz w:val="23"/>
                <w:szCs w:val="23"/>
              </w:rPr>
              <w:t>144</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Total non-current liabilities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215</w:t>
            </w:r>
          </w:p>
        </w:tc>
        <w:tc>
          <w:tcPr>
            <w:tcW w:w="709" w:type="dxa"/>
          </w:tcPr>
          <w:p w:rsidR="00534083" w:rsidRDefault="00534083" w:rsidP="00DC3AEB">
            <w:pPr>
              <w:pStyle w:val="Pa1"/>
              <w:rPr>
                <w:bCs/>
                <w:color w:val="000000"/>
                <w:sz w:val="23"/>
                <w:szCs w:val="23"/>
              </w:rPr>
            </w:pPr>
            <w:r>
              <w:rPr>
                <w:bCs/>
                <w:color w:val="000000"/>
                <w:sz w:val="23"/>
                <w:szCs w:val="23"/>
              </w:rPr>
              <w:t>144</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Total liabilities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1118</w:t>
            </w:r>
          </w:p>
        </w:tc>
        <w:tc>
          <w:tcPr>
            <w:tcW w:w="709" w:type="dxa"/>
          </w:tcPr>
          <w:p w:rsidR="00534083" w:rsidRDefault="00534083" w:rsidP="00DC3AEB">
            <w:pPr>
              <w:pStyle w:val="Pa1"/>
              <w:rPr>
                <w:bCs/>
                <w:color w:val="000000"/>
                <w:sz w:val="23"/>
                <w:szCs w:val="23"/>
              </w:rPr>
            </w:pPr>
            <w:r>
              <w:rPr>
                <w:bCs/>
                <w:color w:val="000000"/>
                <w:sz w:val="23"/>
                <w:szCs w:val="23"/>
              </w:rPr>
              <w:t>3943</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Net assets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3619</w:t>
            </w:r>
          </w:p>
        </w:tc>
        <w:tc>
          <w:tcPr>
            <w:tcW w:w="709" w:type="dxa"/>
          </w:tcPr>
          <w:p w:rsidR="00534083" w:rsidRDefault="00534083" w:rsidP="00DC3AEB">
            <w:pPr>
              <w:pStyle w:val="Pa1"/>
              <w:rPr>
                <w:bCs/>
                <w:color w:val="000000"/>
                <w:sz w:val="23"/>
                <w:szCs w:val="23"/>
              </w:rPr>
            </w:pPr>
            <w:r>
              <w:rPr>
                <w:bCs/>
                <w:color w:val="000000"/>
                <w:sz w:val="23"/>
                <w:szCs w:val="23"/>
              </w:rPr>
              <w:t>1440</w:t>
            </w:r>
          </w:p>
        </w:tc>
      </w:tr>
    </w:tbl>
    <w:p w:rsidR="00534083" w:rsidRDefault="00534083" w:rsidP="00421842">
      <w:pPr>
        <w:pStyle w:val="TableParagraph"/>
        <w:spacing w:line="299" w:lineRule="exact"/>
        <w:ind w:left="709"/>
        <w:rPr>
          <w:sz w:val="24"/>
          <w:szCs w:val="24"/>
        </w:rPr>
      </w:pPr>
    </w:p>
    <w:tbl>
      <w:tblPr>
        <w:tblStyle w:val="TableGrid"/>
        <w:tblW w:w="0" w:type="auto"/>
        <w:tblInd w:w="704" w:type="dxa"/>
        <w:tblLook w:val="04A0" w:firstRow="1" w:lastRow="0" w:firstColumn="1" w:lastColumn="0" w:noHBand="0" w:noVBand="1"/>
        <w:tblCaption w:val="Equity"/>
        <w:tblDescription w:val="Table showing equity section as part of the statement of financial position as at 30 June 2018"/>
      </w:tblPr>
      <w:tblGrid>
        <w:gridCol w:w="12191"/>
        <w:gridCol w:w="850"/>
        <w:gridCol w:w="851"/>
        <w:gridCol w:w="709"/>
      </w:tblGrid>
      <w:tr w:rsidR="00534083" w:rsidRPr="005F5CA8" w:rsidTr="006604EC">
        <w:trPr>
          <w:tblHeader/>
        </w:trPr>
        <w:tc>
          <w:tcPr>
            <w:tcW w:w="12191" w:type="dxa"/>
          </w:tcPr>
          <w:p w:rsidR="00534083" w:rsidRPr="005F5CA8" w:rsidRDefault="00534083" w:rsidP="005F5CA8">
            <w:pPr>
              <w:pStyle w:val="TableParagraph"/>
              <w:spacing w:before="1"/>
              <w:ind w:left="6"/>
              <w:rPr>
                <w:b/>
                <w:sz w:val="24"/>
              </w:rPr>
            </w:pPr>
            <w:r w:rsidRPr="005F5CA8">
              <w:rPr>
                <w:b/>
                <w:sz w:val="24"/>
              </w:rPr>
              <w:t>Equity</w:t>
            </w:r>
          </w:p>
        </w:tc>
        <w:tc>
          <w:tcPr>
            <w:tcW w:w="850" w:type="dxa"/>
          </w:tcPr>
          <w:p w:rsidR="00534083" w:rsidRPr="005F5CA8" w:rsidRDefault="00534083" w:rsidP="005F5CA8">
            <w:pPr>
              <w:pStyle w:val="TableParagraph"/>
              <w:spacing w:before="1"/>
              <w:ind w:left="6"/>
              <w:rPr>
                <w:b/>
                <w:sz w:val="24"/>
              </w:rPr>
            </w:pPr>
            <w:r w:rsidRPr="005F5CA8">
              <w:rPr>
                <w:b/>
                <w:sz w:val="24"/>
              </w:rPr>
              <w:t xml:space="preserve">Note </w:t>
            </w:r>
          </w:p>
        </w:tc>
        <w:tc>
          <w:tcPr>
            <w:tcW w:w="851" w:type="dxa"/>
          </w:tcPr>
          <w:p w:rsidR="00534083" w:rsidRPr="005F5CA8" w:rsidRDefault="00534083" w:rsidP="005F5CA8">
            <w:pPr>
              <w:pStyle w:val="TableParagraph"/>
              <w:spacing w:before="1"/>
              <w:ind w:left="6"/>
              <w:rPr>
                <w:b/>
                <w:sz w:val="24"/>
              </w:rPr>
            </w:pPr>
            <w:r w:rsidRPr="005F5CA8">
              <w:rPr>
                <w:b/>
                <w:sz w:val="24"/>
              </w:rPr>
              <w:t>2018 $000</w:t>
            </w:r>
          </w:p>
        </w:tc>
        <w:tc>
          <w:tcPr>
            <w:tcW w:w="709" w:type="dxa"/>
          </w:tcPr>
          <w:p w:rsidR="00534083" w:rsidRPr="005F5CA8" w:rsidRDefault="00534083" w:rsidP="005F5CA8">
            <w:pPr>
              <w:pStyle w:val="TableParagraph"/>
              <w:spacing w:before="1"/>
              <w:ind w:left="6"/>
              <w:rPr>
                <w:b/>
                <w:sz w:val="24"/>
              </w:rPr>
            </w:pPr>
            <w:r w:rsidRPr="005F5CA8">
              <w:rPr>
                <w:b/>
                <w:sz w:val="24"/>
              </w:rPr>
              <w:t>2017 $000</w:t>
            </w:r>
          </w:p>
        </w:tc>
      </w:tr>
      <w:tr w:rsidR="00534083" w:rsidTr="00DC3AEB">
        <w:tc>
          <w:tcPr>
            <w:tcW w:w="12191" w:type="dxa"/>
          </w:tcPr>
          <w:p w:rsidR="00534083" w:rsidRDefault="00534083" w:rsidP="00DC3AEB">
            <w:pPr>
              <w:pStyle w:val="Pa1"/>
              <w:tabs>
                <w:tab w:val="left" w:pos="2487"/>
              </w:tabs>
              <w:rPr>
                <w:bCs/>
                <w:color w:val="000000"/>
                <w:sz w:val="23"/>
                <w:szCs w:val="23"/>
              </w:rPr>
            </w:pPr>
            <w:r>
              <w:rPr>
                <w:bCs/>
                <w:color w:val="000000"/>
                <w:sz w:val="23"/>
                <w:szCs w:val="23"/>
              </w:rPr>
              <w:t>Equity</w:t>
            </w:r>
            <w:r>
              <w:rPr>
                <w:bCs/>
                <w:color w:val="000000"/>
                <w:sz w:val="23"/>
                <w:szCs w:val="23"/>
              </w:rPr>
              <w:tab/>
            </w:r>
          </w:p>
        </w:tc>
        <w:tc>
          <w:tcPr>
            <w:tcW w:w="850" w:type="dxa"/>
          </w:tcPr>
          <w:p w:rsidR="00534083" w:rsidRPr="00921714" w:rsidRDefault="00534083" w:rsidP="00DC3AEB">
            <w:pPr>
              <w:pStyle w:val="Pa1"/>
              <w:rPr>
                <w:bCs/>
                <w:color w:val="000000"/>
                <w:sz w:val="23"/>
                <w:szCs w:val="23"/>
              </w:rPr>
            </w:pPr>
            <w:r>
              <w:rPr>
                <w:bCs/>
                <w:color w:val="000000"/>
                <w:sz w:val="23"/>
                <w:szCs w:val="23"/>
              </w:rPr>
              <w:t>21</w:t>
            </w:r>
          </w:p>
        </w:tc>
        <w:tc>
          <w:tcPr>
            <w:tcW w:w="851" w:type="dxa"/>
          </w:tcPr>
          <w:p w:rsidR="00534083" w:rsidRDefault="00534083" w:rsidP="00DC3AEB">
            <w:pPr>
              <w:pStyle w:val="Pa1"/>
              <w:rPr>
                <w:bCs/>
                <w:color w:val="000000"/>
                <w:sz w:val="23"/>
                <w:szCs w:val="23"/>
              </w:rPr>
            </w:pPr>
          </w:p>
        </w:tc>
        <w:tc>
          <w:tcPr>
            <w:tcW w:w="709" w:type="dxa"/>
          </w:tcPr>
          <w:p w:rsidR="00534083" w:rsidRDefault="00534083" w:rsidP="00DC3AEB">
            <w:pPr>
              <w:pStyle w:val="Pa1"/>
              <w:rPr>
                <w:bCs/>
                <w:color w:val="000000"/>
                <w:sz w:val="23"/>
                <w:szCs w:val="23"/>
              </w:rPr>
            </w:pP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Contributed equity</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0</w:t>
            </w:r>
          </w:p>
        </w:tc>
        <w:tc>
          <w:tcPr>
            <w:tcW w:w="709" w:type="dxa"/>
          </w:tcPr>
          <w:p w:rsidR="00534083" w:rsidRDefault="00534083" w:rsidP="00DC3AEB">
            <w:pPr>
              <w:pStyle w:val="Pa1"/>
              <w:rPr>
                <w:bCs/>
                <w:color w:val="000000"/>
                <w:sz w:val="23"/>
                <w:szCs w:val="23"/>
              </w:rPr>
            </w:pPr>
            <w:r>
              <w:rPr>
                <w:bCs/>
                <w:color w:val="000000"/>
                <w:sz w:val="23"/>
                <w:szCs w:val="23"/>
              </w:rPr>
              <w:t>0</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Accumulated surplus</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3619</w:t>
            </w:r>
          </w:p>
        </w:tc>
        <w:tc>
          <w:tcPr>
            <w:tcW w:w="709" w:type="dxa"/>
          </w:tcPr>
          <w:p w:rsidR="00534083" w:rsidRDefault="00534083" w:rsidP="00DC3AEB">
            <w:pPr>
              <w:pStyle w:val="Pa1"/>
              <w:rPr>
                <w:bCs/>
                <w:color w:val="000000"/>
                <w:sz w:val="23"/>
                <w:szCs w:val="23"/>
              </w:rPr>
            </w:pPr>
            <w:r>
              <w:rPr>
                <w:bCs/>
                <w:color w:val="000000"/>
                <w:sz w:val="23"/>
                <w:szCs w:val="23"/>
              </w:rPr>
              <w:t>1440</w:t>
            </w:r>
          </w:p>
        </w:tc>
      </w:tr>
      <w:tr w:rsidR="00534083" w:rsidTr="00DC3AEB">
        <w:tc>
          <w:tcPr>
            <w:tcW w:w="12191" w:type="dxa"/>
          </w:tcPr>
          <w:p w:rsidR="00534083" w:rsidRDefault="00534083" w:rsidP="00DC3AEB">
            <w:pPr>
              <w:pStyle w:val="Pa1"/>
              <w:rPr>
                <w:bCs/>
                <w:color w:val="000000"/>
                <w:sz w:val="23"/>
                <w:szCs w:val="23"/>
              </w:rPr>
            </w:pPr>
            <w:r>
              <w:rPr>
                <w:bCs/>
                <w:color w:val="000000"/>
                <w:sz w:val="23"/>
                <w:szCs w:val="23"/>
              </w:rPr>
              <w:t>Total equity</w:t>
            </w:r>
          </w:p>
        </w:tc>
        <w:tc>
          <w:tcPr>
            <w:tcW w:w="850" w:type="dxa"/>
          </w:tcPr>
          <w:p w:rsidR="00534083" w:rsidRPr="00921714" w:rsidRDefault="00534083" w:rsidP="00DC3AEB">
            <w:pPr>
              <w:pStyle w:val="Pa1"/>
              <w:rPr>
                <w:bCs/>
                <w:color w:val="000000"/>
                <w:sz w:val="23"/>
                <w:szCs w:val="23"/>
              </w:rPr>
            </w:pPr>
          </w:p>
        </w:tc>
        <w:tc>
          <w:tcPr>
            <w:tcW w:w="851" w:type="dxa"/>
          </w:tcPr>
          <w:p w:rsidR="00534083" w:rsidRDefault="00534083" w:rsidP="00DC3AEB">
            <w:pPr>
              <w:pStyle w:val="Pa1"/>
              <w:rPr>
                <w:bCs/>
                <w:color w:val="000000"/>
                <w:sz w:val="23"/>
                <w:szCs w:val="23"/>
              </w:rPr>
            </w:pPr>
            <w:r>
              <w:rPr>
                <w:bCs/>
                <w:color w:val="000000"/>
                <w:sz w:val="23"/>
                <w:szCs w:val="23"/>
              </w:rPr>
              <w:t>3619</w:t>
            </w:r>
          </w:p>
        </w:tc>
        <w:tc>
          <w:tcPr>
            <w:tcW w:w="709" w:type="dxa"/>
          </w:tcPr>
          <w:p w:rsidR="00534083" w:rsidRDefault="00534083" w:rsidP="00DC3AEB">
            <w:pPr>
              <w:pStyle w:val="Pa1"/>
              <w:rPr>
                <w:bCs/>
                <w:color w:val="000000"/>
                <w:sz w:val="23"/>
                <w:szCs w:val="23"/>
              </w:rPr>
            </w:pPr>
            <w:r>
              <w:rPr>
                <w:bCs/>
                <w:color w:val="000000"/>
                <w:sz w:val="23"/>
                <w:szCs w:val="23"/>
              </w:rPr>
              <w:t>1440</w:t>
            </w:r>
          </w:p>
        </w:tc>
      </w:tr>
    </w:tbl>
    <w:p w:rsidR="00534083" w:rsidRDefault="00534083" w:rsidP="00421842">
      <w:pPr>
        <w:pStyle w:val="TableParagraph"/>
        <w:spacing w:line="299" w:lineRule="exact"/>
        <w:ind w:left="709"/>
        <w:rPr>
          <w:sz w:val="24"/>
          <w:szCs w:val="24"/>
        </w:rPr>
      </w:pPr>
    </w:p>
    <w:p w:rsidR="00921714" w:rsidRPr="00921714" w:rsidRDefault="00421842" w:rsidP="00421842">
      <w:pPr>
        <w:pStyle w:val="TableParagraph"/>
        <w:spacing w:line="299" w:lineRule="exact"/>
        <w:ind w:left="709"/>
        <w:rPr>
          <w:color w:val="353434"/>
          <w:sz w:val="32"/>
        </w:rPr>
        <w:sectPr w:rsidR="00921714" w:rsidRPr="00921714">
          <w:pgSz w:w="16840" w:h="11910" w:orient="landscape"/>
          <w:pgMar w:top="540" w:right="0" w:bottom="360" w:left="0" w:header="229" w:footer="145" w:gutter="0"/>
          <w:cols w:space="720"/>
        </w:sectPr>
      </w:pPr>
      <w:r w:rsidRPr="00421842">
        <w:rPr>
          <w:sz w:val="24"/>
          <w:szCs w:val="24"/>
        </w:rPr>
        <w:t>The Statement of Financial Position should be read in conjunction with the accompanying notes.</w:t>
      </w:r>
    </w:p>
    <w:p w:rsidR="00A1463E" w:rsidRDefault="00A1463E">
      <w:pPr>
        <w:pStyle w:val="BodyText"/>
        <w:spacing w:before="1"/>
        <w:rPr>
          <w:rFonts w:ascii="Times New Roman"/>
          <w:sz w:val="9"/>
        </w:rPr>
      </w:pPr>
    </w:p>
    <w:p w:rsidR="00A1463E" w:rsidRDefault="00F52429">
      <w:pPr>
        <w:spacing w:before="35" w:after="23"/>
        <w:ind w:left="673"/>
        <w:rPr>
          <w:color w:val="353434"/>
          <w:sz w:val="28"/>
        </w:rPr>
      </w:pPr>
      <w:bookmarkStart w:id="35" w:name="statement_of_changes_in_equity_For_the_y"/>
      <w:bookmarkStart w:id="36" w:name="_bookmark28"/>
      <w:bookmarkEnd w:id="35"/>
      <w:bookmarkEnd w:id="36"/>
      <w:r>
        <w:rPr>
          <w:color w:val="353434"/>
          <w:sz w:val="32"/>
        </w:rPr>
        <w:t xml:space="preserve">STATEMENT OF CHANGES IN EQUITY </w:t>
      </w:r>
      <w:proofErr w:type="gramStart"/>
      <w:r>
        <w:rPr>
          <w:color w:val="353434"/>
          <w:sz w:val="28"/>
        </w:rPr>
        <w:t>For</w:t>
      </w:r>
      <w:proofErr w:type="gramEnd"/>
      <w:r>
        <w:rPr>
          <w:color w:val="353434"/>
          <w:sz w:val="28"/>
        </w:rPr>
        <w:t xml:space="preserve"> the year ended 30 June 2018</w:t>
      </w:r>
    </w:p>
    <w:tbl>
      <w:tblPr>
        <w:tblStyle w:val="TableGrid"/>
        <w:tblW w:w="0" w:type="auto"/>
        <w:tblInd w:w="673" w:type="dxa"/>
        <w:tblLook w:val="04A0" w:firstRow="1" w:lastRow="0" w:firstColumn="1" w:lastColumn="0" w:noHBand="0" w:noVBand="1"/>
        <w:tblCaption w:val="Statement of changes in equity"/>
        <w:tblDescription w:val="Table showing statement of changes in equity for the year ended 30 June 2018"/>
      </w:tblPr>
      <w:tblGrid>
        <w:gridCol w:w="6108"/>
        <w:gridCol w:w="714"/>
        <w:gridCol w:w="2503"/>
        <w:gridCol w:w="3180"/>
        <w:gridCol w:w="2977"/>
      </w:tblGrid>
      <w:tr w:rsidR="00422512" w:rsidTr="00534083">
        <w:trPr>
          <w:tblHeader/>
        </w:trPr>
        <w:tc>
          <w:tcPr>
            <w:tcW w:w="6108" w:type="dxa"/>
          </w:tcPr>
          <w:p w:rsidR="00422512" w:rsidRDefault="00B30C9E" w:rsidP="00B30C9E">
            <w:pPr>
              <w:pStyle w:val="TableParagraph"/>
              <w:spacing w:before="1"/>
              <w:ind w:left="6"/>
              <w:rPr>
                <w:sz w:val="28"/>
              </w:rPr>
            </w:pPr>
            <w:r w:rsidRPr="00B30C9E">
              <w:rPr>
                <w:b/>
                <w:sz w:val="24"/>
              </w:rPr>
              <w:t>Changes in equity</w:t>
            </w:r>
          </w:p>
        </w:tc>
        <w:tc>
          <w:tcPr>
            <w:tcW w:w="714" w:type="dxa"/>
          </w:tcPr>
          <w:p w:rsidR="00422512" w:rsidRPr="00421842" w:rsidRDefault="00422512" w:rsidP="00421842">
            <w:pPr>
              <w:pStyle w:val="TableParagraph"/>
              <w:spacing w:before="1"/>
              <w:ind w:left="6"/>
              <w:rPr>
                <w:b/>
                <w:sz w:val="24"/>
              </w:rPr>
            </w:pPr>
            <w:r w:rsidRPr="00421842">
              <w:rPr>
                <w:b/>
                <w:sz w:val="24"/>
              </w:rPr>
              <w:t>Note</w:t>
            </w:r>
          </w:p>
        </w:tc>
        <w:tc>
          <w:tcPr>
            <w:tcW w:w="2503" w:type="dxa"/>
          </w:tcPr>
          <w:p w:rsidR="00422512" w:rsidRPr="00421842" w:rsidRDefault="00422512" w:rsidP="00421842">
            <w:pPr>
              <w:pStyle w:val="TableParagraph"/>
              <w:spacing w:before="1"/>
              <w:ind w:left="6"/>
              <w:rPr>
                <w:b/>
                <w:sz w:val="24"/>
              </w:rPr>
            </w:pPr>
            <w:r>
              <w:rPr>
                <w:b/>
                <w:sz w:val="24"/>
              </w:rPr>
              <w:t>Contributed equity $000</w:t>
            </w:r>
          </w:p>
        </w:tc>
        <w:tc>
          <w:tcPr>
            <w:tcW w:w="3180" w:type="dxa"/>
          </w:tcPr>
          <w:p w:rsidR="00422512" w:rsidRPr="00421842" w:rsidRDefault="00422512" w:rsidP="00421842">
            <w:pPr>
              <w:pStyle w:val="TableParagraph"/>
              <w:spacing w:before="1"/>
              <w:ind w:left="6"/>
              <w:rPr>
                <w:b/>
                <w:sz w:val="24"/>
              </w:rPr>
            </w:pPr>
            <w:r>
              <w:rPr>
                <w:b/>
                <w:sz w:val="24"/>
              </w:rPr>
              <w:t>Accumulated surplus/(deficit) $000</w:t>
            </w:r>
          </w:p>
        </w:tc>
        <w:tc>
          <w:tcPr>
            <w:tcW w:w="2977" w:type="dxa"/>
          </w:tcPr>
          <w:p w:rsidR="00422512" w:rsidRDefault="00422512" w:rsidP="00421842">
            <w:pPr>
              <w:pStyle w:val="TableParagraph"/>
              <w:spacing w:before="1"/>
              <w:ind w:left="6"/>
              <w:rPr>
                <w:b/>
                <w:sz w:val="24"/>
              </w:rPr>
            </w:pPr>
            <w:r>
              <w:rPr>
                <w:b/>
                <w:sz w:val="24"/>
              </w:rPr>
              <w:t>Total equity (equity deficit) $000</w:t>
            </w:r>
          </w:p>
        </w:tc>
      </w:tr>
      <w:tr w:rsidR="00422512" w:rsidRPr="00422512" w:rsidTr="00534083">
        <w:tc>
          <w:tcPr>
            <w:tcW w:w="6108" w:type="dxa"/>
          </w:tcPr>
          <w:p w:rsidR="00422512" w:rsidRPr="00422512" w:rsidRDefault="00422512" w:rsidP="00422512">
            <w:pPr>
              <w:pStyle w:val="Pa1"/>
              <w:tabs>
                <w:tab w:val="left" w:pos="0"/>
                <w:tab w:val="left" w:pos="66"/>
              </w:tabs>
              <w:rPr>
                <w:bCs/>
                <w:color w:val="000000"/>
                <w:sz w:val="23"/>
                <w:szCs w:val="23"/>
              </w:rPr>
            </w:pPr>
            <w:r>
              <w:rPr>
                <w:bCs/>
                <w:color w:val="000000"/>
                <w:sz w:val="23"/>
                <w:szCs w:val="23"/>
              </w:rPr>
              <w:t>Balance at 1 July 2016</w:t>
            </w:r>
          </w:p>
        </w:tc>
        <w:tc>
          <w:tcPr>
            <w:tcW w:w="714" w:type="dxa"/>
          </w:tcPr>
          <w:p w:rsidR="00422512" w:rsidRPr="00422512" w:rsidRDefault="00422512" w:rsidP="00422512">
            <w:pPr>
              <w:pStyle w:val="Pa1"/>
              <w:rPr>
                <w:bCs/>
                <w:color w:val="000000"/>
                <w:sz w:val="23"/>
                <w:szCs w:val="23"/>
              </w:rPr>
            </w:pPr>
            <w:r w:rsidRPr="00422512">
              <w:rPr>
                <w:bCs/>
                <w:color w:val="000000"/>
                <w:sz w:val="23"/>
                <w:szCs w:val="23"/>
              </w:rPr>
              <w:t>21</w:t>
            </w: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(699)</w:t>
            </w:r>
          </w:p>
        </w:tc>
        <w:tc>
          <w:tcPr>
            <w:tcW w:w="2977" w:type="dxa"/>
          </w:tcPr>
          <w:p w:rsidR="00422512" w:rsidRPr="00422512" w:rsidRDefault="00422512" w:rsidP="00422512">
            <w:pPr>
              <w:pStyle w:val="Pa1"/>
              <w:rPr>
                <w:bCs/>
                <w:color w:val="000000"/>
                <w:sz w:val="23"/>
                <w:szCs w:val="23"/>
              </w:rPr>
            </w:pPr>
            <w:r>
              <w:rPr>
                <w:bCs/>
                <w:color w:val="000000"/>
                <w:sz w:val="23"/>
                <w:szCs w:val="23"/>
              </w:rPr>
              <w:t>(699)</w:t>
            </w:r>
          </w:p>
        </w:tc>
      </w:tr>
      <w:tr w:rsidR="00422512" w:rsidRPr="00422512" w:rsidTr="00422512">
        <w:tc>
          <w:tcPr>
            <w:tcW w:w="6108" w:type="dxa"/>
          </w:tcPr>
          <w:p w:rsidR="00422512" w:rsidRPr="00422512" w:rsidRDefault="00422512" w:rsidP="00422512">
            <w:pPr>
              <w:pStyle w:val="Pa1"/>
              <w:rPr>
                <w:bCs/>
                <w:color w:val="000000"/>
                <w:sz w:val="23"/>
                <w:szCs w:val="23"/>
              </w:rPr>
            </w:pPr>
            <w:r>
              <w:rPr>
                <w:bCs/>
                <w:color w:val="000000"/>
                <w:sz w:val="23"/>
                <w:szCs w:val="23"/>
              </w:rPr>
              <w:t>Total comprehensive income for the period</w:t>
            </w:r>
          </w:p>
        </w:tc>
        <w:tc>
          <w:tcPr>
            <w:tcW w:w="714" w:type="dxa"/>
          </w:tcPr>
          <w:p w:rsidR="00422512" w:rsidRPr="00422512" w:rsidRDefault="00422512" w:rsidP="00422512">
            <w:pPr>
              <w:pStyle w:val="Pa1"/>
              <w:rPr>
                <w:bCs/>
                <w:color w:val="000000"/>
                <w:sz w:val="23"/>
                <w:szCs w:val="23"/>
              </w:rPr>
            </w:pP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2139</w:t>
            </w:r>
          </w:p>
        </w:tc>
        <w:tc>
          <w:tcPr>
            <w:tcW w:w="2977" w:type="dxa"/>
          </w:tcPr>
          <w:p w:rsidR="00422512" w:rsidRPr="00422512" w:rsidRDefault="00422512" w:rsidP="00422512">
            <w:pPr>
              <w:pStyle w:val="Pa1"/>
              <w:rPr>
                <w:bCs/>
                <w:color w:val="000000"/>
                <w:sz w:val="23"/>
                <w:szCs w:val="23"/>
              </w:rPr>
            </w:pPr>
            <w:r>
              <w:rPr>
                <w:bCs/>
                <w:color w:val="000000"/>
                <w:sz w:val="23"/>
                <w:szCs w:val="23"/>
              </w:rPr>
              <w:t>2139</w:t>
            </w:r>
          </w:p>
        </w:tc>
      </w:tr>
      <w:tr w:rsidR="00422512" w:rsidRPr="00422512" w:rsidTr="00422512">
        <w:tc>
          <w:tcPr>
            <w:tcW w:w="6108" w:type="dxa"/>
          </w:tcPr>
          <w:p w:rsidR="00422512" w:rsidRPr="00422512" w:rsidRDefault="00422512" w:rsidP="00422512">
            <w:pPr>
              <w:pStyle w:val="Pa1"/>
              <w:rPr>
                <w:bCs/>
                <w:color w:val="000000"/>
                <w:sz w:val="23"/>
                <w:szCs w:val="23"/>
              </w:rPr>
            </w:pPr>
            <w:r>
              <w:rPr>
                <w:bCs/>
                <w:color w:val="000000"/>
                <w:sz w:val="23"/>
                <w:szCs w:val="23"/>
              </w:rPr>
              <w:t>Balance at 30 June 2017</w:t>
            </w:r>
          </w:p>
        </w:tc>
        <w:tc>
          <w:tcPr>
            <w:tcW w:w="714" w:type="dxa"/>
          </w:tcPr>
          <w:p w:rsidR="00422512" w:rsidRPr="00422512" w:rsidRDefault="00422512" w:rsidP="00422512">
            <w:pPr>
              <w:pStyle w:val="Pa1"/>
              <w:rPr>
                <w:bCs/>
                <w:color w:val="000000"/>
                <w:sz w:val="23"/>
                <w:szCs w:val="23"/>
              </w:rPr>
            </w:pP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1440</w:t>
            </w:r>
          </w:p>
        </w:tc>
        <w:tc>
          <w:tcPr>
            <w:tcW w:w="2977" w:type="dxa"/>
          </w:tcPr>
          <w:p w:rsidR="00422512" w:rsidRPr="00422512" w:rsidRDefault="00422512" w:rsidP="00422512">
            <w:pPr>
              <w:pStyle w:val="Pa1"/>
              <w:rPr>
                <w:bCs/>
                <w:color w:val="000000"/>
                <w:sz w:val="23"/>
                <w:szCs w:val="23"/>
              </w:rPr>
            </w:pPr>
            <w:r>
              <w:rPr>
                <w:bCs/>
                <w:color w:val="000000"/>
                <w:sz w:val="23"/>
                <w:szCs w:val="23"/>
              </w:rPr>
              <w:t>1440</w:t>
            </w:r>
          </w:p>
        </w:tc>
      </w:tr>
      <w:tr w:rsidR="00422512" w:rsidRPr="00422512" w:rsidTr="00422512">
        <w:tc>
          <w:tcPr>
            <w:tcW w:w="6108" w:type="dxa"/>
          </w:tcPr>
          <w:p w:rsidR="00422512" w:rsidRDefault="00422512" w:rsidP="00422512">
            <w:pPr>
              <w:pStyle w:val="Pa1"/>
              <w:rPr>
                <w:bCs/>
                <w:color w:val="000000"/>
                <w:sz w:val="23"/>
                <w:szCs w:val="23"/>
              </w:rPr>
            </w:pPr>
            <w:r>
              <w:rPr>
                <w:bCs/>
                <w:color w:val="000000"/>
                <w:sz w:val="23"/>
                <w:szCs w:val="23"/>
              </w:rPr>
              <w:t>Balance at 1 July 2017</w:t>
            </w:r>
          </w:p>
        </w:tc>
        <w:tc>
          <w:tcPr>
            <w:tcW w:w="714" w:type="dxa"/>
          </w:tcPr>
          <w:p w:rsidR="00422512" w:rsidRPr="00422512" w:rsidRDefault="00422512" w:rsidP="00422512">
            <w:pPr>
              <w:pStyle w:val="Pa1"/>
              <w:rPr>
                <w:bCs/>
                <w:color w:val="000000"/>
                <w:sz w:val="23"/>
                <w:szCs w:val="23"/>
              </w:rPr>
            </w:pP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1440</w:t>
            </w:r>
          </w:p>
        </w:tc>
        <w:tc>
          <w:tcPr>
            <w:tcW w:w="2977" w:type="dxa"/>
          </w:tcPr>
          <w:p w:rsidR="00422512" w:rsidRPr="00422512" w:rsidRDefault="00422512" w:rsidP="00422512">
            <w:pPr>
              <w:pStyle w:val="Pa1"/>
              <w:rPr>
                <w:bCs/>
                <w:color w:val="000000"/>
                <w:sz w:val="23"/>
                <w:szCs w:val="23"/>
              </w:rPr>
            </w:pPr>
            <w:r>
              <w:rPr>
                <w:bCs/>
                <w:color w:val="000000"/>
                <w:sz w:val="23"/>
                <w:szCs w:val="23"/>
              </w:rPr>
              <w:t>1440</w:t>
            </w:r>
          </w:p>
        </w:tc>
      </w:tr>
      <w:tr w:rsidR="00422512" w:rsidRPr="00422512" w:rsidTr="00422512">
        <w:tc>
          <w:tcPr>
            <w:tcW w:w="6108" w:type="dxa"/>
          </w:tcPr>
          <w:p w:rsidR="00422512" w:rsidRDefault="00422512" w:rsidP="00422512">
            <w:pPr>
              <w:pStyle w:val="Pa1"/>
              <w:rPr>
                <w:bCs/>
                <w:color w:val="000000"/>
                <w:sz w:val="23"/>
                <w:szCs w:val="23"/>
              </w:rPr>
            </w:pPr>
            <w:r>
              <w:rPr>
                <w:bCs/>
                <w:color w:val="000000"/>
                <w:sz w:val="23"/>
                <w:szCs w:val="23"/>
              </w:rPr>
              <w:t>Total comprehensive income for the period</w:t>
            </w:r>
          </w:p>
        </w:tc>
        <w:tc>
          <w:tcPr>
            <w:tcW w:w="714" w:type="dxa"/>
          </w:tcPr>
          <w:p w:rsidR="00422512" w:rsidRPr="00422512" w:rsidRDefault="00422512" w:rsidP="00422512">
            <w:pPr>
              <w:pStyle w:val="Pa1"/>
              <w:rPr>
                <w:bCs/>
                <w:color w:val="000000"/>
                <w:sz w:val="23"/>
                <w:szCs w:val="23"/>
              </w:rPr>
            </w:pP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2179</w:t>
            </w:r>
          </w:p>
        </w:tc>
        <w:tc>
          <w:tcPr>
            <w:tcW w:w="2977" w:type="dxa"/>
          </w:tcPr>
          <w:p w:rsidR="00422512" w:rsidRPr="00422512" w:rsidRDefault="00422512" w:rsidP="00422512">
            <w:pPr>
              <w:pStyle w:val="Pa1"/>
              <w:rPr>
                <w:bCs/>
                <w:color w:val="000000"/>
                <w:sz w:val="23"/>
                <w:szCs w:val="23"/>
              </w:rPr>
            </w:pPr>
            <w:r>
              <w:rPr>
                <w:bCs/>
                <w:color w:val="000000"/>
                <w:sz w:val="23"/>
                <w:szCs w:val="23"/>
              </w:rPr>
              <w:t>2179</w:t>
            </w:r>
          </w:p>
        </w:tc>
      </w:tr>
      <w:tr w:rsidR="00422512" w:rsidRPr="00422512" w:rsidTr="00422512">
        <w:tc>
          <w:tcPr>
            <w:tcW w:w="6108" w:type="dxa"/>
          </w:tcPr>
          <w:p w:rsidR="00422512" w:rsidRDefault="00422512" w:rsidP="00422512">
            <w:pPr>
              <w:pStyle w:val="Pa1"/>
              <w:rPr>
                <w:bCs/>
                <w:color w:val="000000"/>
                <w:sz w:val="23"/>
                <w:szCs w:val="23"/>
              </w:rPr>
            </w:pPr>
            <w:r>
              <w:rPr>
                <w:bCs/>
                <w:color w:val="000000"/>
                <w:sz w:val="23"/>
                <w:szCs w:val="23"/>
              </w:rPr>
              <w:t>Balance at 30 June 2018</w:t>
            </w:r>
          </w:p>
        </w:tc>
        <w:tc>
          <w:tcPr>
            <w:tcW w:w="714" w:type="dxa"/>
          </w:tcPr>
          <w:p w:rsidR="00422512" w:rsidRPr="00422512" w:rsidRDefault="00422512" w:rsidP="00422512">
            <w:pPr>
              <w:pStyle w:val="Pa1"/>
              <w:rPr>
                <w:bCs/>
                <w:color w:val="000000"/>
                <w:sz w:val="23"/>
                <w:szCs w:val="23"/>
              </w:rPr>
            </w:pPr>
          </w:p>
        </w:tc>
        <w:tc>
          <w:tcPr>
            <w:tcW w:w="2503" w:type="dxa"/>
          </w:tcPr>
          <w:p w:rsidR="00422512" w:rsidRPr="00422512" w:rsidRDefault="00422512" w:rsidP="00422512">
            <w:pPr>
              <w:pStyle w:val="Pa1"/>
              <w:rPr>
                <w:bCs/>
                <w:color w:val="000000"/>
                <w:sz w:val="23"/>
                <w:szCs w:val="23"/>
              </w:rPr>
            </w:pPr>
            <w:r>
              <w:rPr>
                <w:bCs/>
                <w:color w:val="000000"/>
                <w:sz w:val="23"/>
                <w:szCs w:val="23"/>
              </w:rPr>
              <w:t>0</w:t>
            </w:r>
          </w:p>
        </w:tc>
        <w:tc>
          <w:tcPr>
            <w:tcW w:w="3180" w:type="dxa"/>
          </w:tcPr>
          <w:p w:rsidR="00422512" w:rsidRPr="00422512" w:rsidRDefault="00422512" w:rsidP="00422512">
            <w:pPr>
              <w:pStyle w:val="Pa1"/>
              <w:rPr>
                <w:bCs/>
                <w:color w:val="000000"/>
                <w:sz w:val="23"/>
                <w:szCs w:val="23"/>
              </w:rPr>
            </w:pPr>
            <w:r>
              <w:rPr>
                <w:bCs/>
                <w:color w:val="000000"/>
                <w:sz w:val="23"/>
                <w:szCs w:val="23"/>
              </w:rPr>
              <w:t>3619</w:t>
            </w:r>
          </w:p>
        </w:tc>
        <w:tc>
          <w:tcPr>
            <w:tcW w:w="2977" w:type="dxa"/>
          </w:tcPr>
          <w:p w:rsidR="00422512" w:rsidRPr="00422512" w:rsidRDefault="00422512" w:rsidP="00422512">
            <w:pPr>
              <w:pStyle w:val="Pa1"/>
              <w:rPr>
                <w:bCs/>
                <w:color w:val="000000"/>
                <w:sz w:val="23"/>
                <w:szCs w:val="23"/>
              </w:rPr>
            </w:pPr>
            <w:r>
              <w:rPr>
                <w:bCs/>
                <w:color w:val="000000"/>
                <w:sz w:val="23"/>
                <w:szCs w:val="23"/>
              </w:rPr>
              <w:t>3619</w:t>
            </w:r>
          </w:p>
        </w:tc>
      </w:tr>
    </w:tbl>
    <w:p w:rsidR="00421842" w:rsidRPr="00422512" w:rsidRDefault="00422512" w:rsidP="00422512">
      <w:pPr>
        <w:pStyle w:val="Pa1"/>
        <w:ind w:left="709"/>
        <w:rPr>
          <w:bCs/>
          <w:color w:val="000000"/>
          <w:sz w:val="23"/>
          <w:szCs w:val="23"/>
        </w:rPr>
      </w:pPr>
      <w:r w:rsidRPr="00422512">
        <w:rPr>
          <w:bCs/>
          <w:color w:val="000000"/>
          <w:sz w:val="23"/>
          <w:szCs w:val="23"/>
        </w:rPr>
        <w:t>The Statement of Changes in Equity should be read in conjunction with the accompanying notes.</w:t>
      </w:r>
    </w:p>
    <w:p w:rsidR="00A1463E" w:rsidRDefault="00A1463E">
      <w:pPr>
        <w:pStyle w:val="BodyText"/>
        <w:spacing w:before="8"/>
        <w:rPr>
          <w:sz w:val="5"/>
        </w:rPr>
      </w:pPr>
    </w:p>
    <w:p w:rsidR="00A1463E" w:rsidRDefault="00A1463E">
      <w:pPr>
        <w:rPr>
          <w:sz w:val="5"/>
        </w:rPr>
        <w:sectPr w:rsidR="00A1463E">
          <w:pgSz w:w="16840" w:h="11910" w:orient="landscape"/>
          <w:pgMar w:top="540" w:right="0" w:bottom="360" w:left="0" w:header="229" w:footer="145" w:gutter="0"/>
          <w:cols w:space="720"/>
        </w:sectPr>
      </w:pPr>
    </w:p>
    <w:p w:rsidR="00A1463E" w:rsidRDefault="00A1463E">
      <w:pPr>
        <w:spacing w:line="20" w:lineRule="exact"/>
        <w:rPr>
          <w:sz w:val="2"/>
        </w:rPr>
        <w:sectPr w:rsidR="00A1463E">
          <w:type w:val="continuous"/>
          <w:pgSz w:w="16840" w:h="11910" w:orient="landscape"/>
          <w:pgMar w:top="560" w:right="0" w:bottom="0" w:left="0" w:header="720" w:footer="720" w:gutter="0"/>
          <w:cols w:num="2" w:space="720" w:equalWidth="0">
            <w:col w:w="10100" w:space="77"/>
            <w:col w:w="6663"/>
          </w:cols>
        </w:sectPr>
      </w:pPr>
    </w:p>
    <w:p w:rsidR="00A1463E" w:rsidRDefault="00A1463E">
      <w:pPr>
        <w:pStyle w:val="BodyText"/>
        <w:spacing w:before="6"/>
        <w:rPr>
          <w:b/>
          <w:sz w:val="8"/>
        </w:rPr>
      </w:pPr>
    </w:p>
    <w:p w:rsidR="00CF7E26" w:rsidRPr="00CF7E26" w:rsidRDefault="00CF7E26" w:rsidP="00CF7E26">
      <w:pPr>
        <w:spacing w:before="36"/>
        <w:ind w:left="673"/>
        <w:rPr>
          <w:color w:val="353434"/>
          <w:sz w:val="32"/>
        </w:rPr>
      </w:pPr>
      <w:bookmarkStart w:id="37" w:name="statement_of_cash_flows_For_the_year_end"/>
      <w:bookmarkStart w:id="38" w:name="_bookmark29"/>
      <w:bookmarkEnd w:id="37"/>
      <w:bookmarkEnd w:id="38"/>
      <w:r w:rsidRPr="00CF7E26">
        <w:rPr>
          <w:color w:val="353434"/>
          <w:sz w:val="32"/>
        </w:rPr>
        <w:t>Statement of Cash Flows for the year ended 30 June 2018</w:t>
      </w:r>
    </w:p>
    <w:tbl>
      <w:tblPr>
        <w:tblStyle w:val="TableGrid"/>
        <w:tblW w:w="0" w:type="auto"/>
        <w:tblInd w:w="680" w:type="dxa"/>
        <w:tblLook w:val="04A0" w:firstRow="1" w:lastRow="0" w:firstColumn="1" w:lastColumn="0" w:noHBand="0" w:noVBand="1"/>
        <w:tblCaption w:val="Statement of cash flows "/>
        <w:tblDescription w:val="Table showing statement of cash flows for the year ended 30 June 2018"/>
      </w:tblPr>
      <w:tblGrid>
        <w:gridCol w:w="10372"/>
        <w:gridCol w:w="992"/>
        <w:gridCol w:w="1276"/>
        <w:gridCol w:w="1276"/>
      </w:tblGrid>
      <w:tr w:rsidR="00CF7E26" w:rsidTr="00CA624A">
        <w:trPr>
          <w:tblHeader/>
        </w:trPr>
        <w:tc>
          <w:tcPr>
            <w:tcW w:w="10372" w:type="dxa"/>
          </w:tcPr>
          <w:p w:rsidR="00CF7E26" w:rsidRDefault="006C3868" w:rsidP="005F5CA8">
            <w:pPr>
              <w:pStyle w:val="TableParagraph"/>
              <w:spacing w:before="1"/>
              <w:ind w:left="6"/>
              <w:rPr>
                <w:sz w:val="20"/>
              </w:rPr>
            </w:pPr>
            <w:r w:rsidRPr="005F5CA8">
              <w:rPr>
                <w:b/>
                <w:sz w:val="24"/>
              </w:rPr>
              <w:t>Cash flows from State Government</w:t>
            </w:r>
            <w:r>
              <w:rPr>
                <w:sz w:val="20"/>
              </w:rPr>
              <w:t xml:space="preserve"> </w:t>
            </w:r>
          </w:p>
        </w:tc>
        <w:tc>
          <w:tcPr>
            <w:tcW w:w="992" w:type="dxa"/>
          </w:tcPr>
          <w:p w:rsidR="00CF7E26" w:rsidRPr="00CF7E26" w:rsidRDefault="00CF7E26" w:rsidP="00CF7E26">
            <w:pPr>
              <w:pStyle w:val="TableParagraph"/>
              <w:spacing w:before="1"/>
              <w:ind w:left="6"/>
              <w:rPr>
                <w:b/>
                <w:sz w:val="24"/>
              </w:rPr>
            </w:pPr>
            <w:r>
              <w:rPr>
                <w:b/>
                <w:sz w:val="24"/>
              </w:rPr>
              <w:t xml:space="preserve">Note </w:t>
            </w:r>
          </w:p>
        </w:tc>
        <w:tc>
          <w:tcPr>
            <w:tcW w:w="1276" w:type="dxa"/>
          </w:tcPr>
          <w:p w:rsidR="00CF7E26" w:rsidRPr="00CF7E26" w:rsidRDefault="00CF7E26" w:rsidP="00CF7E26">
            <w:pPr>
              <w:pStyle w:val="TableParagraph"/>
              <w:spacing w:before="1"/>
              <w:ind w:left="6"/>
              <w:rPr>
                <w:b/>
                <w:sz w:val="24"/>
              </w:rPr>
            </w:pPr>
            <w:r>
              <w:rPr>
                <w:b/>
                <w:sz w:val="24"/>
              </w:rPr>
              <w:t>2018 $000</w:t>
            </w:r>
          </w:p>
        </w:tc>
        <w:tc>
          <w:tcPr>
            <w:tcW w:w="1276" w:type="dxa"/>
          </w:tcPr>
          <w:p w:rsidR="00CF7E26" w:rsidRPr="00CF7E26" w:rsidRDefault="00CF7E26" w:rsidP="00CF7E26">
            <w:pPr>
              <w:pStyle w:val="TableParagraph"/>
              <w:spacing w:before="1"/>
              <w:ind w:left="6"/>
              <w:rPr>
                <w:b/>
                <w:sz w:val="24"/>
              </w:rPr>
            </w:pPr>
            <w:r>
              <w:rPr>
                <w:b/>
                <w:sz w:val="24"/>
              </w:rPr>
              <w:t>2017 $000</w:t>
            </w:r>
          </w:p>
        </w:tc>
      </w:tr>
      <w:tr w:rsidR="00CF7E26" w:rsidTr="00CA624A">
        <w:tc>
          <w:tcPr>
            <w:tcW w:w="10372" w:type="dxa"/>
          </w:tcPr>
          <w:p w:rsidR="00CF7E26" w:rsidRPr="00CF7E26" w:rsidRDefault="00CF7E26" w:rsidP="00CF7E26">
            <w:pPr>
              <w:pStyle w:val="Pa1"/>
              <w:rPr>
                <w:bCs/>
                <w:color w:val="000000"/>
                <w:sz w:val="23"/>
                <w:szCs w:val="23"/>
              </w:rPr>
            </w:pPr>
            <w:r w:rsidRPr="00CF7E26">
              <w:rPr>
                <w:bCs/>
                <w:color w:val="000000"/>
                <w:sz w:val="23"/>
                <w:szCs w:val="23"/>
              </w:rPr>
              <w:t>Service appropriation (a)</w:t>
            </w:r>
          </w:p>
        </w:tc>
        <w:tc>
          <w:tcPr>
            <w:tcW w:w="992" w:type="dxa"/>
          </w:tcPr>
          <w:p w:rsidR="00CF7E26" w:rsidRPr="00CF7E26" w:rsidRDefault="00CF7E26" w:rsidP="00CF7E26">
            <w:pPr>
              <w:pStyle w:val="Pa1"/>
              <w:rPr>
                <w:bCs/>
                <w:color w:val="000000"/>
                <w:sz w:val="23"/>
                <w:szCs w:val="23"/>
              </w:rPr>
            </w:pPr>
          </w:p>
        </w:tc>
        <w:tc>
          <w:tcPr>
            <w:tcW w:w="1276" w:type="dxa"/>
          </w:tcPr>
          <w:p w:rsidR="00CF7E26" w:rsidRPr="00CF7E26" w:rsidRDefault="000866EC" w:rsidP="00CF7E26">
            <w:pPr>
              <w:pStyle w:val="Pa1"/>
              <w:rPr>
                <w:bCs/>
                <w:color w:val="000000"/>
                <w:sz w:val="23"/>
                <w:szCs w:val="23"/>
              </w:rPr>
            </w:pPr>
            <w:r>
              <w:rPr>
                <w:bCs/>
                <w:color w:val="000000"/>
                <w:sz w:val="23"/>
                <w:szCs w:val="23"/>
              </w:rPr>
              <w:t>1657</w:t>
            </w:r>
          </w:p>
        </w:tc>
        <w:tc>
          <w:tcPr>
            <w:tcW w:w="1276" w:type="dxa"/>
          </w:tcPr>
          <w:p w:rsidR="00CF7E26" w:rsidRPr="00CF7E26" w:rsidRDefault="000866EC" w:rsidP="00CF7E26">
            <w:pPr>
              <w:pStyle w:val="Pa1"/>
              <w:rPr>
                <w:bCs/>
                <w:color w:val="000000"/>
                <w:sz w:val="23"/>
                <w:szCs w:val="23"/>
              </w:rPr>
            </w:pPr>
            <w:r>
              <w:rPr>
                <w:bCs/>
                <w:color w:val="000000"/>
                <w:sz w:val="23"/>
                <w:szCs w:val="23"/>
              </w:rPr>
              <w:t>9159</w:t>
            </w:r>
          </w:p>
        </w:tc>
      </w:tr>
      <w:tr w:rsidR="00CF7E26" w:rsidTr="00CA624A">
        <w:tc>
          <w:tcPr>
            <w:tcW w:w="10372" w:type="dxa"/>
          </w:tcPr>
          <w:p w:rsidR="00CF7E26" w:rsidRPr="00CF7E26" w:rsidRDefault="00CF7E26" w:rsidP="00CF7E26">
            <w:pPr>
              <w:pStyle w:val="Pa1"/>
              <w:rPr>
                <w:bCs/>
                <w:color w:val="000000"/>
                <w:sz w:val="23"/>
                <w:szCs w:val="23"/>
              </w:rPr>
            </w:pPr>
            <w:r w:rsidRPr="00CF7E26">
              <w:rPr>
                <w:bCs/>
                <w:color w:val="000000"/>
                <w:sz w:val="23"/>
                <w:szCs w:val="23"/>
              </w:rPr>
              <w:t>Net cash provided by State Government</w:t>
            </w:r>
          </w:p>
        </w:tc>
        <w:tc>
          <w:tcPr>
            <w:tcW w:w="992" w:type="dxa"/>
          </w:tcPr>
          <w:p w:rsidR="00CF7E26" w:rsidRPr="00CF7E26" w:rsidRDefault="00CF7E26" w:rsidP="00CF7E26">
            <w:pPr>
              <w:pStyle w:val="Pa1"/>
              <w:rPr>
                <w:bCs/>
                <w:color w:val="000000"/>
                <w:sz w:val="23"/>
                <w:szCs w:val="23"/>
              </w:rPr>
            </w:pPr>
          </w:p>
        </w:tc>
        <w:tc>
          <w:tcPr>
            <w:tcW w:w="1276" w:type="dxa"/>
          </w:tcPr>
          <w:p w:rsidR="00CF7E26" w:rsidRPr="00CF7E26" w:rsidRDefault="000866EC" w:rsidP="00CF7E26">
            <w:pPr>
              <w:pStyle w:val="Pa1"/>
              <w:rPr>
                <w:bCs/>
                <w:color w:val="000000"/>
                <w:sz w:val="23"/>
                <w:szCs w:val="23"/>
              </w:rPr>
            </w:pPr>
            <w:r>
              <w:rPr>
                <w:bCs/>
                <w:color w:val="000000"/>
                <w:sz w:val="23"/>
                <w:szCs w:val="23"/>
              </w:rPr>
              <w:t>1657</w:t>
            </w:r>
          </w:p>
        </w:tc>
        <w:tc>
          <w:tcPr>
            <w:tcW w:w="1276" w:type="dxa"/>
          </w:tcPr>
          <w:p w:rsidR="00CF7E26" w:rsidRPr="00CF7E26" w:rsidRDefault="000866EC" w:rsidP="00CF7E26">
            <w:pPr>
              <w:pStyle w:val="Pa1"/>
              <w:rPr>
                <w:bCs/>
                <w:color w:val="000000"/>
                <w:sz w:val="23"/>
                <w:szCs w:val="23"/>
              </w:rPr>
            </w:pPr>
            <w:r>
              <w:rPr>
                <w:bCs/>
                <w:color w:val="000000"/>
                <w:sz w:val="23"/>
                <w:szCs w:val="23"/>
              </w:rPr>
              <w:t>9159</w:t>
            </w:r>
          </w:p>
        </w:tc>
      </w:tr>
    </w:tbl>
    <w:p w:rsidR="00CA624A" w:rsidRDefault="00CA624A" w:rsidP="00CA624A">
      <w:pPr>
        <w:pStyle w:val="Heading3"/>
        <w:ind w:left="709"/>
      </w:pPr>
      <w:proofErr w:type="spellStart"/>
      <w:r>
        <w:t>Utilised</w:t>
      </w:r>
      <w:proofErr w:type="spellEnd"/>
      <w:r>
        <w:t xml:space="preserve"> as follows:</w:t>
      </w:r>
    </w:p>
    <w:tbl>
      <w:tblPr>
        <w:tblStyle w:val="TableGrid"/>
        <w:tblW w:w="0" w:type="auto"/>
        <w:tblInd w:w="680" w:type="dxa"/>
        <w:tblLook w:val="04A0" w:firstRow="1" w:lastRow="0" w:firstColumn="1" w:lastColumn="0" w:noHBand="0" w:noVBand="1"/>
        <w:tblCaption w:val="cash flows from operating activities - payments"/>
        <w:tblDescription w:val="table showing figures of cash flows from operating activities (payments) as part of the statement of cash flows for the year ended 30 June 2018"/>
      </w:tblPr>
      <w:tblGrid>
        <w:gridCol w:w="10418"/>
        <w:gridCol w:w="931"/>
        <w:gridCol w:w="1291"/>
        <w:gridCol w:w="1276"/>
      </w:tblGrid>
      <w:tr w:rsidR="00CA624A" w:rsidRPr="005F5CA8" w:rsidTr="006604EC">
        <w:trPr>
          <w:tblHeader/>
        </w:trPr>
        <w:tc>
          <w:tcPr>
            <w:tcW w:w="10418" w:type="dxa"/>
          </w:tcPr>
          <w:p w:rsidR="00CA624A" w:rsidRPr="005F5CA8" w:rsidRDefault="00CA624A" w:rsidP="005F5CA8">
            <w:pPr>
              <w:pStyle w:val="TableParagraph"/>
              <w:spacing w:before="1"/>
              <w:ind w:left="6"/>
              <w:rPr>
                <w:b/>
                <w:sz w:val="24"/>
              </w:rPr>
            </w:pPr>
            <w:r w:rsidRPr="005F5CA8">
              <w:rPr>
                <w:b/>
                <w:sz w:val="24"/>
              </w:rPr>
              <w:t>Cash flows from operating activities - payments</w:t>
            </w:r>
          </w:p>
        </w:tc>
        <w:tc>
          <w:tcPr>
            <w:tcW w:w="931" w:type="dxa"/>
          </w:tcPr>
          <w:p w:rsidR="00CA624A" w:rsidRPr="005F5CA8" w:rsidRDefault="00CA624A" w:rsidP="005F5CA8">
            <w:pPr>
              <w:pStyle w:val="TableParagraph"/>
              <w:spacing w:before="1"/>
              <w:ind w:left="6"/>
              <w:rPr>
                <w:b/>
                <w:sz w:val="24"/>
              </w:rPr>
            </w:pPr>
            <w:r w:rsidRPr="005F5CA8">
              <w:rPr>
                <w:b/>
                <w:sz w:val="24"/>
              </w:rPr>
              <w:t xml:space="preserve">Note </w:t>
            </w:r>
          </w:p>
        </w:tc>
        <w:tc>
          <w:tcPr>
            <w:tcW w:w="1291" w:type="dxa"/>
          </w:tcPr>
          <w:p w:rsidR="00CA624A" w:rsidRPr="005F5CA8" w:rsidRDefault="00CA624A" w:rsidP="005F5CA8">
            <w:pPr>
              <w:pStyle w:val="TableParagraph"/>
              <w:spacing w:before="1"/>
              <w:ind w:left="6"/>
              <w:rPr>
                <w:b/>
                <w:sz w:val="24"/>
              </w:rPr>
            </w:pPr>
            <w:r w:rsidRPr="005F5CA8">
              <w:rPr>
                <w:b/>
                <w:sz w:val="24"/>
              </w:rPr>
              <w:t>2018 $000</w:t>
            </w:r>
          </w:p>
        </w:tc>
        <w:tc>
          <w:tcPr>
            <w:tcW w:w="1276" w:type="dxa"/>
          </w:tcPr>
          <w:p w:rsidR="00CA624A" w:rsidRPr="005F5CA8" w:rsidRDefault="00CA624A" w:rsidP="005F5CA8">
            <w:pPr>
              <w:pStyle w:val="TableParagraph"/>
              <w:spacing w:before="1"/>
              <w:ind w:left="6"/>
              <w:rPr>
                <w:b/>
                <w:sz w:val="24"/>
              </w:rPr>
            </w:pPr>
            <w:r w:rsidRPr="005F5CA8">
              <w:rPr>
                <w:b/>
                <w:sz w:val="24"/>
              </w:rPr>
              <w:t>2017 $000</w:t>
            </w:r>
          </w:p>
        </w:tc>
      </w:tr>
      <w:tr w:rsidR="00CA624A" w:rsidRPr="00CF7E26" w:rsidTr="00CA624A">
        <w:tc>
          <w:tcPr>
            <w:tcW w:w="10418" w:type="dxa"/>
          </w:tcPr>
          <w:p w:rsidR="00CA624A" w:rsidRPr="00CF7E26" w:rsidRDefault="00CA624A" w:rsidP="00DC3AEB">
            <w:pPr>
              <w:pStyle w:val="Pa1"/>
              <w:rPr>
                <w:bCs/>
                <w:color w:val="000000"/>
                <w:sz w:val="23"/>
                <w:szCs w:val="23"/>
              </w:rPr>
            </w:pPr>
            <w:r>
              <w:rPr>
                <w:bCs/>
                <w:color w:val="000000"/>
                <w:sz w:val="23"/>
                <w:szCs w:val="23"/>
              </w:rPr>
              <w:t>Employee benefits</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(4881)</w:t>
            </w:r>
          </w:p>
        </w:tc>
        <w:tc>
          <w:tcPr>
            <w:tcW w:w="1276" w:type="dxa"/>
          </w:tcPr>
          <w:p w:rsidR="00CA624A" w:rsidRPr="00CF7E26" w:rsidRDefault="00CA624A" w:rsidP="00DC3AEB">
            <w:pPr>
              <w:pStyle w:val="Pa1"/>
              <w:rPr>
                <w:bCs/>
                <w:color w:val="000000"/>
                <w:sz w:val="23"/>
                <w:szCs w:val="23"/>
              </w:rPr>
            </w:pPr>
            <w:r>
              <w:rPr>
                <w:bCs/>
                <w:color w:val="000000"/>
                <w:sz w:val="23"/>
                <w:szCs w:val="23"/>
              </w:rPr>
              <w:t>(3862)</w:t>
            </w:r>
          </w:p>
        </w:tc>
      </w:tr>
      <w:tr w:rsidR="00CA624A" w:rsidRPr="00CF7E26" w:rsidTr="00CA624A">
        <w:tc>
          <w:tcPr>
            <w:tcW w:w="10418" w:type="dxa"/>
          </w:tcPr>
          <w:p w:rsidR="00CA624A" w:rsidRDefault="00CA624A" w:rsidP="00DC3AEB">
            <w:pPr>
              <w:pStyle w:val="Pa1"/>
              <w:rPr>
                <w:bCs/>
                <w:color w:val="000000"/>
                <w:sz w:val="23"/>
                <w:szCs w:val="23"/>
              </w:rPr>
            </w:pPr>
            <w:r>
              <w:rPr>
                <w:bCs/>
                <w:color w:val="000000"/>
                <w:sz w:val="23"/>
                <w:szCs w:val="23"/>
              </w:rPr>
              <w:t>Supplies and services</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(1983)</w:t>
            </w:r>
          </w:p>
        </w:tc>
        <w:tc>
          <w:tcPr>
            <w:tcW w:w="1276" w:type="dxa"/>
          </w:tcPr>
          <w:p w:rsidR="00CA624A" w:rsidRPr="00CF7E26" w:rsidRDefault="00CA624A" w:rsidP="00DC3AEB">
            <w:pPr>
              <w:pStyle w:val="Pa1"/>
              <w:rPr>
                <w:bCs/>
                <w:color w:val="000000"/>
                <w:sz w:val="23"/>
                <w:szCs w:val="23"/>
              </w:rPr>
            </w:pPr>
            <w:r>
              <w:rPr>
                <w:bCs/>
                <w:color w:val="000000"/>
                <w:sz w:val="23"/>
                <w:szCs w:val="23"/>
              </w:rPr>
              <w:t>(3945)</w:t>
            </w:r>
          </w:p>
        </w:tc>
      </w:tr>
      <w:tr w:rsidR="00CA624A" w:rsidRPr="00CF7E26" w:rsidTr="00CA624A">
        <w:tc>
          <w:tcPr>
            <w:tcW w:w="10418" w:type="dxa"/>
          </w:tcPr>
          <w:p w:rsidR="00CA624A" w:rsidRDefault="00CA624A" w:rsidP="00DC3AEB">
            <w:pPr>
              <w:pStyle w:val="Pa1"/>
              <w:rPr>
                <w:bCs/>
                <w:color w:val="000000"/>
                <w:sz w:val="23"/>
                <w:szCs w:val="23"/>
              </w:rPr>
            </w:pPr>
            <w:r>
              <w:rPr>
                <w:bCs/>
                <w:color w:val="000000"/>
                <w:sz w:val="23"/>
                <w:szCs w:val="23"/>
              </w:rPr>
              <w:t>Accommodation</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(535)</w:t>
            </w:r>
          </w:p>
        </w:tc>
        <w:tc>
          <w:tcPr>
            <w:tcW w:w="1276" w:type="dxa"/>
          </w:tcPr>
          <w:p w:rsidR="00CA624A" w:rsidRPr="00CF7E26" w:rsidRDefault="00CA624A" w:rsidP="00DC3AEB">
            <w:pPr>
              <w:pStyle w:val="Pa1"/>
              <w:rPr>
                <w:bCs/>
                <w:color w:val="000000"/>
                <w:sz w:val="23"/>
                <w:szCs w:val="23"/>
              </w:rPr>
            </w:pPr>
            <w:r>
              <w:rPr>
                <w:bCs/>
                <w:color w:val="000000"/>
                <w:sz w:val="23"/>
                <w:szCs w:val="23"/>
              </w:rPr>
              <w:t>(313)</w:t>
            </w:r>
          </w:p>
        </w:tc>
      </w:tr>
      <w:tr w:rsidR="00CA624A" w:rsidRPr="00CF7E26" w:rsidTr="00CA624A">
        <w:tc>
          <w:tcPr>
            <w:tcW w:w="10418" w:type="dxa"/>
          </w:tcPr>
          <w:p w:rsidR="00CA624A" w:rsidRDefault="00CA624A" w:rsidP="00DC3AEB">
            <w:pPr>
              <w:pStyle w:val="Pa1"/>
              <w:rPr>
                <w:bCs/>
                <w:color w:val="000000"/>
                <w:sz w:val="23"/>
                <w:szCs w:val="23"/>
              </w:rPr>
            </w:pPr>
            <w:r>
              <w:rPr>
                <w:bCs/>
                <w:color w:val="000000"/>
                <w:sz w:val="23"/>
                <w:szCs w:val="23"/>
              </w:rPr>
              <w:t>Grants and subsidies</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(195)</w:t>
            </w:r>
          </w:p>
        </w:tc>
        <w:tc>
          <w:tcPr>
            <w:tcW w:w="1276" w:type="dxa"/>
          </w:tcPr>
          <w:p w:rsidR="00CA624A" w:rsidRPr="00CF7E26" w:rsidRDefault="00CA624A" w:rsidP="00DC3AEB">
            <w:pPr>
              <w:pStyle w:val="Pa1"/>
              <w:rPr>
                <w:bCs/>
                <w:color w:val="000000"/>
                <w:sz w:val="23"/>
                <w:szCs w:val="23"/>
              </w:rPr>
            </w:pPr>
            <w:r>
              <w:rPr>
                <w:bCs/>
                <w:color w:val="000000"/>
                <w:sz w:val="23"/>
                <w:szCs w:val="23"/>
              </w:rPr>
              <w:t>(369)</w:t>
            </w:r>
          </w:p>
        </w:tc>
      </w:tr>
      <w:tr w:rsidR="00CA624A" w:rsidRPr="00CF7E26" w:rsidTr="00CA624A">
        <w:tc>
          <w:tcPr>
            <w:tcW w:w="10418" w:type="dxa"/>
          </w:tcPr>
          <w:p w:rsidR="00CA624A" w:rsidRDefault="00CA624A" w:rsidP="00DC3AEB">
            <w:pPr>
              <w:pStyle w:val="Pa1"/>
              <w:rPr>
                <w:bCs/>
                <w:color w:val="000000"/>
                <w:sz w:val="23"/>
                <w:szCs w:val="23"/>
              </w:rPr>
            </w:pPr>
            <w:r>
              <w:rPr>
                <w:bCs/>
                <w:color w:val="000000"/>
                <w:sz w:val="23"/>
                <w:szCs w:val="23"/>
              </w:rPr>
              <w:t>GST payments on purchases</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(331)</w:t>
            </w:r>
          </w:p>
        </w:tc>
        <w:tc>
          <w:tcPr>
            <w:tcW w:w="1276" w:type="dxa"/>
          </w:tcPr>
          <w:p w:rsidR="00CA624A" w:rsidRPr="00CF7E26" w:rsidRDefault="00CA624A" w:rsidP="00DC3AEB">
            <w:pPr>
              <w:pStyle w:val="Pa1"/>
              <w:rPr>
                <w:bCs/>
                <w:color w:val="000000"/>
                <w:sz w:val="23"/>
                <w:szCs w:val="23"/>
              </w:rPr>
            </w:pPr>
            <w:r>
              <w:rPr>
                <w:bCs/>
                <w:color w:val="000000"/>
                <w:sz w:val="23"/>
                <w:szCs w:val="23"/>
              </w:rPr>
              <w:t>(453)</w:t>
            </w:r>
          </w:p>
        </w:tc>
      </w:tr>
      <w:tr w:rsidR="00CA624A" w:rsidRPr="00CF7E26" w:rsidTr="00CA624A">
        <w:tc>
          <w:tcPr>
            <w:tcW w:w="10418" w:type="dxa"/>
          </w:tcPr>
          <w:p w:rsidR="00CA624A" w:rsidRDefault="00CA624A" w:rsidP="00DC3AEB">
            <w:pPr>
              <w:pStyle w:val="Pa1"/>
              <w:rPr>
                <w:bCs/>
                <w:color w:val="000000"/>
                <w:sz w:val="23"/>
                <w:szCs w:val="23"/>
              </w:rPr>
            </w:pPr>
            <w:r>
              <w:rPr>
                <w:bCs/>
                <w:color w:val="000000"/>
                <w:sz w:val="23"/>
                <w:szCs w:val="23"/>
              </w:rPr>
              <w:t>Other payments</w:t>
            </w:r>
          </w:p>
        </w:tc>
        <w:tc>
          <w:tcPr>
            <w:tcW w:w="931" w:type="dxa"/>
          </w:tcPr>
          <w:p w:rsidR="00CA624A" w:rsidRPr="00CF7E26" w:rsidRDefault="00CA624A" w:rsidP="00DC3AEB">
            <w:pPr>
              <w:pStyle w:val="Pa1"/>
              <w:rPr>
                <w:bCs/>
                <w:color w:val="000000"/>
                <w:sz w:val="23"/>
                <w:szCs w:val="23"/>
              </w:rPr>
            </w:pPr>
          </w:p>
        </w:tc>
        <w:tc>
          <w:tcPr>
            <w:tcW w:w="1291" w:type="dxa"/>
          </w:tcPr>
          <w:p w:rsidR="00CA624A" w:rsidRPr="00CF7E26" w:rsidRDefault="00CA624A" w:rsidP="00DC3AEB">
            <w:pPr>
              <w:pStyle w:val="Pa1"/>
              <w:rPr>
                <w:bCs/>
                <w:color w:val="000000"/>
                <w:sz w:val="23"/>
                <w:szCs w:val="23"/>
              </w:rPr>
            </w:pPr>
            <w:r>
              <w:rPr>
                <w:bCs/>
                <w:color w:val="000000"/>
                <w:sz w:val="23"/>
                <w:szCs w:val="23"/>
              </w:rPr>
              <w:t>(85)</w:t>
            </w:r>
          </w:p>
        </w:tc>
        <w:tc>
          <w:tcPr>
            <w:tcW w:w="1276" w:type="dxa"/>
          </w:tcPr>
          <w:p w:rsidR="00CA624A" w:rsidRPr="00CF7E26" w:rsidRDefault="00CA624A" w:rsidP="00DC3AEB">
            <w:pPr>
              <w:pStyle w:val="Pa1"/>
              <w:rPr>
                <w:bCs/>
                <w:color w:val="000000"/>
                <w:sz w:val="23"/>
                <w:szCs w:val="23"/>
              </w:rPr>
            </w:pPr>
            <w:r>
              <w:rPr>
                <w:bCs/>
                <w:color w:val="000000"/>
                <w:sz w:val="23"/>
                <w:szCs w:val="23"/>
              </w:rPr>
              <w:t>(58)</w:t>
            </w:r>
          </w:p>
        </w:tc>
      </w:tr>
    </w:tbl>
    <w:p w:rsidR="00CA624A" w:rsidRDefault="00CA624A" w:rsidP="00CA624A">
      <w:pPr>
        <w:pStyle w:val="Heading3"/>
        <w:spacing w:before="0"/>
        <w:ind w:left="0"/>
      </w:pPr>
    </w:p>
    <w:tbl>
      <w:tblPr>
        <w:tblStyle w:val="TableGrid"/>
        <w:tblW w:w="0" w:type="auto"/>
        <w:tblInd w:w="680" w:type="dxa"/>
        <w:tblLook w:val="04A0" w:firstRow="1" w:lastRow="0" w:firstColumn="1" w:lastColumn="0" w:noHBand="0" w:noVBand="1"/>
        <w:tblCaption w:val="receipts"/>
        <w:tblDescription w:val="receipts figures for statement of cash flows for the year ended 30 June 2018"/>
      </w:tblPr>
      <w:tblGrid>
        <w:gridCol w:w="10372"/>
        <w:gridCol w:w="992"/>
        <w:gridCol w:w="1276"/>
        <w:gridCol w:w="1276"/>
      </w:tblGrid>
      <w:tr w:rsidR="00CA624A" w:rsidRPr="00CF7E26" w:rsidTr="006604EC">
        <w:trPr>
          <w:tblHeader/>
        </w:trPr>
        <w:tc>
          <w:tcPr>
            <w:tcW w:w="10372" w:type="dxa"/>
          </w:tcPr>
          <w:p w:rsidR="00CA624A" w:rsidRPr="005F5CA8" w:rsidRDefault="00CA624A" w:rsidP="005F5CA8">
            <w:pPr>
              <w:pStyle w:val="TableParagraph"/>
              <w:spacing w:before="1"/>
              <w:ind w:left="6"/>
              <w:rPr>
                <w:b/>
                <w:sz w:val="24"/>
              </w:rPr>
            </w:pPr>
            <w:r w:rsidRPr="005F5CA8">
              <w:rPr>
                <w:b/>
                <w:sz w:val="24"/>
              </w:rPr>
              <w:t>Receipts</w:t>
            </w:r>
          </w:p>
        </w:tc>
        <w:tc>
          <w:tcPr>
            <w:tcW w:w="992" w:type="dxa"/>
          </w:tcPr>
          <w:p w:rsidR="00CA624A" w:rsidRPr="005F5CA8" w:rsidRDefault="00CA624A" w:rsidP="005F5CA8">
            <w:pPr>
              <w:pStyle w:val="TableParagraph"/>
              <w:spacing w:before="1"/>
              <w:ind w:left="6"/>
              <w:rPr>
                <w:b/>
                <w:sz w:val="24"/>
              </w:rPr>
            </w:pPr>
            <w:r w:rsidRPr="005F5CA8">
              <w:rPr>
                <w:b/>
                <w:sz w:val="24"/>
              </w:rPr>
              <w:t>Note</w:t>
            </w:r>
          </w:p>
        </w:tc>
        <w:tc>
          <w:tcPr>
            <w:tcW w:w="1276" w:type="dxa"/>
          </w:tcPr>
          <w:p w:rsidR="00CA624A" w:rsidRPr="005F5CA8" w:rsidRDefault="00CA624A" w:rsidP="005F5CA8">
            <w:pPr>
              <w:pStyle w:val="TableParagraph"/>
              <w:spacing w:before="1"/>
              <w:ind w:left="6"/>
              <w:rPr>
                <w:b/>
                <w:sz w:val="24"/>
              </w:rPr>
            </w:pPr>
            <w:r w:rsidRPr="005F5CA8">
              <w:rPr>
                <w:b/>
                <w:sz w:val="24"/>
              </w:rPr>
              <w:t>2018 $000</w:t>
            </w:r>
          </w:p>
        </w:tc>
        <w:tc>
          <w:tcPr>
            <w:tcW w:w="1276" w:type="dxa"/>
          </w:tcPr>
          <w:p w:rsidR="00CA624A" w:rsidRPr="005F5CA8" w:rsidRDefault="00CA624A" w:rsidP="005F5CA8">
            <w:pPr>
              <w:pStyle w:val="TableParagraph"/>
              <w:spacing w:before="1"/>
              <w:ind w:left="6"/>
              <w:rPr>
                <w:b/>
                <w:sz w:val="24"/>
              </w:rPr>
            </w:pPr>
            <w:r w:rsidRPr="005F5CA8">
              <w:rPr>
                <w:b/>
                <w:sz w:val="24"/>
              </w:rPr>
              <w:t>2017 $000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 xml:space="preserve">Grants and contributions </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5415</w:t>
            </w:r>
          </w:p>
        </w:tc>
        <w:tc>
          <w:tcPr>
            <w:tcW w:w="1276" w:type="dxa"/>
          </w:tcPr>
          <w:p w:rsidR="00CA624A" w:rsidRPr="00CF7E26" w:rsidRDefault="00CA624A" w:rsidP="00DC3AEB">
            <w:pPr>
              <w:pStyle w:val="Pa1"/>
              <w:rPr>
                <w:bCs/>
                <w:color w:val="000000"/>
                <w:sz w:val="23"/>
                <w:szCs w:val="23"/>
              </w:rPr>
            </w:pPr>
            <w:r>
              <w:rPr>
                <w:bCs/>
                <w:color w:val="000000"/>
                <w:sz w:val="23"/>
                <w:szCs w:val="23"/>
              </w:rPr>
              <w:t>4030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GST receipts on sales</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33</w:t>
            </w:r>
          </w:p>
        </w:tc>
        <w:tc>
          <w:tcPr>
            <w:tcW w:w="1276" w:type="dxa"/>
          </w:tcPr>
          <w:p w:rsidR="00CA624A" w:rsidRPr="00CF7E26" w:rsidRDefault="00CA624A" w:rsidP="00DC3AEB">
            <w:pPr>
              <w:pStyle w:val="Pa1"/>
              <w:rPr>
                <w:bCs/>
                <w:color w:val="000000"/>
                <w:sz w:val="23"/>
                <w:szCs w:val="23"/>
              </w:rPr>
            </w:pPr>
            <w:r>
              <w:rPr>
                <w:bCs/>
                <w:color w:val="000000"/>
                <w:sz w:val="23"/>
                <w:szCs w:val="23"/>
              </w:rPr>
              <w:t>7</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GST receipts from taxation authority</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362</w:t>
            </w:r>
          </w:p>
        </w:tc>
        <w:tc>
          <w:tcPr>
            <w:tcW w:w="1276" w:type="dxa"/>
          </w:tcPr>
          <w:p w:rsidR="00CA624A" w:rsidRPr="00CF7E26" w:rsidRDefault="00CA624A" w:rsidP="00DC3AEB">
            <w:pPr>
              <w:pStyle w:val="Pa1"/>
              <w:rPr>
                <w:bCs/>
                <w:color w:val="000000"/>
                <w:sz w:val="23"/>
                <w:szCs w:val="23"/>
              </w:rPr>
            </w:pPr>
            <w:r>
              <w:rPr>
                <w:bCs/>
                <w:color w:val="000000"/>
                <w:sz w:val="23"/>
                <w:szCs w:val="23"/>
              </w:rPr>
              <w:t>330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Other receipts</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10</w:t>
            </w:r>
          </w:p>
        </w:tc>
        <w:tc>
          <w:tcPr>
            <w:tcW w:w="1276" w:type="dxa"/>
          </w:tcPr>
          <w:p w:rsidR="00CA624A" w:rsidRPr="00CF7E26" w:rsidRDefault="00CA624A" w:rsidP="00DC3AEB">
            <w:pPr>
              <w:pStyle w:val="Pa1"/>
              <w:rPr>
                <w:bCs/>
                <w:color w:val="000000"/>
                <w:sz w:val="23"/>
                <w:szCs w:val="23"/>
              </w:rPr>
            </w:pPr>
            <w:r>
              <w:rPr>
                <w:bCs/>
                <w:color w:val="000000"/>
                <w:sz w:val="23"/>
                <w:szCs w:val="23"/>
              </w:rPr>
              <w:t>70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Net cash provided by/(used in) operating activities</w:t>
            </w:r>
          </w:p>
        </w:tc>
        <w:tc>
          <w:tcPr>
            <w:tcW w:w="992" w:type="dxa"/>
          </w:tcPr>
          <w:p w:rsidR="00CA624A" w:rsidRPr="00CF7E26" w:rsidRDefault="00CA624A" w:rsidP="00DC3AEB">
            <w:pPr>
              <w:pStyle w:val="Pa1"/>
              <w:rPr>
                <w:bCs/>
                <w:color w:val="000000"/>
                <w:sz w:val="23"/>
                <w:szCs w:val="23"/>
              </w:rPr>
            </w:pPr>
            <w:r>
              <w:rPr>
                <w:bCs/>
                <w:color w:val="000000"/>
                <w:sz w:val="23"/>
                <w:szCs w:val="23"/>
              </w:rPr>
              <w:t>22</w:t>
            </w:r>
          </w:p>
        </w:tc>
        <w:tc>
          <w:tcPr>
            <w:tcW w:w="1276" w:type="dxa"/>
          </w:tcPr>
          <w:p w:rsidR="00CA624A" w:rsidRPr="00CF7E26" w:rsidRDefault="00CA624A" w:rsidP="00DC3AEB">
            <w:pPr>
              <w:pStyle w:val="Pa1"/>
              <w:rPr>
                <w:bCs/>
                <w:color w:val="000000"/>
                <w:sz w:val="23"/>
                <w:szCs w:val="23"/>
              </w:rPr>
            </w:pPr>
            <w:r>
              <w:rPr>
                <w:bCs/>
                <w:color w:val="000000"/>
                <w:sz w:val="23"/>
                <w:szCs w:val="23"/>
              </w:rPr>
              <w:t>(2191)</w:t>
            </w:r>
          </w:p>
        </w:tc>
        <w:tc>
          <w:tcPr>
            <w:tcW w:w="1276" w:type="dxa"/>
          </w:tcPr>
          <w:p w:rsidR="00CA624A" w:rsidRPr="00CF7E26" w:rsidRDefault="00CA624A" w:rsidP="00DC3AEB">
            <w:pPr>
              <w:pStyle w:val="Pa1"/>
              <w:rPr>
                <w:bCs/>
                <w:color w:val="000000"/>
                <w:sz w:val="23"/>
                <w:szCs w:val="23"/>
              </w:rPr>
            </w:pPr>
            <w:r>
              <w:rPr>
                <w:bCs/>
                <w:color w:val="000000"/>
                <w:sz w:val="23"/>
                <w:szCs w:val="23"/>
              </w:rPr>
              <w:t>(4563)</w:t>
            </w:r>
          </w:p>
        </w:tc>
      </w:tr>
    </w:tbl>
    <w:p w:rsidR="00CA624A" w:rsidRDefault="00CA624A" w:rsidP="00CA624A">
      <w:pPr>
        <w:pStyle w:val="Heading3"/>
        <w:spacing w:before="0"/>
        <w:ind w:left="0"/>
      </w:pPr>
    </w:p>
    <w:tbl>
      <w:tblPr>
        <w:tblStyle w:val="TableGrid"/>
        <w:tblW w:w="0" w:type="auto"/>
        <w:tblInd w:w="680" w:type="dxa"/>
        <w:tblLook w:val="04A0" w:firstRow="1" w:lastRow="0" w:firstColumn="1" w:lastColumn="0" w:noHBand="0" w:noVBand="1"/>
        <w:tblCaption w:val="cash flows from investing activities"/>
        <w:tblDescription w:val="table showing figures for cash flows from investing activities as part of the statement of cash flows for the year ended 30 June 2018"/>
      </w:tblPr>
      <w:tblGrid>
        <w:gridCol w:w="10372"/>
        <w:gridCol w:w="992"/>
        <w:gridCol w:w="1276"/>
        <w:gridCol w:w="1276"/>
      </w:tblGrid>
      <w:tr w:rsidR="00CA624A" w:rsidRPr="00CF7E26" w:rsidTr="006604EC">
        <w:trPr>
          <w:tblHeader/>
        </w:trPr>
        <w:tc>
          <w:tcPr>
            <w:tcW w:w="10372" w:type="dxa"/>
          </w:tcPr>
          <w:p w:rsidR="00CA624A" w:rsidRPr="005F5CA8" w:rsidRDefault="00CA624A" w:rsidP="005F5CA8">
            <w:pPr>
              <w:pStyle w:val="TableParagraph"/>
              <w:spacing w:before="1"/>
              <w:ind w:left="6"/>
              <w:rPr>
                <w:b/>
                <w:sz w:val="24"/>
              </w:rPr>
            </w:pPr>
            <w:r w:rsidRPr="005F5CA8">
              <w:rPr>
                <w:b/>
                <w:sz w:val="24"/>
              </w:rPr>
              <w:t>Cash flows from investing activities</w:t>
            </w:r>
          </w:p>
        </w:tc>
        <w:tc>
          <w:tcPr>
            <w:tcW w:w="992" w:type="dxa"/>
          </w:tcPr>
          <w:p w:rsidR="00CA624A" w:rsidRPr="005F5CA8" w:rsidRDefault="00CA624A" w:rsidP="005F5CA8">
            <w:pPr>
              <w:pStyle w:val="TableParagraph"/>
              <w:spacing w:before="1"/>
              <w:ind w:left="6"/>
              <w:rPr>
                <w:b/>
                <w:sz w:val="24"/>
              </w:rPr>
            </w:pPr>
            <w:r w:rsidRPr="005F5CA8">
              <w:rPr>
                <w:b/>
                <w:sz w:val="24"/>
              </w:rPr>
              <w:t>Note</w:t>
            </w:r>
          </w:p>
        </w:tc>
        <w:tc>
          <w:tcPr>
            <w:tcW w:w="1276" w:type="dxa"/>
          </w:tcPr>
          <w:p w:rsidR="00CA624A" w:rsidRPr="005F5CA8" w:rsidRDefault="00CA624A" w:rsidP="005F5CA8">
            <w:pPr>
              <w:pStyle w:val="TableParagraph"/>
              <w:spacing w:before="1"/>
              <w:ind w:left="6"/>
              <w:rPr>
                <w:b/>
                <w:sz w:val="24"/>
              </w:rPr>
            </w:pPr>
            <w:r w:rsidRPr="005F5CA8">
              <w:rPr>
                <w:b/>
                <w:sz w:val="24"/>
              </w:rPr>
              <w:t>2018 $000</w:t>
            </w:r>
          </w:p>
        </w:tc>
        <w:tc>
          <w:tcPr>
            <w:tcW w:w="1276" w:type="dxa"/>
          </w:tcPr>
          <w:p w:rsidR="00CA624A" w:rsidRPr="005F5CA8" w:rsidRDefault="00CA624A" w:rsidP="005F5CA8">
            <w:pPr>
              <w:pStyle w:val="TableParagraph"/>
              <w:spacing w:before="1"/>
              <w:ind w:left="6"/>
              <w:rPr>
                <w:b/>
                <w:sz w:val="24"/>
              </w:rPr>
            </w:pPr>
            <w:r w:rsidRPr="005F5CA8">
              <w:rPr>
                <w:b/>
                <w:sz w:val="24"/>
              </w:rPr>
              <w:t>2017 $000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Purchase  of non-current assets</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(1581)</w:t>
            </w:r>
          </w:p>
        </w:tc>
        <w:tc>
          <w:tcPr>
            <w:tcW w:w="1276" w:type="dxa"/>
          </w:tcPr>
          <w:p w:rsidR="00CA624A" w:rsidRPr="00CF7E26" w:rsidRDefault="00CA624A" w:rsidP="00DC3AEB">
            <w:pPr>
              <w:pStyle w:val="Pa1"/>
              <w:rPr>
                <w:bCs/>
                <w:color w:val="000000"/>
                <w:sz w:val="23"/>
                <w:szCs w:val="23"/>
              </w:rPr>
            </w:pPr>
            <w:r>
              <w:rPr>
                <w:bCs/>
                <w:color w:val="000000"/>
                <w:sz w:val="23"/>
                <w:szCs w:val="23"/>
              </w:rPr>
              <w:t>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Net cash provided by/(used in) investing activities</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(1581)</w:t>
            </w:r>
          </w:p>
        </w:tc>
        <w:tc>
          <w:tcPr>
            <w:tcW w:w="1276" w:type="dxa"/>
          </w:tcPr>
          <w:p w:rsidR="00CA624A" w:rsidRPr="00CF7E26" w:rsidRDefault="00CA624A" w:rsidP="00DC3AEB">
            <w:pPr>
              <w:pStyle w:val="Pa1"/>
              <w:rPr>
                <w:bCs/>
                <w:color w:val="000000"/>
                <w:sz w:val="23"/>
                <w:szCs w:val="23"/>
              </w:rPr>
            </w:pPr>
            <w:r>
              <w:rPr>
                <w:bCs/>
                <w:color w:val="000000"/>
                <w:sz w:val="23"/>
                <w:szCs w:val="23"/>
              </w:rPr>
              <w:t>0</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Net increase/(decrease) in cash and cash equivalents</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(2115)</w:t>
            </w:r>
          </w:p>
        </w:tc>
        <w:tc>
          <w:tcPr>
            <w:tcW w:w="1276" w:type="dxa"/>
          </w:tcPr>
          <w:p w:rsidR="00CA624A" w:rsidRPr="00CF7E26" w:rsidRDefault="00CA624A" w:rsidP="00DC3AEB">
            <w:pPr>
              <w:pStyle w:val="Pa1"/>
              <w:rPr>
                <w:bCs/>
                <w:color w:val="000000"/>
                <w:sz w:val="23"/>
                <w:szCs w:val="23"/>
              </w:rPr>
            </w:pPr>
            <w:r>
              <w:rPr>
                <w:bCs/>
                <w:color w:val="000000"/>
                <w:sz w:val="23"/>
                <w:szCs w:val="23"/>
              </w:rPr>
              <w:t>4596</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Cash and cash equivalents at the beginning of the period</w:t>
            </w:r>
          </w:p>
        </w:tc>
        <w:tc>
          <w:tcPr>
            <w:tcW w:w="992" w:type="dxa"/>
          </w:tcPr>
          <w:p w:rsidR="00CA624A" w:rsidRPr="00CF7E26" w:rsidRDefault="00CA624A" w:rsidP="00DC3AEB">
            <w:pPr>
              <w:pStyle w:val="Pa1"/>
              <w:rPr>
                <w:bCs/>
                <w:color w:val="000000"/>
                <w:sz w:val="23"/>
                <w:szCs w:val="23"/>
              </w:rPr>
            </w:pPr>
          </w:p>
        </w:tc>
        <w:tc>
          <w:tcPr>
            <w:tcW w:w="1276" w:type="dxa"/>
          </w:tcPr>
          <w:p w:rsidR="00CA624A" w:rsidRPr="00CF7E26" w:rsidRDefault="00CA624A" w:rsidP="00DC3AEB">
            <w:pPr>
              <w:pStyle w:val="Pa1"/>
              <w:rPr>
                <w:bCs/>
                <w:color w:val="000000"/>
                <w:sz w:val="23"/>
                <w:szCs w:val="23"/>
              </w:rPr>
            </w:pPr>
            <w:r>
              <w:rPr>
                <w:bCs/>
                <w:color w:val="000000"/>
                <w:sz w:val="23"/>
                <w:szCs w:val="23"/>
              </w:rPr>
              <w:t>5177</w:t>
            </w:r>
          </w:p>
        </w:tc>
        <w:tc>
          <w:tcPr>
            <w:tcW w:w="1276" w:type="dxa"/>
          </w:tcPr>
          <w:p w:rsidR="00CA624A" w:rsidRPr="00CF7E26" w:rsidRDefault="00CA624A" w:rsidP="00DC3AEB">
            <w:pPr>
              <w:pStyle w:val="Pa1"/>
              <w:rPr>
                <w:bCs/>
                <w:color w:val="000000"/>
                <w:sz w:val="23"/>
                <w:szCs w:val="23"/>
              </w:rPr>
            </w:pPr>
            <w:r>
              <w:rPr>
                <w:bCs/>
                <w:color w:val="000000"/>
                <w:sz w:val="23"/>
                <w:szCs w:val="23"/>
              </w:rPr>
              <w:t>581</w:t>
            </w:r>
          </w:p>
        </w:tc>
      </w:tr>
      <w:tr w:rsidR="00CA624A" w:rsidRPr="00CF7E26" w:rsidTr="00CA624A">
        <w:tc>
          <w:tcPr>
            <w:tcW w:w="10372" w:type="dxa"/>
          </w:tcPr>
          <w:p w:rsidR="00CA624A" w:rsidRDefault="00CA624A" w:rsidP="00DC3AEB">
            <w:pPr>
              <w:pStyle w:val="Pa1"/>
              <w:rPr>
                <w:bCs/>
                <w:color w:val="000000"/>
                <w:sz w:val="23"/>
                <w:szCs w:val="23"/>
              </w:rPr>
            </w:pPr>
            <w:r>
              <w:rPr>
                <w:bCs/>
                <w:color w:val="000000"/>
                <w:sz w:val="23"/>
                <w:szCs w:val="23"/>
              </w:rPr>
              <w:t>Cash and cash equivalents at the end of the period</w:t>
            </w:r>
          </w:p>
        </w:tc>
        <w:tc>
          <w:tcPr>
            <w:tcW w:w="992" w:type="dxa"/>
          </w:tcPr>
          <w:p w:rsidR="00CA624A" w:rsidRDefault="00CA624A" w:rsidP="00DC3AEB">
            <w:pPr>
              <w:pStyle w:val="Pa1"/>
              <w:rPr>
                <w:bCs/>
                <w:color w:val="000000"/>
                <w:sz w:val="23"/>
                <w:szCs w:val="23"/>
              </w:rPr>
            </w:pPr>
            <w:r>
              <w:rPr>
                <w:bCs/>
                <w:color w:val="000000"/>
                <w:sz w:val="23"/>
                <w:szCs w:val="23"/>
              </w:rPr>
              <w:t>22</w:t>
            </w:r>
          </w:p>
        </w:tc>
        <w:tc>
          <w:tcPr>
            <w:tcW w:w="1276" w:type="dxa"/>
          </w:tcPr>
          <w:p w:rsidR="00CA624A" w:rsidRPr="00CF7E26" w:rsidRDefault="00CA624A" w:rsidP="00DC3AEB">
            <w:pPr>
              <w:pStyle w:val="Pa1"/>
              <w:rPr>
                <w:bCs/>
                <w:color w:val="000000"/>
                <w:sz w:val="23"/>
                <w:szCs w:val="23"/>
              </w:rPr>
            </w:pPr>
            <w:r>
              <w:rPr>
                <w:bCs/>
                <w:color w:val="000000"/>
                <w:sz w:val="23"/>
                <w:szCs w:val="23"/>
              </w:rPr>
              <w:t>3062</w:t>
            </w:r>
          </w:p>
        </w:tc>
        <w:tc>
          <w:tcPr>
            <w:tcW w:w="1276" w:type="dxa"/>
          </w:tcPr>
          <w:p w:rsidR="00CA624A" w:rsidRPr="00CF7E26" w:rsidRDefault="00CA624A" w:rsidP="00DC3AEB">
            <w:pPr>
              <w:pStyle w:val="Pa1"/>
              <w:rPr>
                <w:bCs/>
                <w:color w:val="000000"/>
                <w:sz w:val="23"/>
                <w:szCs w:val="23"/>
              </w:rPr>
            </w:pPr>
            <w:r>
              <w:rPr>
                <w:bCs/>
                <w:color w:val="000000"/>
                <w:sz w:val="23"/>
                <w:szCs w:val="23"/>
              </w:rPr>
              <w:t>5177</w:t>
            </w:r>
          </w:p>
        </w:tc>
      </w:tr>
    </w:tbl>
    <w:p w:rsidR="00CA624A" w:rsidRDefault="00CA624A" w:rsidP="00CA624A">
      <w:pPr>
        <w:spacing w:before="26" w:line="235" w:lineRule="auto"/>
        <w:ind w:right="658"/>
        <w:rPr>
          <w:sz w:val="20"/>
        </w:rPr>
      </w:pPr>
    </w:p>
    <w:p w:rsidR="00A1463E" w:rsidRDefault="00F52429">
      <w:pPr>
        <w:spacing w:before="26" w:line="235" w:lineRule="auto"/>
        <w:ind w:left="680" w:right="658"/>
        <w:rPr>
          <w:sz w:val="20"/>
        </w:rPr>
      </w:pPr>
      <w:r>
        <w:rPr>
          <w:sz w:val="20"/>
        </w:rPr>
        <w:t xml:space="preserve">(a) During the </w:t>
      </w:r>
      <w:r>
        <w:rPr>
          <w:spacing w:val="-5"/>
          <w:sz w:val="20"/>
        </w:rPr>
        <w:t xml:space="preserve">year, </w:t>
      </w:r>
      <w:r>
        <w:rPr>
          <w:sz w:val="20"/>
        </w:rPr>
        <w:t xml:space="preserve">the sub-department received $3.403 million service appropriation from Department of </w:t>
      </w:r>
      <w:r>
        <w:rPr>
          <w:spacing w:val="-4"/>
          <w:sz w:val="20"/>
        </w:rPr>
        <w:t xml:space="preserve">Treasury. However, </w:t>
      </w:r>
      <w:r>
        <w:rPr>
          <w:sz w:val="20"/>
        </w:rPr>
        <w:t xml:space="preserve">the sub-department also repaid $1.746 million to Department of Treasury which related to the reflow of Innovation Fund appropriation being reallocated to the Department of Jobs, </w:t>
      </w:r>
      <w:r>
        <w:rPr>
          <w:spacing w:val="-3"/>
          <w:sz w:val="20"/>
        </w:rPr>
        <w:t xml:space="preserve">Tourism, </w:t>
      </w:r>
      <w:r>
        <w:rPr>
          <w:sz w:val="20"/>
        </w:rPr>
        <w:t>Science and Innovation.</w:t>
      </w:r>
    </w:p>
    <w:p w:rsidR="00A1463E" w:rsidRDefault="00F52429">
      <w:pPr>
        <w:pStyle w:val="BodyText"/>
        <w:spacing w:before="65"/>
        <w:ind w:left="680"/>
      </w:pPr>
      <w:r>
        <w:t>The Statement of Cash Flows should be read in conjunction with the accompanying notes.</w:t>
      </w:r>
    </w:p>
    <w:p w:rsidR="00A1463E" w:rsidRDefault="00A1463E">
      <w:pPr>
        <w:sectPr w:rsidR="00A1463E">
          <w:pgSz w:w="16840" w:h="11910" w:orient="landscape"/>
          <w:pgMar w:top="540" w:right="0" w:bottom="360" w:left="0" w:header="229" w:footer="145" w:gutter="0"/>
          <w:cols w:space="720"/>
        </w:sectPr>
      </w:pPr>
    </w:p>
    <w:p w:rsidR="00A1463E" w:rsidRDefault="00A1463E">
      <w:pPr>
        <w:pStyle w:val="BodyText"/>
        <w:spacing w:before="6"/>
        <w:rPr>
          <w:sz w:val="8"/>
        </w:rPr>
      </w:pPr>
    </w:p>
    <w:p w:rsidR="00A1463E" w:rsidRPr="004358AD" w:rsidRDefault="004358AD">
      <w:pPr>
        <w:spacing w:before="36"/>
        <w:ind w:left="673"/>
        <w:rPr>
          <w:color w:val="353434"/>
          <w:sz w:val="32"/>
        </w:rPr>
      </w:pPr>
      <w:bookmarkStart w:id="39" w:name="schedule_of_income_and_expenses_by_servi"/>
      <w:bookmarkStart w:id="40" w:name="_bookmark30"/>
      <w:bookmarkEnd w:id="39"/>
      <w:bookmarkEnd w:id="40"/>
      <w:r>
        <w:rPr>
          <w:color w:val="353434"/>
          <w:sz w:val="32"/>
        </w:rPr>
        <w:t>Schedule of Income and Expenses by S</w:t>
      </w:r>
      <w:r w:rsidRPr="004358AD">
        <w:rPr>
          <w:color w:val="353434"/>
          <w:sz w:val="32"/>
        </w:rPr>
        <w:t>ervice for the year ended 30 June 2018</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98"/>
        <w:gridCol w:w="1272"/>
        <w:gridCol w:w="1523"/>
        <w:gridCol w:w="1181"/>
        <w:gridCol w:w="1264"/>
        <w:gridCol w:w="1139"/>
        <w:gridCol w:w="1001"/>
      </w:tblGrid>
      <w:tr w:rsidR="00A1463E" w:rsidRPr="00545FAA" w:rsidTr="004358AD">
        <w:trPr>
          <w:trHeight w:val="314"/>
        </w:trPr>
        <w:tc>
          <w:tcPr>
            <w:tcW w:w="8098" w:type="dxa"/>
          </w:tcPr>
          <w:p w:rsidR="00A1463E" w:rsidRPr="00545FAA" w:rsidRDefault="007F276A">
            <w:pPr>
              <w:pStyle w:val="TableParagraph"/>
              <w:rPr>
                <w:rFonts w:ascii="Times New Roman"/>
              </w:rPr>
            </w:pPr>
            <w:r w:rsidRPr="00545FAA">
              <w:rPr>
                <w:sz w:val="24"/>
              </w:rPr>
              <w:t xml:space="preserve">COST OF SERVICES </w:t>
            </w:r>
            <w:r w:rsidR="00417327">
              <w:rPr>
                <w:sz w:val="24"/>
              </w:rPr>
              <w:t>–</w:t>
            </w:r>
            <w:r w:rsidRPr="00545FAA">
              <w:rPr>
                <w:sz w:val="24"/>
              </w:rPr>
              <w:t xml:space="preserve"> expenses</w:t>
            </w:r>
          </w:p>
        </w:tc>
        <w:tc>
          <w:tcPr>
            <w:tcW w:w="1272" w:type="dxa"/>
          </w:tcPr>
          <w:p w:rsidR="004358AD" w:rsidRPr="00545FAA" w:rsidRDefault="004358AD" w:rsidP="004358AD">
            <w:pPr>
              <w:pStyle w:val="TableParagraph"/>
              <w:spacing w:line="288" w:lineRule="exact"/>
              <w:rPr>
                <w:sz w:val="24"/>
              </w:rPr>
            </w:pPr>
            <w:r w:rsidRPr="00545FAA">
              <w:rPr>
                <w:sz w:val="24"/>
              </w:rPr>
              <w:t xml:space="preserve">Service 1 </w:t>
            </w:r>
            <w:r w:rsidR="00F52429" w:rsidRPr="00545FAA">
              <w:rPr>
                <w:sz w:val="24"/>
              </w:rPr>
              <w:t>2018</w:t>
            </w:r>
            <w:r w:rsidRPr="00545FAA">
              <w:rPr>
                <w:sz w:val="24"/>
              </w:rPr>
              <w:t xml:space="preserve"> $000</w:t>
            </w:r>
          </w:p>
        </w:tc>
        <w:tc>
          <w:tcPr>
            <w:tcW w:w="1523" w:type="dxa"/>
          </w:tcPr>
          <w:p w:rsidR="00A1463E" w:rsidRPr="00545FAA" w:rsidRDefault="00C0547C" w:rsidP="00DC3AEB">
            <w:pPr>
              <w:pStyle w:val="TableParagraph"/>
              <w:spacing w:line="288" w:lineRule="exact"/>
              <w:rPr>
                <w:sz w:val="24"/>
              </w:rPr>
            </w:pPr>
            <w:r>
              <w:rPr>
                <w:sz w:val="24"/>
              </w:rPr>
              <w:t xml:space="preserve">Service 1 </w:t>
            </w:r>
            <w:r w:rsidR="00F52429" w:rsidRPr="00545FAA">
              <w:rPr>
                <w:sz w:val="24"/>
              </w:rPr>
              <w:t>2017</w:t>
            </w:r>
            <w:r>
              <w:rPr>
                <w:sz w:val="24"/>
              </w:rPr>
              <w:t xml:space="preserve"> </w:t>
            </w:r>
            <w:r w:rsidR="004358AD" w:rsidRPr="00545FAA">
              <w:rPr>
                <w:sz w:val="24"/>
              </w:rPr>
              <w:t xml:space="preserve">$000 </w:t>
            </w:r>
          </w:p>
        </w:tc>
        <w:tc>
          <w:tcPr>
            <w:tcW w:w="1181" w:type="dxa"/>
          </w:tcPr>
          <w:p w:rsidR="00A1463E" w:rsidRPr="00545FAA" w:rsidRDefault="00C0547C" w:rsidP="004358AD">
            <w:pPr>
              <w:pStyle w:val="TableParagraph"/>
              <w:spacing w:line="288" w:lineRule="exact"/>
              <w:ind w:left="190"/>
              <w:rPr>
                <w:sz w:val="24"/>
              </w:rPr>
            </w:pPr>
            <w:r>
              <w:rPr>
                <w:sz w:val="24"/>
              </w:rPr>
              <w:t xml:space="preserve">Service 2 </w:t>
            </w:r>
            <w:r w:rsidR="004358AD" w:rsidRPr="00545FAA">
              <w:rPr>
                <w:sz w:val="24"/>
              </w:rPr>
              <w:t xml:space="preserve">(a) </w:t>
            </w:r>
            <w:r w:rsidR="00F52429" w:rsidRPr="00545FAA">
              <w:rPr>
                <w:sz w:val="24"/>
              </w:rPr>
              <w:t>2018</w:t>
            </w:r>
            <w:r>
              <w:rPr>
                <w:sz w:val="24"/>
              </w:rPr>
              <w:t xml:space="preserve"> </w:t>
            </w:r>
            <w:r w:rsidR="004358AD" w:rsidRPr="00545FAA">
              <w:rPr>
                <w:sz w:val="24"/>
              </w:rPr>
              <w:t>$000</w:t>
            </w:r>
          </w:p>
        </w:tc>
        <w:tc>
          <w:tcPr>
            <w:tcW w:w="1264" w:type="dxa"/>
          </w:tcPr>
          <w:p w:rsidR="00A1463E" w:rsidRPr="00545FAA" w:rsidRDefault="00C0547C" w:rsidP="00DC3AEB">
            <w:pPr>
              <w:pStyle w:val="TableParagraph"/>
              <w:spacing w:line="288" w:lineRule="exact"/>
              <w:rPr>
                <w:sz w:val="24"/>
              </w:rPr>
            </w:pPr>
            <w:r>
              <w:rPr>
                <w:sz w:val="24"/>
              </w:rPr>
              <w:t xml:space="preserve">Service 2 (a) </w:t>
            </w:r>
            <w:r w:rsidR="00F52429" w:rsidRPr="00545FAA">
              <w:rPr>
                <w:sz w:val="24"/>
              </w:rPr>
              <w:t>2017</w:t>
            </w:r>
            <w:r>
              <w:rPr>
                <w:sz w:val="24"/>
              </w:rPr>
              <w:t xml:space="preserve"> </w:t>
            </w:r>
            <w:r w:rsidR="004358AD" w:rsidRPr="00545FAA">
              <w:rPr>
                <w:sz w:val="24"/>
              </w:rPr>
              <w:t>$000</w:t>
            </w:r>
          </w:p>
        </w:tc>
        <w:tc>
          <w:tcPr>
            <w:tcW w:w="1139" w:type="dxa"/>
          </w:tcPr>
          <w:p w:rsidR="00A1463E" w:rsidRPr="00545FAA" w:rsidRDefault="00F52429" w:rsidP="00DC3AEB">
            <w:pPr>
              <w:pStyle w:val="TableParagraph"/>
              <w:spacing w:line="288" w:lineRule="exact"/>
              <w:rPr>
                <w:sz w:val="24"/>
              </w:rPr>
            </w:pPr>
            <w:r w:rsidRPr="00545FAA">
              <w:rPr>
                <w:sz w:val="24"/>
              </w:rPr>
              <w:t>2018</w:t>
            </w:r>
            <w:r w:rsidR="00C0547C">
              <w:rPr>
                <w:sz w:val="24"/>
              </w:rPr>
              <w:t xml:space="preserve"> </w:t>
            </w:r>
            <w:r w:rsidR="004358AD" w:rsidRPr="00545FAA">
              <w:rPr>
                <w:sz w:val="24"/>
              </w:rPr>
              <w:t>$000</w:t>
            </w:r>
          </w:p>
        </w:tc>
        <w:tc>
          <w:tcPr>
            <w:tcW w:w="1001" w:type="dxa"/>
          </w:tcPr>
          <w:p w:rsidR="00A1463E" w:rsidRPr="00545FAA" w:rsidRDefault="004358AD" w:rsidP="00DC3AEB">
            <w:pPr>
              <w:pStyle w:val="TableParagraph"/>
              <w:spacing w:line="288" w:lineRule="exact"/>
              <w:ind w:right="77"/>
              <w:rPr>
                <w:sz w:val="24"/>
              </w:rPr>
            </w:pPr>
            <w:r w:rsidRPr="00545FAA">
              <w:rPr>
                <w:sz w:val="24"/>
              </w:rPr>
              <w:t xml:space="preserve">Total </w:t>
            </w:r>
            <w:r w:rsidR="00F52429" w:rsidRPr="00545FAA">
              <w:rPr>
                <w:sz w:val="24"/>
              </w:rPr>
              <w:t>2017</w:t>
            </w:r>
            <w:r w:rsidRPr="00545FAA">
              <w:rPr>
                <w:sz w:val="24"/>
              </w:rPr>
              <w:t xml:space="preserve"> $000</w:t>
            </w:r>
          </w:p>
        </w:tc>
      </w:tr>
      <w:tr w:rsidR="00A1463E" w:rsidRPr="00545FAA" w:rsidTr="004358AD">
        <w:trPr>
          <w:trHeight w:val="340"/>
        </w:trPr>
        <w:tc>
          <w:tcPr>
            <w:tcW w:w="8098" w:type="dxa"/>
          </w:tcPr>
          <w:p w:rsidR="00A1463E" w:rsidRPr="00545FAA" w:rsidRDefault="00F52429">
            <w:pPr>
              <w:pStyle w:val="TableParagraph"/>
              <w:spacing w:line="288" w:lineRule="exact"/>
              <w:ind w:left="1"/>
              <w:rPr>
                <w:sz w:val="24"/>
              </w:rPr>
            </w:pPr>
            <w:r w:rsidRPr="00545FAA">
              <w:rPr>
                <w:sz w:val="24"/>
              </w:rPr>
              <w:t>Employee benefits expense</w:t>
            </w:r>
          </w:p>
        </w:tc>
        <w:tc>
          <w:tcPr>
            <w:tcW w:w="1272" w:type="dxa"/>
          </w:tcPr>
          <w:p w:rsidR="00A1463E" w:rsidRPr="00545FAA" w:rsidRDefault="00F52429">
            <w:pPr>
              <w:pStyle w:val="TableParagraph"/>
              <w:spacing w:line="288" w:lineRule="exact"/>
              <w:ind w:left="507"/>
              <w:rPr>
                <w:sz w:val="24"/>
              </w:rPr>
            </w:pPr>
            <w:r w:rsidRPr="00545FAA">
              <w:rPr>
                <w:sz w:val="24"/>
              </w:rPr>
              <w:t>4,519</w:t>
            </w:r>
          </w:p>
        </w:tc>
        <w:tc>
          <w:tcPr>
            <w:tcW w:w="1523" w:type="dxa"/>
          </w:tcPr>
          <w:p w:rsidR="00A1463E" w:rsidRPr="00545FAA" w:rsidRDefault="00F52429">
            <w:pPr>
              <w:pStyle w:val="TableParagraph"/>
              <w:spacing w:line="288" w:lineRule="exact"/>
              <w:ind w:left="369"/>
              <w:rPr>
                <w:sz w:val="24"/>
              </w:rPr>
            </w:pPr>
            <w:r w:rsidRPr="00545FAA">
              <w:rPr>
                <w:sz w:val="24"/>
              </w:rPr>
              <w:t>3,594</w:t>
            </w:r>
          </w:p>
        </w:tc>
        <w:tc>
          <w:tcPr>
            <w:tcW w:w="1181" w:type="dxa"/>
          </w:tcPr>
          <w:p w:rsidR="00A1463E" w:rsidRPr="00545FAA" w:rsidRDefault="004358AD">
            <w:pPr>
              <w:pStyle w:val="TableParagraph"/>
              <w:spacing w:line="288" w:lineRule="exact"/>
              <w:ind w:right="215"/>
              <w:jc w:val="right"/>
              <w:rPr>
                <w:sz w:val="24"/>
              </w:rPr>
            </w:pPr>
            <w:r w:rsidRPr="00545FAA">
              <w:rPr>
                <w:sz w:val="24"/>
              </w:rPr>
              <w:t>0</w:t>
            </w:r>
          </w:p>
        </w:tc>
        <w:tc>
          <w:tcPr>
            <w:tcW w:w="1264" w:type="dxa"/>
          </w:tcPr>
          <w:p w:rsidR="00A1463E" w:rsidRPr="00545FAA" w:rsidRDefault="00F52429">
            <w:pPr>
              <w:pStyle w:val="TableParagraph"/>
              <w:spacing w:line="288" w:lineRule="exact"/>
              <w:ind w:left="551"/>
              <w:rPr>
                <w:sz w:val="24"/>
              </w:rPr>
            </w:pPr>
            <w:r w:rsidRPr="00545FAA">
              <w:rPr>
                <w:sz w:val="24"/>
              </w:rPr>
              <w:t>814</w:t>
            </w:r>
          </w:p>
        </w:tc>
        <w:tc>
          <w:tcPr>
            <w:tcW w:w="1139" w:type="dxa"/>
          </w:tcPr>
          <w:p w:rsidR="00A1463E" w:rsidRPr="00545FAA" w:rsidRDefault="00F52429">
            <w:pPr>
              <w:pStyle w:val="TableParagraph"/>
              <w:spacing w:line="288" w:lineRule="exact"/>
              <w:ind w:left="369"/>
              <w:rPr>
                <w:sz w:val="24"/>
              </w:rPr>
            </w:pPr>
            <w:r w:rsidRPr="00545FAA">
              <w:rPr>
                <w:sz w:val="24"/>
              </w:rPr>
              <w:t>4,519</w:t>
            </w:r>
          </w:p>
        </w:tc>
        <w:tc>
          <w:tcPr>
            <w:tcW w:w="1001" w:type="dxa"/>
          </w:tcPr>
          <w:p w:rsidR="00A1463E" w:rsidRPr="00545FAA" w:rsidRDefault="00F52429">
            <w:pPr>
              <w:pStyle w:val="TableParagraph"/>
              <w:spacing w:line="288" w:lineRule="exact"/>
              <w:ind w:right="77"/>
              <w:jc w:val="right"/>
              <w:rPr>
                <w:sz w:val="24"/>
              </w:rPr>
            </w:pPr>
            <w:r w:rsidRPr="00545FAA">
              <w:rPr>
                <w:sz w:val="24"/>
              </w:rPr>
              <w:t>4,408</w:t>
            </w:r>
          </w:p>
        </w:tc>
      </w:tr>
      <w:tr w:rsidR="00A1463E" w:rsidRPr="00545FAA" w:rsidTr="004358AD">
        <w:trPr>
          <w:trHeight w:val="340"/>
        </w:trPr>
        <w:tc>
          <w:tcPr>
            <w:tcW w:w="8098" w:type="dxa"/>
          </w:tcPr>
          <w:p w:rsidR="00A1463E" w:rsidRPr="00545FAA" w:rsidRDefault="00F52429">
            <w:pPr>
              <w:pStyle w:val="TableParagraph"/>
              <w:spacing w:line="288" w:lineRule="exact"/>
              <w:rPr>
                <w:sz w:val="24"/>
              </w:rPr>
            </w:pPr>
            <w:r w:rsidRPr="00545FAA">
              <w:rPr>
                <w:sz w:val="24"/>
              </w:rPr>
              <w:t>Supplies and services</w:t>
            </w:r>
          </w:p>
        </w:tc>
        <w:tc>
          <w:tcPr>
            <w:tcW w:w="1272" w:type="dxa"/>
          </w:tcPr>
          <w:p w:rsidR="00A1463E" w:rsidRPr="00545FAA" w:rsidRDefault="00F52429">
            <w:pPr>
              <w:pStyle w:val="TableParagraph"/>
              <w:spacing w:line="288" w:lineRule="exact"/>
              <w:ind w:left="507"/>
              <w:rPr>
                <w:sz w:val="24"/>
              </w:rPr>
            </w:pPr>
            <w:r w:rsidRPr="00545FAA">
              <w:rPr>
                <w:sz w:val="24"/>
              </w:rPr>
              <w:t>1,372</w:t>
            </w:r>
          </w:p>
        </w:tc>
        <w:tc>
          <w:tcPr>
            <w:tcW w:w="1523" w:type="dxa"/>
          </w:tcPr>
          <w:p w:rsidR="00A1463E" w:rsidRPr="00545FAA" w:rsidRDefault="00F52429">
            <w:pPr>
              <w:pStyle w:val="TableParagraph"/>
              <w:spacing w:line="288" w:lineRule="exact"/>
              <w:ind w:left="369"/>
              <w:rPr>
                <w:sz w:val="24"/>
              </w:rPr>
            </w:pPr>
            <w:r w:rsidRPr="00545FAA">
              <w:rPr>
                <w:sz w:val="24"/>
              </w:rPr>
              <w:t>3,280</w:t>
            </w:r>
          </w:p>
        </w:tc>
        <w:tc>
          <w:tcPr>
            <w:tcW w:w="1181" w:type="dxa"/>
          </w:tcPr>
          <w:p w:rsidR="00A1463E" w:rsidRPr="00545FAA" w:rsidRDefault="004358AD">
            <w:pPr>
              <w:pStyle w:val="TableParagraph"/>
              <w:spacing w:line="288" w:lineRule="exact"/>
              <w:ind w:right="215"/>
              <w:jc w:val="right"/>
              <w:rPr>
                <w:sz w:val="24"/>
              </w:rPr>
            </w:pPr>
            <w:r w:rsidRPr="00545FAA">
              <w:rPr>
                <w:sz w:val="24"/>
              </w:rPr>
              <w:t>0</w:t>
            </w:r>
          </w:p>
        </w:tc>
        <w:tc>
          <w:tcPr>
            <w:tcW w:w="1264" w:type="dxa"/>
          </w:tcPr>
          <w:p w:rsidR="00A1463E" w:rsidRPr="00545FAA" w:rsidRDefault="00F52429">
            <w:pPr>
              <w:pStyle w:val="TableParagraph"/>
              <w:spacing w:line="288" w:lineRule="exact"/>
              <w:ind w:left="551"/>
              <w:rPr>
                <w:sz w:val="24"/>
              </w:rPr>
            </w:pPr>
            <w:r w:rsidRPr="00545FAA">
              <w:rPr>
                <w:sz w:val="24"/>
              </w:rPr>
              <w:t>966</w:t>
            </w:r>
          </w:p>
        </w:tc>
        <w:tc>
          <w:tcPr>
            <w:tcW w:w="1139" w:type="dxa"/>
          </w:tcPr>
          <w:p w:rsidR="00A1463E" w:rsidRPr="00545FAA" w:rsidRDefault="00F52429">
            <w:pPr>
              <w:pStyle w:val="TableParagraph"/>
              <w:spacing w:line="288" w:lineRule="exact"/>
              <w:ind w:left="369"/>
              <w:rPr>
                <w:sz w:val="24"/>
              </w:rPr>
            </w:pPr>
            <w:r w:rsidRPr="00545FAA">
              <w:rPr>
                <w:sz w:val="24"/>
              </w:rPr>
              <w:t>1,372</w:t>
            </w:r>
          </w:p>
        </w:tc>
        <w:tc>
          <w:tcPr>
            <w:tcW w:w="1001" w:type="dxa"/>
          </w:tcPr>
          <w:p w:rsidR="00A1463E" w:rsidRPr="00545FAA" w:rsidRDefault="00F52429">
            <w:pPr>
              <w:pStyle w:val="TableParagraph"/>
              <w:spacing w:line="288" w:lineRule="exact"/>
              <w:ind w:right="77"/>
              <w:jc w:val="right"/>
              <w:rPr>
                <w:sz w:val="24"/>
              </w:rPr>
            </w:pPr>
            <w:r w:rsidRPr="00545FAA">
              <w:rPr>
                <w:sz w:val="24"/>
              </w:rPr>
              <w:t>4,246</w:t>
            </w:r>
          </w:p>
        </w:tc>
      </w:tr>
      <w:tr w:rsidR="00A1463E" w:rsidRPr="00545FAA" w:rsidTr="004358AD">
        <w:trPr>
          <w:trHeight w:val="340"/>
        </w:trPr>
        <w:tc>
          <w:tcPr>
            <w:tcW w:w="8098" w:type="dxa"/>
          </w:tcPr>
          <w:p w:rsidR="00A1463E" w:rsidRPr="00545FAA" w:rsidRDefault="00F52429">
            <w:pPr>
              <w:pStyle w:val="TableParagraph"/>
              <w:spacing w:line="288" w:lineRule="exact"/>
              <w:rPr>
                <w:sz w:val="24"/>
              </w:rPr>
            </w:pPr>
            <w:proofErr w:type="spellStart"/>
            <w:r w:rsidRPr="00545FAA">
              <w:rPr>
                <w:sz w:val="24"/>
              </w:rPr>
              <w:t>Amortisation</w:t>
            </w:r>
            <w:proofErr w:type="spellEnd"/>
            <w:r w:rsidRPr="00545FAA">
              <w:rPr>
                <w:sz w:val="24"/>
              </w:rPr>
              <w:t xml:space="preserve"> expense</w:t>
            </w:r>
          </w:p>
        </w:tc>
        <w:tc>
          <w:tcPr>
            <w:tcW w:w="1272" w:type="dxa"/>
          </w:tcPr>
          <w:p w:rsidR="00A1463E" w:rsidRPr="00545FAA" w:rsidRDefault="00F52429">
            <w:pPr>
              <w:pStyle w:val="TableParagraph"/>
              <w:spacing w:line="288" w:lineRule="exact"/>
              <w:ind w:left="810"/>
              <w:rPr>
                <w:sz w:val="24"/>
              </w:rPr>
            </w:pPr>
            <w:r w:rsidRPr="00545FAA">
              <w:rPr>
                <w:sz w:val="24"/>
              </w:rPr>
              <w:t>82</w:t>
            </w:r>
          </w:p>
        </w:tc>
        <w:tc>
          <w:tcPr>
            <w:tcW w:w="1523" w:type="dxa"/>
          </w:tcPr>
          <w:p w:rsidR="00A1463E" w:rsidRPr="00545FAA" w:rsidRDefault="004358AD">
            <w:pPr>
              <w:pStyle w:val="TableParagraph"/>
              <w:spacing w:line="288" w:lineRule="exact"/>
              <w:ind w:left="234"/>
              <w:jc w:val="center"/>
              <w:rPr>
                <w:sz w:val="24"/>
              </w:rPr>
            </w:pPr>
            <w:r w:rsidRPr="00545FAA">
              <w:rPr>
                <w:sz w:val="24"/>
              </w:rPr>
              <w:t>0</w:t>
            </w:r>
          </w:p>
        </w:tc>
        <w:tc>
          <w:tcPr>
            <w:tcW w:w="1181" w:type="dxa"/>
          </w:tcPr>
          <w:p w:rsidR="00A1463E" w:rsidRPr="00545FAA" w:rsidRDefault="004358AD">
            <w:pPr>
              <w:pStyle w:val="TableParagraph"/>
              <w:spacing w:line="288" w:lineRule="exact"/>
              <w:ind w:right="215"/>
              <w:jc w:val="right"/>
              <w:rPr>
                <w:sz w:val="24"/>
              </w:rPr>
            </w:pPr>
            <w:r w:rsidRPr="00545FAA">
              <w:rPr>
                <w:sz w:val="24"/>
              </w:rPr>
              <w:t>0</w:t>
            </w:r>
          </w:p>
        </w:tc>
        <w:tc>
          <w:tcPr>
            <w:tcW w:w="1264" w:type="dxa"/>
          </w:tcPr>
          <w:p w:rsidR="00A1463E" w:rsidRPr="00545FAA" w:rsidRDefault="004358AD">
            <w:pPr>
              <w:pStyle w:val="TableParagraph"/>
              <w:spacing w:line="288" w:lineRule="exact"/>
              <w:ind w:right="215"/>
              <w:jc w:val="right"/>
              <w:rPr>
                <w:sz w:val="24"/>
              </w:rPr>
            </w:pPr>
            <w:r w:rsidRPr="00545FAA">
              <w:rPr>
                <w:sz w:val="24"/>
              </w:rPr>
              <w:t>0</w:t>
            </w:r>
          </w:p>
        </w:tc>
        <w:tc>
          <w:tcPr>
            <w:tcW w:w="1139" w:type="dxa"/>
          </w:tcPr>
          <w:p w:rsidR="00A1463E" w:rsidRPr="00545FAA" w:rsidRDefault="00F52429">
            <w:pPr>
              <w:pStyle w:val="TableParagraph"/>
              <w:spacing w:line="288" w:lineRule="exact"/>
              <w:ind w:left="672"/>
              <w:rPr>
                <w:sz w:val="24"/>
              </w:rPr>
            </w:pPr>
            <w:r w:rsidRPr="00545FAA">
              <w:rPr>
                <w:sz w:val="24"/>
              </w:rPr>
              <w:t>82</w:t>
            </w:r>
          </w:p>
        </w:tc>
        <w:tc>
          <w:tcPr>
            <w:tcW w:w="1001" w:type="dxa"/>
          </w:tcPr>
          <w:p w:rsidR="00A1463E" w:rsidRPr="00545FAA" w:rsidRDefault="004358AD">
            <w:pPr>
              <w:pStyle w:val="TableParagraph"/>
              <w:spacing w:line="288" w:lineRule="exact"/>
              <w:ind w:right="78"/>
              <w:jc w:val="right"/>
              <w:rPr>
                <w:sz w:val="24"/>
              </w:rPr>
            </w:pPr>
            <w:r w:rsidRPr="00545FAA">
              <w:rPr>
                <w:sz w:val="24"/>
              </w:rPr>
              <w:t>0</w:t>
            </w:r>
          </w:p>
        </w:tc>
      </w:tr>
      <w:tr w:rsidR="00A1463E" w:rsidRPr="00545FAA" w:rsidTr="004358AD">
        <w:trPr>
          <w:trHeight w:val="340"/>
        </w:trPr>
        <w:tc>
          <w:tcPr>
            <w:tcW w:w="8098" w:type="dxa"/>
          </w:tcPr>
          <w:p w:rsidR="00A1463E" w:rsidRPr="00545FAA" w:rsidRDefault="00F52429">
            <w:pPr>
              <w:pStyle w:val="TableParagraph"/>
              <w:spacing w:line="288" w:lineRule="exact"/>
              <w:rPr>
                <w:sz w:val="24"/>
              </w:rPr>
            </w:pPr>
            <w:r w:rsidRPr="00545FAA">
              <w:rPr>
                <w:sz w:val="24"/>
              </w:rPr>
              <w:t>Accommodation expenses</w:t>
            </w:r>
          </w:p>
        </w:tc>
        <w:tc>
          <w:tcPr>
            <w:tcW w:w="1272" w:type="dxa"/>
          </w:tcPr>
          <w:p w:rsidR="00A1463E" w:rsidRPr="00545FAA" w:rsidRDefault="00F52429">
            <w:pPr>
              <w:pStyle w:val="TableParagraph"/>
              <w:spacing w:line="288" w:lineRule="exact"/>
              <w:ind w:left="688"/>
              <w:rPr>
                <w:sz w:val="24"/>
              </w:rPr>
            </w:pPr>
            <w:r w:rsidRPr="00545FAA">
              <w:rPr>
                <w:sz w:val="24"/>
              </w:rPr>
              <w:t>535</w:t>
            </w:r>
          </w:p>
        </w:tc>
        <w:tc>
          <w:tcPr>
            <w:tcW w:w="1523" w:type="dxa"/>
          </w:tcPr>
          <w:p w:rsidR="00A1463E" w:rsidRPr="00545FAA" w:rsidRDefault="00F52429">
            <w:pPr>
              <w:pStyle w:val="TableParagraph"/>
              <w:spacing w:line="288" w:lineRule="exact"/>
              <w:ind w:left="531" w:right="586"/>
              <w:jc w:val="center"/>
              <w:rPr>
                <w:sz w:val="24"/>
              </w:rPr>
            </w:pPr>
            <w:r w:rsidRPr="00545FAA">
              <w:rPr>
                <w:sz w:val="24"/>
              </w:rPr>
              <w:t>249</w:t>
            </w:r>
          </w:p>
        </w:tc>
        <w:tc>
          <w:tcPr>
            <w:tcW w:w="1181" w:type="dxa"/>
          </w:tcPr>
          <w:p w:rsidR="00A1463E" w:rsidRPr="00545FAA" w:rsidRDefault="004358AD">
            <w:pPr>
              <w:pStyle w:val="TableParagraph"/>
              <w:spacing w:line="288" w:lineRule="exact"/>
              <w:ind w:right="215"/>
              <w:jc w:val="right"/>
              <w:rPr>
                <w:sz w:val="24"/>
              </w:rPr>
            </w:pPr>
            <w:r w:rsidRPr="00545FAA">
              <w:rPr>
                <w:sz w:val="24"/>
              </w:rPr>
              <w:t>0</w:t>
            </w:r>
          </w:p>
        </w:tc>
        <w:tc>
          <w:tcPr>
            <w:tcW w:w="1264" w:type="dxa"/>
          </w:tcPr>
          <w:p w:rsidR="00A1463E" w:rsidRPr="00545FAA" w:rsidRDefault="00F52429">
            <w:pPr>
              <w:pStyle w:val="TableParagraph"/>
              <w:spacing w:line="288" w:lineRule="exact"/>
              <w:ind w:left="672"/>
              <w:rPr>
                <w:sz w:val="24"/>
              </w:rPr>
            </w:pPr>
            <w:r w:rsidRPr="00545FAA">
              <w:rPr>
                <w:sz w:val="24"/>
              </w:rPr>
              <w:t>64</w:t>
            </w:r>
          </w:p>
        </w:tc>
        <w:tc>
          <w:tcPr>
            <w:tcW w:w="1139" w:type="dxa"/>
          </w:tcPr>
          <w:p w:rsidR="00A1463E" w:rsidRPr="00545FAA" w:rsidRDefault="00F52429">
            <w:pPr>
              <w:pStyle w:val="TableParagraph"/>
              <w:spacing w:line="288" w:lineRule="exact"/>
              <w:ind w:left="551"/>
              <w:rPr>
                <w:sz w:val="24"/>
              </w:rPr>
            </w:pPr>
            <w:r w:rsidRPr="00545FAA">
              <w:rPr>
                <w:sz w:val="24"/>
              </w:rPr>
              <w:t>535</w:t>
            </w:r>
          </w:p>
        </w:tc>
        <w:tc>
          <w:tcPr>
            <w:tcW w:w="1001" w:type="dxa"/>
          </w:tcPr>
          <w:p w:rsidR="00A1463E" w:rsidRPr="00545FAA" w:rsidRDefault="00F52429">
            <w:pPr>
              <w:pStyle w:val="TableParagraph"/>
              <w:spacing w:line="288" w:lineRule="exact"/>
              <w:ind w:right="78"/>
              <w:jc w:val="right"/>
              <w:rPr>
                <w:sz w:val="24"/>
              </w:rPr>
            </w:pPr>
            <w:r w:rsidRPr="00545FAA">
              <w:rPr>
                <w:sz w:val="24"/>
              </w:rPr>
              <w:t>313</w:t>
            </w:r>
          </w:p>
        </w:tc>
      </w:tr>
      <w:tr w:rsidR="00A1463E" w:rsidRPr="00545FAA" w:rsidTr="004358AD">
        <w:trPr>
          <w:trHeight w:val="340"/>
        </w:trPr>
        <w:tc>
          <w:tcPr>
            <w:tcW w:w="8098" w:type="dxa"/>
          </w:tcPr>
          <w:p w:rsidR="00A1463E" w:rsidRPr="00545FAA" w:rsidRDefault="00F52429">
            <w:pPr>
              <w:pStyle w:val="TableParagraph"/>
              <w:spacing w:line="288" w:lineRule="exact"/>
              <w:rPr>
                <w:sz w:val="24"/>
              </w:rPr>
            </w:pPr>
            <w:r w:rsidRPr="00545FAA">
              <w:rPr>
                <w:sz w:val="24"/>
              </w:rPr>
              <w:t>Grants and subsidies</w:t>
            </w:r>
          </w:p>
        </w:tc>
        <w:tc>
          <w:tcPr>
            <w:tcW w:w="1272" w:type="dxa"/>
          </w:tcPr>
          <w:p w:rsidR="00A1463E" w:rsidRPr="00545FAA" w:rsidRDefault="00F52429">
            <w:pPr>
              <w:pStyle w:val="TableParagraph"/>
              <w:spacing w:line="288" w:lineRule="exact"/>
              <w:ind w:left="688"/>
              <w:rPr>
                <w:sz w:val="24"/>
              </w:rPr>
            </w:pPr>
            <w:r w:rsidRPr="00545FAA">
              <w:rPr>
                <w:sz w:val="24"/>
              </w:rPr>
              <w:t>180</w:t>
            </w:r>
          </w:p>
        </w:tc>
        <w:tc>
          <w:tcPr>
            <w:tcW w:w="1523" w:type="dxa"/>
          </w:tcPr>
          <w:p w:rsidR="00A1463E" w:rsidRPr="00545FAA" w:rsidRDefault="004358AD">
            <w:pPr>
              <w:pStyle w:val="TableParagraph"/>
              <w:spacing w:line="288" w:lineRule="exact"/>
              <w:ind w:left="234"/>
              <w:jc w:val="center"/>
              <w:rPr>
                <w:sz w:val="24"/>
              </w:rPr>
            </w:pPr>
            <w:r w:rsidRPr="00545FAA">
              <w:rPr>
                <w:sz w:val="24"/>
              </w:rPr>
              <w:t>0</w:t>
            </w:r>
          </w:p>
        </w:tc>
        <w:tc>
          <w:tcPr>
            <w:tcW w:w="1181" w:type="dxa"/>
          </w:tcPr>
          <w:p w:rsidR="00A1463E" w:rsidRPr="00545FAA" w:rsidRDefault="004358AD">
            <w:pPr>
              <w:pStyle w:val="TableParagraph"/>
              <w:spacing w:line="288" w:lineRule="exact"/>
              <w:ind w:right="215"/>
              <w:jc w:val="right"/>
              <w:rPr>
                <w:sz w:val="24"/>
              </w:rPr>
            </w:pPr>
            <w:r w:rsidRPr="00545FAA">
              <w:rPr>
                <w:sz w:val="24"/>
              </w:rPr>
              <w:t>0</w:t>
            </w:r>
          </w:p>
        </w:tc>
        <w:tc>
          <w:tcPr>
            <w:tcW w:w="1264" w:type="dxa"/>
          </w:tcPr>
          <w:p w:rsidR="00A1463E" w:rsidRPr="00545FAA" w:rsidRDefault="00F52429">
            <w:pPr>
              <w:pStyle w:val="TableParagraph"/>
              <w:spacing w:line="288" w:lineRule="exact"/>
              <w:ind w:left="551"/>
              <w:rPr>
                <w:sz w:val="24"/>
              </w:rPr>
            </w:pPr>
            <w:r w:rsidRPr="00545FAA">
              <w:rPr>
                <w:sz w:val="24"/>
              </w:rPr>
              <w:t>369</w:t>
            </w:r>
          </w:p>
        </w:tc>
        <w:tc>
          <w:tcPr>
            <w:tcW w:w="1139" w:type="dxa"/>
          </w:tcPr>
          <w:p w:rsidR="00A1463E" w:rsidRPr="00545FAA" w:rsidRDefault="00F52429">
            <w:pPr>
              <w:pStyle w:val="TableParagraph"/>
              <w:spacing w:line="288" w:lineRule="exact"/>
              <w:ind w:left="551"/>
              <w:rPr>
                <w:sz w:val="24"/>
              </w:rPr>
            </w:pPr>
            <w:r w:rsidRPr="00545FAA">
              <w:rPr>
                <w:sz w:val="24"/>
              </w:rPr>
              <w:t>180</w:t>
            </w:r>
          </w:p>
        </w:tc>
        <w:tc>
          <w:tcPr>
            <w:tcW w:w="1001" w:type="dxa"/>
          </w:tcPr>
          <w:p w:rsidR="00A1463E" w:rsidRPr="00545FAA" w:rsidRDefault="00F52429">
            <w:pPr>
              <w:pStyle w:val="TableParagraph"/>
              <w:spacing w:line="288" w:lineRule="exact"/>
              <w:ind w:right="78"/>
              <w:jc w:val="right"/>
              <w:rPr>
                <w:sz w:val="24"/>
              </w:rPr>
            </w:pPr>
            <w:r w:rsidRPr="00545FAA">
              <w:rPr>
                <w:sz w:val="24"/>
              </w:rPr>
              <w:t>369</w:t>
            </w:r>
          </w:p>
        </w:tc>
      </w:tr>
      <w:tr w:rsidR="00A1463E" w:rsidRPr="00545FAA" w:rsidTr="004358AD">
        <w:trPr>
          <w:trHeight w:val="303"/>
        </w:trPr>
        <w:tc>
          <w:tcPr>
            <w:tcW w:w="8098" w:type="dxa"/>
          </w:tcPr>
          <w:p w:rsidR="00A1463E" w:rsidRPr="00545FAA" w:rsidRDefault="00F52429">
            <w:pPr>
              <w:pStyle w:val="TableParagraph"/>
              <w:spacing w:line="283" w:lineRule="exact"/>
              <w:rPr>
                <w:sz w:val="24"/>
              </w:rPr>
            </w:pPr>
            <w:r w:rsidRPr="00545FAA">
              <w:rPr>
                <w:sz w:val="24"/>
              </w:rPr>
              <w:t>Other expenses</w:t>
            </w:r>
          </w:p>
        </w:tc>
        <w:tc>
          <w:tcPr>
            <w:tcW w:w="1272" w:type="dxa"/>
          </w:tcPr>
          <w:p w:rsidR="00A1463E" w:rsidRPr="00545FAA" w:rsidRDefault="00F52429">
            <w:pPr>
              <w:pStyle w:val="TableParagraph"/>
              <w:spacing w:line="283" w:lineRule="exact"/>
              <w:ind w:left="810"/>
              <w:rPr>
                <w:sz w:val="24"/>
              </w:rPr>
            </w:pPr>
            <w:r w:rsidRPr="00545FAA">
              <w:rPr>
                <w:sz w:val="24"/>
              </w:rPr>
              <w:t>54</w:t>
            </w:r>
          </w:p>
        </w:tc>
        <w:tc>
          <w:tcPr>
            <w:tcW w:w="1523" w:type="dxa"/>
          </w:tcPr>
          <w:p w:rsidR="00A1463E" w:rsidRPr="00545FAA" w:rsidRDefault="00F52429">
            <w:pPr>
              <w:pStyle w:val="TableParagraph"/>
              <w:spacing w:line="283" w:lineRule="exact"/>
              <w:ind w:left="531" w:right="467"/>
              <w:jc w:val="center"/>
              <w:rPr>
                <w:sz w:val="24"/>
              </w:rPr>
            </w:pPr>
            <w:r w:rsidRPr="00545FAA">
              <w:rPr>
                <w:sz w:val="24"/>
              </w:rPr>
              <w:t>79</w:t>
            </w:r>
          </w:p>
        </w:tc>
        <w:tc>
          <w:tcPr>
            <w:tcW w:w="1181" w:type="dxa"/>
          </w:tcPr>
          <w:p w:rsidR="00A1463E" w:rsidRPr="00545FAA" w:rsidRDefault="004358AD">
            <w:pPr>
              <w:pStyle w:val="TableParagraph"/>
              <w:spacing w:line="283" w:lineRule="exact"/>
              <w:ind w:right="215"/>
              <w:jc w:val="right"/>
              <w:rPr>
                <w:sz w:val="24"/>
              </w:rPr>
            </w:pPr>
            <w:r w:rsidRPr="00545FAA">
              <w:rPr>
                <w:sz w:val="24"/>
              </w:rPr>
              <w:t>0</w:t>
            </w:r>
          </w:p>
        </w:tc>
        <w:tc>
          <w:tcPr>
            <w:tcW w:w="1264" w:type="dxa"/>
          </w:tcPr>
          <w:p w:rsidR="00A1463E" w:rsidRPr="00545FAA" w:rsidRDefault="00F52429">
            <w:pPr>
              <w:pStyle w:val="TableParagraph"/>
              <w:spacing w:line="283" w:lineRule="exact"/>
              <w:ind w:left="672"/>
              <w:rPr>
                <w:sz w:val="24"/>
              </w:rPr>
            </w:pPr>
            <w:r w:rsidRPr="00545FAA">
              <w:rPr>
                <w:sz w:val="24"/>
              </w:rPr>
              <w:t>15</w:t>
            </w:r>
          </w:p>
        </w:tc>
        <w:tc>
          <w:tcPr>
            <w:tcW w:w="1139" w:type="dxa"/>
          </w:tcPr>
          <w:p w:rsidR="00A1463E" w:rsidRPr="00545FAA" w:rsidRDefault="00F52429">
            <w:pPr>
              <w:pStyle w:val="TableParagraph"/>
              <w:spacing w:line="283" w:lineRule="exact"/>
              <w:ind w:left="672"/>
              <w:rPr>
                <w:sz w:val="24"/>
              </w:rPr>
            </w:pPr>
            <w:r w:rsidRPr="00545FAA">
              <w:rPr>
                <w:sz w:val="24"/>
              </w:rPr>
              <w:t>54</w:t>
            </w:r>
          </w:p>
        </w:tc>
        <w:tc>
          <w:tcPr>
            <w:tcW w:w="1001" w:type="dxa"/>
          </w:tcPr>
          <w:p w:rsidR="00A1463E" w:rsidRPr="00545FAA" w:rsidRDefault="00F52429">
            <w:pPr>
              <w:pStyle w:val="TableParagraph"/>
              <w:spacing w:line="283" w:lineRule="exact"/>
              <w:ind w:right="78"/>
              <w:jc w:val="right"/>
              <w:rPr>
                <w:sz w:val="24"/>
              </w:rPr>
            </w:pPr>
            <w:r w:rsidRPr="00545FAA">
              <w:rPr>
                <w:sz w:val="24"/>
              </w:rPr>
              <w:t>94</w:t>
            </w:r>
          </w:p>
        </w:tc>
      </w:tr>
      <w:tr w:rsidR="00A1463E" w:rsidRPr="00545FAA" w:rsidTr="004358AD">
        <w:trPr>
          <w:trHeight w:val="325"/>
        </w:trPr>
        <w:tc>
          <w:tcPr>
            <w:tcW w:w="8098" w:type="dxa"/>
          </w:tcPr>
          <w:p w:rsidR="00A1463E" w:rsidRPr="00545FAA" w:rsidRDefault="00F52429">
            <w:pPr>
              <w:pStyle w:val="TableParagraph"/>
              <w:spacing w:before="16" w:line="289" w:lineRule="exact"/>
              <w:rPr>
                <w:sz w:val="24"/>
              </w:rPr>
            </w:pPr>
            <w:r w:rsidRPr="00545FAA">
              <w:rPr>
                <w:sz w:val="24"/>
              </w:rPr>
              <w:t>Total cost of services</w:t>
            </w:r>
          </w:p>
        </w:tc>
        <w:tc>
          <w:tcPr>
            <w:tcW w:w="1272" w:type="dxa"/>
          </w:tcPr>
          <w:p w:rsidR="00A1463E" w:rsidRPr="00545FAA" w:rsidRDefault="00F52429">
            <w:pPr>
              <w:pStyle w:val="TableParagraph"/>
              <w:spacing w:before="16" w:line="289" w:lineRule="exact"/>
              <w:ind w:left="505"/>
              <w:rPr>
                <w:sz w:val="24"/>
              </w:rPr>
            </w:pPr>
            <w:r w:rsidRPr="00545FAA">
              <w:rPr>
                <w:sz w:val="24"/>
              </w:rPr>
              <w:t>6,742</w:t>
            </w:r>
          </w:p>
        </w:tc>
        <w:tc>
          <w:tcPr>
            <w:tcW w:w="1523" w:type="dxa"/>
          </w:tcPr>
          <w:p w:rsidR="00A1463E" w:rsidRPr="00545FAA" w:rsidRDefault="00F52429">
            <w:pPr>
              <w:pStyle w:val="TableParagraph"/>
              <w:spacing w:before="16" w:line="289" w:lineRule="exact"/>
              <w:ind w:left="366"/>
              <w:rPr>
                <w:sz w:val="24"/>
              </w:rPr>
            </w:pPr>
            <w:r w:rsidRPr="00545FAA">
              <w:rPr>
                <w:sz w:val="24"/>
              </w:rPr>
              <w:t>7,202</w:t>
            </w:r>
          </w:p>
        </w:tc>
        <w:tc>
          <w:tcPr>
            <w:tcW w:w="1181" w:type="dxa"/>
          </w:tcPr>
          <w:p w:rsidR="00A1463E" w:rsidRPr="00545FAA" w:rsidRDefault="004358AD">
            <w:pPr>
              <w:pStyle w:val="TableParagraph"/>
              <w:spacing w:before="16" w:line="289" w:lineRule="exact"/>
              <w:ind w:right="215"/>
              <w:jc w:val="right"/>
              <w:rPr>
                <w:sz w:val="24"/>
              </w:rPr>
            </w:pPr>
            <w:r w:rsidRPr="00545FAA">
              <w:rPr>
                <w:sz w:val="24"/>
              </w:rPr>
              <w:t>0</w:t>
            </w:r>
          </w:p>
        </w:tc>
        <w:tc>
          <w:tcPr>
            <w:tcW w:w="1264" w:type="dxa"/>
          </w:tcPr>
          <w:p w:rsidR="00A1463E" w:rsidRPr="00545FAA" w:rsidRDefault="00F52429">
            <w:pPr>
              <w:pStyle w:val="TableParagraph"/>
              <w:spacing w:before="16" w:line="289" w:lineRule="exact"/>
              <w:ind w:left="367"/>
              <w:rPr>
                <w:sz w:val="24"/>
              </w:rPr>
            </w:pPr>
            <w:r w:rsidRPr="00545FAA">
              <w:rPr>
                <w:sz w:val="24"/>
              </w:rPr>
              <w:t>2,228</w:t>
            </w:r>
          </w:p>
        </w:tc>
        <w:tc>
          <w:tcPr>
            <w:tcW w:w="1139" w:type="dxa"/>
          </w:tcPr>
          <w:p w:rsidR="00A1463E" w:rsidRPr="00545FAA" w:rsidRDefault="00F52429">
            <w:pPr>
              <w:pStyle w:val="TableParagraph"/>
              <w:spacing w:before="16" w:line="289" w:lineRule="exact"/>
              <w:ind w:left="367"/>
              <w:rPr>
                <w:sz w:val="24"/>
              </w:rPr>
            </w:pPr>
            <w:r w:rsidRPr="00545FAA">
              <w:rPr>
                <w:sz w:val="24"/>
              </w:rPr>
              <w:t>6,742</w:t>
            </w:r>
          </w:p>
        </w:tc>
        <w:tc>
          <w:tcPr>
            <w:tcW w:w="1001" w:type="dxa"/>
          </w:tcPr>
          <w:p w:rsidR="00A1463E" w:rsidRPr="00545FAA" w:rsidRDefault="00F52429">
            <w:pPr>
              <w:pStyle w:val="TableParagraph"/>
              <w:spacing w:before="16" w:line="289" w:lineRule="exact"/>
              <w:ind w:right="78"/>
              <w:jc w:val="right"/>
              <w:rPr>
                <w:sz w:val="24"/>
              </w:rPr>
            </w:pPr>
            <w:r w:rsidRPr="00545FAA">
              <w:rPr>
                <w:sz w:val="24"/>
              </w:rPr>
              <w:t>9,430</w:t>
            </w:r>
          </w:p>
        </w:tc>
      </w:tr>
    </w:tbl>
    <w:p w:rsidR="00BF7649" w:rsidRDefault="00BF7649">
      <w:pPr>
        <w:pStyle w:val="BodyText"/>
        <w:spacing w:line="235" w:lineRule="auto"/>
        <w:ind w:left="679" w:right="678"/>
      </w:pPr>
    </w:p>
    <w:tbl>
      <w:tblPr>
        <w:tblStyle w:val="TableGrid"/>
        <w:tblW w:w="0" w:type="auto"/>
        <w:tblInd w:w="704" w:type="dxa"/>
        <w:tblLook w:val="04A0" w:firstRow="1" w:lastRow="0" w:firstColumn="1" w:lastColumn="0" w:noHBand="0" w:noVBand="1"/>
        <w:tblCaption w:val="cost of services - income"/>
        <w:tblDescription w:val="table showing figures for cost of services (income)  as part of the schedule of income and expenses by service for the year ended 30 June 2018"/>
      </w:tblPr>
      <w:tblGrid>
        <w:gridCol w:w="8080"/>
        <w:gridCol w:w="1276"/>
        <w:gridCol w:w="1559"/>
        <w:gridCol w:w="1134"/>
        <w:gridCol w:w="1276"/>
        <w:gridCol w:w="1134"/>
        <w:gridCol w:w="992"/>
      </w:tblGrid>
      <w:tr w:rsidR="00BF7649" w:rsidTr="006604EC">
        <w:trPr>
          <w:tblHeader/>
        </w:trPr>
        <w:tc>
          <w:tcPr>
            <w:tcW w:w="8080" w:type="dxa"/>
          </w:tcPr>
          <w:p w:rsidR="00BF7649" w:rsidRPr="006E4546" w:rsidRDefault="00BF7649" w:rsidP="000E1D3A">
            <w:r w:rsidRPr="006E4546">
              <w:rPr>
                <w:sz w:val="24"/>
              </w:rPr>
              <w:t>COST OF SERVICES - Income</w:t>
            </w:r>
          </w:p>
        </w:tc>
        <w:tc>
          <w:tcPr>
            <w:tcW w:w="1276" w:type="dxa"/>
          </w:tcPr>
          <w:p w:rsidR="00BF7649" w:rsidRPr="006E4546" w:rsidRDefault="00BF7649" w:rsidP="000E1D3A">
            <w:r w:rsidRPr="006E4546">
              <w:rPr>
                <w:sz w:val="24"/>
              </w:rPr>
              <w:t>Service 1 2018 $000</w:t>
            </w:r>
          </w:p>
        </w:tc>
        <w:tc>
          <w:tcPr>
            <w:tcW w:w="1559" w:type="dxa"/>
          </w:tcPr>
          <w:p w:rsidR="00BF7649" w:rsidRPr="006E4546" w:rsidRDefault="00BF7649" w:rsidP="000E1D3A">
            <w:pPr>
              <w:pStyle w:val="TableParagraph"/>
              <w:spacing w:line="288" w:lineRule="exact"/>
              <w:rPr>
                <w:sz w:val="24"/>
              </w:rPr>
            </w:pPr>
            <w:r w:rsidRPr="006E4546">
              <w:rPr>
                <w:sz w:val="24"/>
              </w:rPr>
              <w:t xml:space="preserve">Service 1 2017 </w:t>
            </w:r>
          </w:p>
          <w:p w:rsidR="00BF7649" w:rsidRPr="006E4546" w:rsidRDefault="00BF7649" w:rsidP="000E1D3A">
            <w:r w:rsidRPr="006E4546">
              <w:rPr>
                <w:sz w:val="24"/>
              </w:rPr>
              <w:t>$000</w:t>
            </w:r>
          </w:p>
        </w:tc>
        <w:tc>
          <w:tcPr>
            <w:tcW w:w="1134" w:type="dxa"/>
          </w:tcPr>
          <w:p w:rsidR="00BF7649" w:rsidRPr="006E4546" w:rsidRDefault="00BF7649" w:rsidP="000E1D3A">
            <w:r w:rsidRPr="006E4546">
              <w:rPr>
                <w:sz w:val="24"/>
              </w:rPr>
              <w:t>Service 2 (a) 2018 $000</w:t>
            </w:r>
          </w:p>
        </w:tc>
        <w:tc>
          <w:tcPr>
            <w:tcW w:w="1276" w:type="dxa"/>
          </w:tcPr>
          <w:p w:rsidR="00BF7649" w:rsidRPr="006E4546" w:rsidRDefault="00BF7649" w:rsidP="000E1D3A">
            <w:r w:rsidRPr="006E4546">
              <w:rPr>
                <w:sz w:val="24"/>
              </w:rPr>
              <w:t>Service 2 (a) 2017 $000</w:t>
            </w:r>
          </w:p>
        </w:tc>
        <w:tc>
          <w:tcPr>
            <w:tcW w:w="1134" w:type="dxa"/>
          </w:tcPr>
          <w:p w:rsidR="00BF7649" w:rsidRPr="006E4546" w:rsidRDefault="00BF7649" w:rsidP="000E1D3A">
            <w:r w:rsidRPr="006E4546">
              <w:rPr>
                <w:sz w:val="24"/>
              </w:rPr>
              <w:t>2018 $000</w:t>
            </w:r>
          </w:p>
        </w:tc>
        <w:tc>
          <w:tcPr>
            <w:tcW w:w="992" w:type="dxa"/>
          </w:tcPr>
          <w:p w:rsidR="00BF7649" w:rsidRPr="006E4546" w:rsidRDefault="00BF7649" w:rsidP="000E1D3A">
            <w:r w:rsidRPr="006E4546">
              <w:rPr>
                <w:sz w:val="24"/>
              </w:rPr>
              <w:t>Total 2017 $000</w:t>
            </w:r>
          </w:p>
        </w:tc>
      </w:tr>
      <w:tr w:rsidR="00BF7649" w:rsidTr="00BF7649">
        <w:tc>
          <w:tcPr>
            <w:tcW w:w="8080" w:type="dxa"/>
          </w:tcPr>
          <w:p w:rsidR="00BF7649" w:rsidRDefault="00BF7649" w:rsidP="000E1D3A">
            <w:r>
              <w:rPr>
                <w:sz w:val="24"/>
              </w:rPr>
              <w:t>Grants and subsidies</w:t>
            </w:r>
          </w:p>
        </w:tc>
        <w:tc>
          <w:tcPr>
            <w:tcW w:w="1276" w:type="dxa"/>
          </w:tcPr>
          <w:p w:rsidR="00BF7649" w:rsidRDefault="00BF7649" w:rsidP="000E1D3A">
            <w:r>
              <w:t>5415</w:t>
            </w:r>
          </w:p>
        </w:tc>
        <w:tc>
          <w:tcPr>
            <w:tcW w:w="1559" w:type="dxa"/>
          </w:tcPr>
          <w:p w:rsidR="00BF7649" w:rsidRDefault="00BF7649" w:rsidP="000E1D3A">
            <w:r>
              <w:t>4030</w:t>
            </w:r>
          </w:p>
        </w:tc>
        <w:tc>
          <w:tcPr>
            <w:tcW w:w="1134" w:type="dxa"/>
          </w:tcPr>
          <w:p w:rsidR="00BF7649" w:rsidRDefault="00BF7649" w:rsidP="000E1D3A">
            <w:r>
              <w:t>0</w:t>
            </w:r>
          </w:p>
        </w:tc>
        <w:tc>
          <w:tcPr>
            <w:tcW w:w="1276" w:type="dxa"/>
          </w:tcPr>
          <w:p w:rsidR="00BF7649" w:rsidRDefault="00BF7649" w:rsidP="000E1D3A">
            <w:r>
              <w:t>0</w:t>
            </w:r>
          </w:p>
        </w:tc>
        <w:tc>
          <w:tcPr>
            <w:tcW w:w="1134" w:type="dxa"/>
          </w:tcPr>
          <w:p w:rsidR="00BF7649" w:rsidRDefault="00BF7649" w:rsidP="000E1D3A">
            <w:r>
              <w:t>5415</w:t>
            </w:r>
          </w:p>
        </w:tc>
        <w:tc>
          <w:tcPr>
            <w:tcW w:w="992" w:type="dxa"/>
          </w:tcPr>
          <w:p w:rsidR="00BF7649" w:rsidRDefault="00BF7649" w:rsidP="000E1D3A">
            <w:r>
              <w:t>4030</w:t>
            </w:r>
          </w:p>
        </w:tc>
      </w:tr>
      <w:tr w:rsidR="00BF7649" w:rsidTr="00BF7649">
        <w:tc>
          <w:tcPr>
            <w:tcW w:w="8080" w:type="dxa"/>
          </w:tcPr>
          <w:p w:rsidR="00BF7649" w:rsidRDefault="00BF7649" w:rsidP="000E1D3A">
            <w:r>
              <w:rPr>
                <w:sz w:val="24"/>
              </w:rPr>
              <w:t>Other revenue</w:t>
            </w:r>
          </w:p>
        </w:tc>
        <w:tc>
          <w:tcPr>
            <w:tcW w:w="1276" w:type="dxa"/>
          </w:tcPr>
          <w:p w:rsidR="00BF7649" w:rsidRDefault="00BF7649" w:rsidP="000E1D3A">
            <w:r>
              <w:t>10</w:t>
            </w:r>
          </w:p>
        </w:tc>
        <w:tc>
          <w:tcPr>
            <w:tcW w:w="1559" w:type="dxa"/>
          </w:tcPr>
          <w:p w:rsidR="00BF7649" w:rsidRDefault="00BF7649" w:rsidP="000E1D3A">
            <w:r>
              <w:t>13</w:t>
            </w:r>
          </w:p>
        </w:tc>
        <w:tc>
          <w:tcPr>
            <w:tcW w:w="1134" w:type="dxa"/>
          </w:tcPr>
          <w:p w:rsidR="00BF7649" w:rsidRDefault="00BF7649" w:rsidP="000E1D3A">
            <w:r>
              <w:t>0</w:t>
            </w:r>
          </w:p>
        </w:tc>
        <w:tc>
          <w:tcPr>
            <w:tcW w:w="1276" w:type="dxa"/>
          </w:tcPr>
          <w:p w:rsidR="00BF7649" w:rsidRDefault="00BF7649" w:rsidP="000E1D3A">
            <w:r>
              <w:t>2</w:t>
            </w:r>
          </w:p>
        </w:tc>
        <w:tc>
          <w:tcPr>
            <w:tcW w:w="1134" w:type="dxa"/>
          </w:tcPr>
          <w:p w:rsidR="00BF7649" w:rsidRDefault="00BF7649" w:rsidP="000E1D3A">
            <w:r>
              <w:t>10</w:t>
            </w:r>
          </w:p>
        </w:tc>
        <w:tc>
          <w:tcPr>
            <w:tcW w:w="992" w:type="dxa"/>
          </w:tcPr>
          <w:p w:rsidR="00BF7649" w:rsidRDefault="00BF7649" w:rsidP="000E1D3A">
            <w:r>
              <w:t>15</w:t>
            </w:r>
          </w:p>
        </w:tc>
      </w:tr>
      <w:tr w:rsidR="00BF7649" w:rsidTr="00BF7649">
        <w:tc>
          <w:tcPr>
            <w:tcW w:w="8080" w:type="dxa"/>
          </w:tcPr>
          <w:p w:rsidR="00BF7649" w:rsidRPr="006E4546" w:rsidRDefault="00BF7649" w:rsidP="000E1D3A">
            <w:r w:rsidRPr="006E4546">
              <w:rPr>
                <w:sz w:val="24"/>
              </w:rPr>
              <w:t>Total income other than income from State Government</w:t>
            </w:r>
          </w:p>
        </w:tc>
        <w:tc>
          <w:tcPr>
            <w:tcW w:w="1276" w:type="dxa"/>
          </w:tcPr>
          <w:p w:rsidR="00BF7649" w:rsidRDefault="00BF7649" w:rsidP="000E1D3A">
            <w:r>
              <w:t>5425</w:t>
            </w:r>
          </w:p>
        </w:tc>
        <w:tc>
          <w:tcPr>
            <w:tcW w:w="1559" w:type="dxa"/>
          </w:tcPr>
          <w:p w:rsidR="00BF7649" w:rsidRDefault="00BF7649" w:rsidP="000E1D3A">
            <w:r>
              <w:t>4043</w:t>
            </w:r>
          </w:p>
        </w:tc>
        <w:tc>
          <w:tcPr>
            <w:tcW w:w="1134" w:type="dxa"/>
          </w:tcPr>
          <w:p w:rsidR="00BF7649" w:rsidRDefault="00BF7649" w:rsidP="000E1D3A">
            <w:r>
              <w:t>0</w:t>
            </w:r>
          </w:p>
        </w:tc>
        <w:tc>
          <w:tcPr>
            <w:tcW w:w="1276" w:type="dxa"/>
          </w:tcPr>
          <w:p w:rsidR="00BF7649" w:rsidRDefault="00BF7649" w:rsidP="000E1D3A">
            <w:r>
              <w:t>2</w:t>
            </w:r>
          </w:p>
        </w:tc>
        <w:tc>
          <w:tcPr>
            <w:tcW w:w="1134" w:type="dxa"/>
          </w:tcPr>
          <w:p w:rsidR="00BF7649" w:rsidRDefault="00BF7649" w:rsidP="000E1D3A">
            <w:r>
              <w:t>5425</w:t>
            </w:r>
          </w:p>
        </w:tc>
        <w:tc>
          <w:tcPr>
            <w:tcW w:w="992" w:type="dxa"/>
          </w:tcPr>
          <w:p w:rsidR="00BF7649" w:rsidRDefault="00BF7649" w:rsidP="000E1D3A">
            <w:r>
              <w:t>4045</w:t>
            </w:r>
          </w:p>
        </w:tc>
      </w:tr>
      <w:tr w:rsidR="00BF7649" w:rsidTr="00BF7649">
        <w:tc>
          <w:tcPr>
            <w:tcW w:w="8080" w:type="dxa"/>
          </w:tcPr>
          <w:p w:rsidR="00BF7649" w:rsidRPr="006E4546" w:rsidRDefault="00BF7649" w:rsidP="000E1D3A">
            <w:r w:rsidRPr="006E4546">
              <w:rPr>
                <w:sz w:val="24"/>
              </w:rPr>
              <w:t>NET COST OF SERVICES</w:t>
            </w:r>
          </w:p>
        </w:tc>
        <w:tc>
          <w:tcPr>
            <w:tcW w:w="1276" w:type="dxa"/>
          </w:tcPr>
          <w:p w:rsidR="00BF7649" w:rsidRDefault="00BF7649" w:rsidP="000E1D3A">
            <w:r>
              <w:t>(1317)</w:t>
            </w:r>
          </w:p>
        </w:tc>
        <w:tc>
          <w:tcPr>
            <w:tcW w:w="1559" w:type="dxa"/>
          </w:tcPr>
          <w:p w:rsidR="00BF7649" w:rsidRDefault="00BF7649" w:rsidP="000E1D3A">
            <w:r>
              <w:t>(3159)</w:t>
            </w:r>
          </w:p>
        </w:tc>
        <w:tc>
          <w:tcPr>
            <w:tcW w:w="1134" w:type="dxa"/>
          </w:tcPr>
          <w:p w:rsidR="00BF7649" w:rsidRDefault="00BF7649" w:rsidP="000E1D3A">
            <w:r>
              <w:t>0</w:t>
            </w:r>
          </w:p>
        </w:tc>
        <w:tc>
          <w:tcPr>
            <w:tcW w:w="1276" w:type="dxa"/>
          </w:tcPr>
          <w:p w:rsidR="00BF7649" w:rsidRDefault="00BF7649" w:rsidP="000E1D3A">
            <w:r>
              <w:t>(2226)</w:t>
            </w:r>
          </w:p>
        </w:tc>
        <w:tc>
          <w:tcPr>
            <w:tcW w:w="1134" w:type="dxa"/>
          </w:tcPr>
          <w:p w:rsidR="00BF7649" w:rsidRDefault="00BF7649" w:rsidP="000E1D3A">
            <w:r>
              <w:t>(1317)</w:t>
            </w:r>
          </w:p>
        </w:tc>
        <w:tc>
          <w:tcPr>
            <w:tcW w:w="992" w:type="dxa"/>
          </w:tcPr>
          <w:p w:rsidR="00BF7649" w:rsidRDefault="00BF7649" w:rsidP="000E1D3A">
            <w:r>
              <w:t>(5385)</w:t>
            </w:r>
          </w:p>
        </w:tc>
      </w:tr>
    </w:tbl>
    <w:p w:rsidR="00BF7649" w:rsidRDefault="00BF7649">
      <w:pPr>
        <w:pStyle w:val="BodyText"/>
        <w:spacing w:line="235" w:lineRule="auto"/>
        <w:ind w:left="679" w:right="678"/>
      </w:pPr>
    </w:p>
    <w:tbl>
      <w:tblPr>
        <w:tblStyle w:val="TableGrid"/>
        <w:tblW w:w="0" w:type="auto"/>
        <w:tblInd w:w="704" w:type="dxa"/>
        <w:tblLook w:val="04A0" w:firstRow="1" w:lastRow="0" w:firstColumn="1" w:lastColumn="0" w:noHBand="0" w:noVBand="1"/>
        <w:tblCaption w:val="income from state government"/>
        <w:tblDescription w:val="table showing income from state government as part of the schedule of income and expenses by service for the year ended 30 June 2018"/>
      </w:tblPr>
      <w:tblGrid>
        <w:gridCol w:w="8080"/>
        <w:gridCol w:w="1276"/>
        <w:gridCol w:w="1559"/>
        <w:gridCol w:w="1134"/>
        <w:gridCol w:w="1276"/>
        <w:gridCol w:w="1134"/>
        <w:gridCol w:w="992"/>
      </w:tblGrid>
      <w:tr w:rsidR="00BF7649" w:rsidRPr="006E4546" w:rsidTr="006604EC">
        <w:trPr>
          <w:tblHeader/>
        </w:trPr>
        <w:tc>
          <w:tcPr>
            <w:tcW w:w="8080" w:type="dxa"/>
          </w:tcPr>
          <w:p w:rsidR="00BF7649" w:rsidRPr="006E4546" w:rsidRDefault="00BF7649" w:rsidP="000E1D3A">
            <w:r w:rsidRPr="006E4546">
              <w:rPr>
                <w:sz w:val="24"/>
              </w:rPr>
              <w:t>Income from State Government</w:t>
            </w:r>
          </w:p>
        </w:tc>
        <w:tc>
          <w:tcPr>
            <w:tcW w:w="1276" w:type="dxa"/>
          </w:tcPr>
          <w:p w:rsidR="00BF7649" w:rsidRPr="006E4546" w:rsidRDefault="00BF7649" w:rsidP="000E1D3A">
            <w:r w:rsidRPr="006E4546">
              <w:rPr>
                <w:sz w:val="24"/>
              </w:rPr>
              <w:t>Service 1 2018 $000</w:t>
            </w:r>
          </w:p>
        </w:tc>
        <w:tc>
          <w:tcPr>
            <w:tcW w:w="1559" w:type="dxa"/>
          </w:tcPr>
          <w:p w:rsidR="00BF7649" w:rsidRPr="006E4546" w:rsidRDefault="00BF7649" w:rsidP="000E1D3A">
            <w:pPr>
              <w:pStyle w:val="TableParagraph"/>
              <w:spacing w:line="288" w:lineRule="exact"/>
              <w:rPr>
                <w:sz w:val="24"/>
              </w:rPr>
            </w:pPr>
            <w:r w:rsidRPr="006E4546">
              <w:rPr>
                <w:sz w:val="24"/>
              </w:rPr>
              <w:t xml:space="preserve">Service 1 2017 </w:t>
            </w:r>
          </w:p>
          <w:p w:rsidR="00BF7649" w:rsidRPr="006E4546" w:rsidRDefault="00BF7649" w:rsidP="000E1D3A">
            <w:r w:rsidRPr="006E4546">
              <w:rPr>
                <w:sz w:val="24"/>
              </w:rPr>
              <w:t>$000</w:t>
            </w:r>
          </w:p>
        </w:tc>
        <w:tc>
          <w:tcPr>
            <w:tcW w:w="1134" w:type="dxa"/>
          </w:tcPr>
          <w:p w:rsidR="00BF7649" w:rsidRPr="006E4546" w:rsidRDefault="00BF7649" w:rsidP="000E1D3A">
            <w:r w:rsidRPr="006E4546">
              <w:rPr>
                <w:sz w:val="24"/>
              </w:rPr>
              <w:t>Service 2 (a) 2018 $000</w:t>
            </w:r>
          </w:p>
        </w:tc>
        <w:tc>
          <w:tcPr>
            <w:tcW w:w="1276" w:type="dxa"/>
          </w:tcPr>
          <w:p w:rsidR="00BF7649" w:rsidRPr="006E4546" w:rsidRDefault="00BF7649" w:rsidP="000E1D3A">
            <w:r w:rsidRPr="006E4546">
              <w:rPr>
                <w:sz w:val="24"/>
              </w:rPr>
              <w:t>Service 2 (a) 2017 $000</w:t>
            </w:r>
          </w:p>
        </w:tc>
        <w:tc>
          <w:tcPr>
            <w:tcW w:w="1134" w:type="dxa"/>
          </w:tcPr>
          <w:p w:rsidR="00BF7649" w:rsidRPr="006E4546" w:rsidRDefault="00BF7649" w:rsidP="000E1D3A">
            <w:r w:rsidRPr="006E4546">
              <w:rPr>
                <w:sz w:val="24"/>
              </w:rPr>
              <w:t>2018 $000</w:t>
            </w:r>
          </w:p>
        </w:tc>
        <w:tc>
          <w:tcPr>
            <w:tcW w:w="992" w:type="dxa"/>
          </w:tcPr>
          <w:p w:rsidR="00BF7649" w:rsidRPr="006E4546" w:rsidRDefault="00BF7649" w:rsidP="000E1D3A">
            <w:r w:rsidRPr="006E4546">
              <w:rPr>
                <w:sz w:val="24"/>
              </w:rPr>
              <w:t>Total 2017 $000</w:t>
            </w:r>
          </w:p>
        </w:tc>
      </w:tr>
      <w:tr w:rsidR="00BF7649" w:rsidTr="00BF7649">
        <w:tc>
          <w:tcPr>
            <w:tcW w:w="8080" w:type="dxa"/>
          </w:tcPr>
          <w:p w:rsidR="00BF7649" w:rsidRDefault="00BF7649" w:rsidP="000E1D3A">
            <w:r>
              <w:rPr>
                <w:sz w:val="24"/>
              </w:rPr>
              <w:t>Service appropriation</w:t>
            </w:r>
          </w:p>
        </w:tc>
        <w:tc>
          <w:tcPr>
            <w:tcW w:w="1276" w:type="dxa"/>
          </w:tcPr>
          <w:p w:rsidR="00BF7649" w:rsidRDefault="00BF7649" w:rsidP="000E1D3A">
            <w:r>
              <w:t>3403</w:t>
            </w:r>
          </w:p>
        </w:tc>
        <w:tc>
          <w:tcPr>
            <w:tcW w:w="1559" w:type="dxa"/>
          </w:tcPr>
          <w:p w:rsidR="00BF7649" w:rsidRDefault="00BF7649" w:rsidP="000E1D3A">
            <w:r>
              <w:t>3077</w:t>
            </w:r>
          </w:p>
        </w:tc>
        <w:tc>
          <w:tcPr>
            <w:tcW w:w="1134" w:type="dxa"/>
          </w:tcPr>
          <w:p w:rsidR="00BF7649" w:rsidRDefault="00BF7649" w:rsidP="000E1D3A">
            <w:r>
              <w:t>0</w:t>
            </w:r>
          </w:p>
        </w:tc>
        <w:tc>
          <w:tcPr>
            <w:tcW w:w="1276" w:type="dxa"/>
          </w:tcPr>
          <w:p w:rsidR="00BF7649" w:rsidRDefault="00BF7649" w:rsidP="000E1D3A">
            <w:r>
              <w:t>4336</w:t>
            </w:r>
          </w:p>
        </w:tc>
        <w:tc>
          <w:tcPr>
            <w:tcW w:w="1134" w:type="dxa"/>
          </w:tcPr>
          <w:p w:rsidR="00BF7649" w:rsidRDefault="00BF7649" w:rsidP="000E1D3A">
            <w:r>
              <w:t>3403</w:t>
            </w:r>
          </w:p>
        </w:tc>
        <w:tc>
          <w:tcPr>
            <w:tcW w:w="992" w:type="dxa"/>
          </w:tcPr>
          <w:p w:rsidR="00BF7649" w:rsidRDefault="00BF7649" w:rsidP="000E1D3A">
            <w:r>
              <w:t>7413</w:t>
            </w:r>
          </w:p>
        </w:tc>
      </w:tr>
      <w:tr w:rsidR="00BF7649" w:rsidTr="00BF7649">
        <w:tc>
          <w:tcPr>
            <w:tcW w:w="8080" w:type="dxa"/>
          </w:tcPr>
          <w:p w:rsidR="00BF7649" w:rsidRDefault="00BF7649" w:rsidP="000E1D3A">
            <w:r>
              <w:rPr>
                <w:sz w:val="24"/>
              </w:rPr>
              <w:t>Resources received free of charge</w:t>
            </w:r>
          </w:p>
        </w:tc>
        <w:tc>
          <w:tcPr>
            <w:tcW w:w="1276" w:type="dxa"/>
          </w:tcPr>
          <w:p w:rsidR="00BF7649" w:rsidRDefault="00BF7649" w:rsidP="000E1D3A">
            <w:r>
              <w:t>96</w:t>
            </w:r>
          </w:p>
        </w:tc>
        <w:tc>
          <w:tcPr>
            <w:tcW w:w="1559" w:type="dxa"/>
          </w:tcPr>
          <w:p w:rsidR="00BF7649" w:rsidRDefault="00BF7649" w:rsidP="000E1D3A">
            <w:r>
              <w:t>111</w:t>
            </w:r>
          </w:p>
        </w:tc>
        <w:tc>
          <w:tcPr>
            <w:tcW w:w="1134" w:type="dxa"/>
          </w:tcPr>
          <w:p w:rsidR="00BF7649" w:rsidRDefault="00BF7649" w:rsidP="000E1D3A">
            <w:r>
              <w:t>0</w:t>
            </w:r>
          </w:p>
        </w:tc>
        <w:tc>
          <w:tcPr>
            <w:tcW w:w="1276" w:type="dxa"/>
          </w:tcPr>
          <w:p w:rsidR="00BF7649" w:rsidRDefault="00BF7649" w:rsidP="000E1D3A">
            <w:r>
              <w:t>0</w:t>
            </w:r>
          </w:p>
        </w:tc>
        <w:tc>
          <w:tcPr>
            <w:tcW w:w="1134" w:type="dxa"/>
          </w:tcPr>
          <w:p w:rsidR="00BF7649" w:rsidRDefault="00BF7649" w:rsidP="000E1D3A">
            <w:r>
              <w:t>93</w:t>
            </w:r>
          </w:p>
        </w:tc>
        <w:tc>
          <w:tcPr>
            <w:tcW w:w="992" w:type="dxa"/>
          </w:tcPr>
          <w:p w:rsidR="00BF7649" w:rsidRDefault="00BF7649" w:rsidP="000E1D3A">
            <w:r>
              <w:t>111</w:t>
            </w:r>
          </w:p>
        </w:tc>
      </w:tr>
      <w:tr w:rsidR="00BF7649" w:rsidTr="00BF7649">
        <w:tc>
          <w:tcPr>
            <w:tcW w:w="8080" w:type="dxa"/>
          </w:tcPr>
          <w:p w:rsidR="00BF7649" w:rsidRPr="006E4546" w:rsidRDefault="00BF7649" w:rsidP="000E1D3A">
            <w:r w:rsidRPr="006E4546">
              <w:rPr>
                <w:sz w:val="24"/>
              </w:rPr>
              <w:t>Total income from State Government</w:t>
            </w:r>
          </w:p>
        </w:tc>
        <w:tc>
          <w:tcPr>
            <w:tcW w:w="1276" w:type="dxa"/>
          </w:tcPr>
          <w:p w:rsidR="00BF7649" w:rsidRDefault="00BF7649" w:rsidP="000E1D3A">
            <w:r>
              <w:t>3496</w:t>
            </w:r>
          </w:p>
        </w:tc>
        <w:tc>
          <w:tcPr>
            <w:tcW w:w="1559" w:type="dxa"/>
          </w:tcPr>
          <w:p w:rsidR="00BF7649" w:rsidRDefault="00BF7649" w:rsidP="000E1D3A">
            <w:r>
              <w:t>3188</w:t>
            </w:r>
          </w:p>
        </w:tc>
        <w:tc>
          <w:tcPr>
            <w:tcW w:w="1134" w:type="dxa"/>
          </w:tcPr>
          <w:p w:rsidR="00BF7649" w:rsidRDefault="00BF7649" w:rsidP="000E1D3A">
            <w:r>
              <w:t>0</w:t>
            </w:r>
          </w:p>
        </w:tc>
        <w:tc>
          <w:tcPr>
            <w:tcW w:w="1276" w:type="dxa"/>
          </w:tcPr>
          <w:p w:rsidR="00BF7649" w:rsidRDefault="00BF7649" w:rsidP="000E1D3A">
            <w:r>
              <w:t>4336</w:t>
            </w:r>
          </w:p>
        </w:tc>
        <w:tc>
          <w:tcPr>
            <w:tcW w:w="1134" w:type="dxa"/>
          </w:tcPr>
          <w:p w:rsidR="00BF7649" w:rsidRDefault="00BF7649" w:rsidP="000E1D3A">
            <w:r>
              <w:t>3496</w:t>
            </w:r>
          </w:p>
        </w:tc>
        <w:tc>
          <w:tcPr>
            <w:tcW w:w="992" w:type="dxa"/>
          </w:tcPr>
          <w:p w:rsidR="00BF7649" w:rsidRDefault="00BF7649" w:rsidP="000E1D3A">
            <w:r>
              <w:t>7524</w:t>
            </w:r>
          </w:p>
        </w:tc>
      </w:tr>
      <w:tr w:rsidR="00BF7649" w:rsidTr="00BF7649">
        <w:tc>
          <w:tcPr>
            <w:tcW w:w="8080" w:type="dxa"/>
          </w:tcPr>
          <w:p w:rsidR="00BF7649" w:rsidRPr="006E4546" w:rsidRDefault="00BF7649" w:rsidP="00BF7649">
            <w:r w:rsidRPr="006E4546">
              <w:rPr>
                <w:sz w:val="24"/>
              </w:rPr>
              <w:t>SURPLUS/(DEFICIT) FOR THE PERIOD</w:t>
            </w:r>
          </w:p>
        </w:tc>
        <w:tc>
          <w:tcPr>
            <w:tcW w:w="1276" w:type="dxa"/>
          </w:tcPr>
          <w:p w:rsidR="00BF7649" w:rsidRDefault="00BF7649" w:rsidP="000E1D3A">
            <w:r>
              <w:t>2179</w:t>
            </w:r>
          </w:p>
        </w:tc>
        <w:tc>
          <w:tcPr>
            <w:tcW w:w="1559" w:type="dxa"/>
          </w:tcPr>
          <w:p w:rsidR="00BF7649" w:rsidRDefault="00BF7649" w:rsidP="000E1D3A">
            <w:r>
              <w:t>29</w:t>
            </w:r>
          </w:p>
        </w:tc>
        <w:tc>
          <w:tcPr>
            <w:tcW w:w="1134" w:type="dxa"/>
          </w:tcPr>
          <w:p w:rsidR="00BF7649" w:rsidRDefault="00BF7649" w:rsidP="000E1D3A">
            <w:r>
              <w:t>0</w:t>
            </w:r>
          </w:p>
        </w:tc>
        <w:tc>
          <w:tcPr>
            <w:tcW w:w="1276" w:type="dxa"/>
          </w:tcPr>
          <w:p w:rsidR="00BF7649" w:rsidRDefault="00BF7649" w:rsidP="000E1D3A">
            <w:r>
              <w:t>2110</w:t>
            </w:r>
          </w:p>
        </w:tc>
        <w:tc>
          <w:tcPr>
            <w:tcW w:w="1134" w:type="dxa"/>
          </w:tcPr>
          <w:p w:rsidR="00BF7649" w:rsidRDefault="00BF7649" w:rsidP="000E1D3A">
            <w:r>
              <w:t>2179</w:t>
            </w:r>
          </w:p>
        </w:tc>
        <w:tc>
          <w:tcPr>
            <w:tcW w:w="992" w:type="dxa"/>
          </w:tcPr>
          <w:p w:rsidR="00BF7649" w:rsidRDefault="00BF7649" w:rsidP="000E1D3A">
            <w:r>
              <w:t>2139</w:t>
            </w:r>
          </w:p>
        </w:tc>
      </w:tr>
    </w:tbl>
    <w:p w:rsidR="00BF7649" w:rsidRDefault="00BF7649">
      <w:pPr>
        <w:pStyle w:val="BodyText"/>
        <w:spacing w:line="235" w:lineRule="auto"/>
        <w:ind w:left="679" w:right="678"/>
      </w:pPr>
    </w:p>
    <w:p w:rsidR="00A1463E" w:rsidRDefault="004358AD">
      <w:pPr>
        <w:pStyle w:val="BodyText"/>
        <w:spacing w:line="235" w:lineRule="auto"/>
        <w:ind w:left="679" w:right="678"/>
      </w:pPr>
      <w:r>
        <w:t xml:space="preserve">The Schedule of Income and Expenses by Service should be read in conjunction with the accompanying notes. </w:t>
      </w:r>
      <w:r w:rsidR="00F52429">
        <w:t>Service 1: Establishment of a Platform for the Delivery of Better Government Services through Efficient Development of ICT Strategy, Policies and Solutions Service 2: Establishment of a $20 million innovation package to grow the WA innovation ecosystem and innovation activity through the delivery of programs, services and events</w:t>
      </w:r>
    </w:p>
    <w:p w:rsidR="00A1463E" w:rsidRDefault="00F52429">
      <w:pPr>
        <w:pStyle w:val="BodyText"/>
        <w:spacing w:line="291" w:lineRule="exact"/>
        <w:ind w:left="679"/>
      </w:pPr>
      <w:r>
        <w:t>(a) Service 2 was transferred to the Department of Jobs, Tourism, Science and Innovation on 01/07/17.</w:t>
      </w:r>
    </w:p>
    <w:p w:rsidR="00A1463E" w:rsidRDefault="00A1463E">
      <w:pPr>
        <w:spacing w:line="291" w:lineRule="exact"/>
        <w:sectPr w:rsidR="00A1463E">
          <w:pgSz w:w="16840" w:h="11910" w:orient="landscape"/>
          <w:pgMar w:top="540" w:right="0" w:bottom="360" w:left="0" w:header="229" w:footer="145" w:gutter="0"/>
          <w:cols w:space="720"/>
        </w:sectPr>
      </w:pPr>
    </w:p>
    <w:p w:rsidR="00A1463E" w:rsidRDefault="00A1463E">
      <w:pPr>
        <w:pStyle w:val="BodyText"/>
        <w:spacing w:before="7"/>
        <w:rPr>
          <w:sz w:val="8"/>
        </w:rPr>
      </w:pPr>
    </w:p>
    <w:p w:rsidR="00A1463E" w:rsidRDefault="00F52429">
      <w:pPr>
        <w:spacing w:before="36"/>
        <w:ind w:left="673"/>
        <w:rPr>
          <w:sz w:val="28"/>
        </w:rPr>
      </w:pPr>
      <w:bookmarkStart w:id="41" w:name="schedule_of_assets_and_liabilities_by_se"/>
      <w:bookmarkStart w:id="42" w:name="_bookmark31"/>
      <w:bookmarkEnd w:id="41"/>
      <w:bookmarkEnd w:id="42"/>
      <w:r>
        <w:rPr>
          <w:color w:val="353434"/>
          <w:sz w:val="32"/>
        </w:rPr>
        <w:t xml:space="preserve">SCHEDULE OF ASSETS AND LIABILITIES BY SERVICE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6"/>
        <w:rPr>
          <w:sz w:val="28"/>
        </w:rPr>
      </w:pPr>
    </w:p>
    <w:tbl>
      <w:tblPr>
        <w:tblStyle w:val="TableGrid"/>
        <w:tblW w:w="0" w:type="auto"/>
        <w:tblInd w:w="704" w:type="dxa"/>
        <w:tblLook w:val="04A0" w:firstRow="1" w:lastRow="0" w:firstColumn="1" w:lastColumn="0" w:noHBand="0" w:noVBand="1"/>
        <w:tblCaption w:val="schedule of assets "/>
        <w:tblDescription w:val="schedule of current, non current and total assets by service"/>
      </w:tblPr>
      <w:tblGrid>
        <w:gridCol w:w="2126"/>
        <w:gridCol w:w="2127"/>
        <w:gridCol w:w="2255"/>
        <w:gridCol w:w="2404"/>
        <w:gridCol w:w="2404"/>
        <w:gridCol w:w="2405"/>
        <w:gridCol w:w="2013"/>
      </w:tblGrid>
      <w:tr w:rsidR="00841F49" w:rsidTr="00841F49">
        <w:trPr>
          <w:tblHeader/>
        </w:trPr>
        <w:tc>
          <w:tcPr>
            <w:tcW w:w="2126" w:type="dxa"/>
            <w:vAlign w:val="bottom"/>
          </w:tcPr>
          <w:p w:rsidR="00841F49" w:rsidRPr="00841F49" w:rsidRDefault="00841F49" w:rsidP="00841F49">
            <w:pPr>
              <w:pStyle w:val="BodyText"/>
            </w:pPr>
            <w:r>
              <w:t>Assets</w:t>
            </w:r>
          </w:p>
        </w:tc>
        <w:tc>
          <w:tcPr>
            <w:tcW w:w="2127" w:type="dxa"/>
            <w:vAlign w:val="bottom"/>
          </w:tcPr>
          <w:p w:rsidR="00841F49" w:rsidRPr="00841F49" w:rsidRDefault="00841F49" w:rsidP="00841F49">
            <w:pPr>
              <w:pStyle w:val="BodyText"/>
            </w:pPr>
            <w:r>
              <w:t>Service 1 2018 $000</w:t>
            </w:r>
          </w:p>
        </w:tc>
        <w:tc>
          <w:tcPr>
            <w:tcW w:w="2255" w:type="dxa"/>
            <w:vAlign w:val="bottom"/>
          </w:tcPr>
          <w:p w:rsidR="00841F49" w:rsidRPr="00841F49" w:rsidRDefault="00841F49" w:rsidP="00841F49">
            <w:pPr>
              <w:pStyle w:val="BodyText"/>
            </w:pPr>
            <w:r>
              <w:t>Service 1 2017 $000</w:t>
            </w:r>
          </w:p>
        </w:tc>
        <w:tc>
          <w:tcPr>
            <w:tcW w:w="2404" w:type="dxa"/>
            <w:vAlign w:val="bottom"/>
          </w:tcPr>
          <w:p w:rsidR="00841F49" w:rsidRPr="00841F49" w:rsidRDefault="00841F49" w:rsidP="00841F49">
            <w:pPr>
              <w:pStyle w:val="BodyText"/>
            </w:pPr>
            <w:r>
              <w:t>Service 2 (a) 2018 $000</w:t>
            </w:r>
          </w:p>
        </w:tc>
        <w:tc>
          <w:tcPr>
            <w:tcW w:w="2404" w:type="dxa"/>
            <w:vAlign w:val="bottom"/>
          </w:tcPr>
          <w:p w:rsidR="00841F49" w:rsidRPr="00841F49" w:rsidRDefault="00841F49" w:rsidP="00841F49">
            <w:pPr>
              <w:pStyle w:val="BodyText"/>
            </w:pPr>
            <w:r>
              <w:t>Service 2 (a) 2017 $000</w:t>
            </w:r>
          </w:p>
        </w:tc>
        <w:tc>
          <w:tcPr>
            <w:tcW w:w="2405" w:type="dxa"/>
            <w:vAlign w:val="bottom"/>
          </w:tcPr>
          <w:p w:rsidR="00841F49" w:rsidRPr="00841F49" w:rsidRDefault="00841F49" w:rsidP="00841F49">
            <w:pPr>
              <w:pStyle w:val="BodyText"/>
            </w:pPr>
            <w:r>
              <w:t>2018 $000</w:t>
            </w:r>
          </w:p>
        </w:tc>
        <w:tc>
          <w:tcPr>
            <w:tcW w:w="2013" w:type="dxa"/>
            <w:vAlign w:val="bottom"/>
          </w:tcPr>
          <w:p w:rsidR="00841F49" w:rsidRPr="00841F49" w:rsidRDefault="00841F49" w:rsidP="00841F49">
            <w:pPr>
              <w:pStyle w:val="BodyText"/>
            </w:pPr>
            <w:r>
              <w:t>Total 2017 $000</w:t>
            </w:r>
          </w:p>
        </w:tc>
      </w:tr>
      <w:tr w:rsidR="00841F49" w:rsidTr="00841F49">
        <w:tc>
          <w:tcPr>
            <w:tcW w:w="2126" w:type="dxa"/>
          </w:tcPr>
          <w:p w:rsidR="00841F49" w:rsidRPr="00841F49" w:rsidRDefault="00841F49" w:rsidP="00841F49">
            <w:pPr>
              <w:pStyle w:val="BodyText"/>
            </w:pPr>
            <w:r>
              <w:t>Current assets</w:t>
            </w:r>
          </w:p>
        </w:tc>
        <w:tc>
          <w:tcPr>
            <w:tcW w:w="2127" w:type="dxa"/>
          </w:tcPr>
          <w:p w:rsidR="00841F49" w:rsidRPr="00841F49" w:rsidRDefault="00841F49" w:rsidP="00841F49">
            <w:pPr>
              <w:pStyle w:val="BodyText"/>
            </w:pPr>
            <w:r>
              <w:t>3,238</w:t>
            </w:r>
          </w:p>
        </w:tc>
        <w:tc>
          <w:tcPr>
            <w:tcW w:w="2255" w:type="dxa"/>
          </w:tcPr>
          <w:p w:rsidR="00841F49" w:rsidRPr="00841F49" w:rsidRDefault="00841F49" w:rsidP="00841F49">
            <w:pPr>
              <w:pStyle w:val="Pa31"/>
              <w:spacing w:after="160"/>
              <w:rPr>
                <w:color w:val="000000"/>
                <w:sz w:val="23"/>
                <w:szCs w:val="23"/>
              </w:rPr>
            </w:pPr>
            <w:r>
              <w:rPr>
                <w:color w:val="000000"/>
                <w:sz w:val="23"/>
                <w:szCs w:val="23"/>
              </w:rPr>
              <w:t xml:space="preserve">2,565 </w:t>
            </w:r>
          </w:p>
        </w:tc>
        <w:tc>
          <w:tcPr>
            <w:tcW w:w="2404" w:type="dxa"/>
          </w:tcPr>
          <w:p w:rsidR="00841F49" w:rsidRPr="00841F49" w:rsidRDefault="00841F49" w:rsidP="00841F49">
            <w:pPr>
              <w:pStyle w:val="BodyText"/>
            </w:pPr>
            <w:r>
              <w:t>0</w:t>
            </w:r>
          </w:p>
        </w:tc>
        <w:tc>
          <w:tcPr>
            <w:tcW w:w="2404" w:type="dxa"/>
          </w:tcPr>
          <w:p w:rsidR="00841F49" w:rsidRPr="00841F49" w:rsidRDefault="00841F49" w:rsidP="00841F49">
            <w:pPr>
              <w:pStyle w:val="Pa31"/>
              <w:spacing w:after="160"/>
              <w:rPr>
                <w:color w:val="000000"/>
                <w:sz w:val="23"/>
                <w:szCs w:val="23"/>
              </w:rPr>
            </w:pPr>
            <w:r>
              <w:rPr>
                <w:color w:val="000000"/>
                <w:sz w:val="23"/>
                <w:szCs w:val="23"/>
              </w:rPr>
              <w:t xml:space="preserve">2,818 </w:t>
            </w:r>
          </w:p>
        </w:tc>
        <w:tc>
          <w:tcPr>
            <w:tcW w:w="2405" w:type="dxa"/>
          </w:tcPr>
          <w:p w:rsidR="00841F49" w:rsidRPr="00841F49" w:rsidRDefault="00841F49" w:rsidP="00841F49">
            <w:pPr>
              <w:pStyle w:val="Pa31"/>
              <w:spacing w:after="160"/>
              <w:rPr>
                <w:color w:val="000000"/>
                <w:sz w:val="23"/>
                <w:szCs w:val="23"/>
              </w:rPr>
            </w:pPr>
            <w:r>
              <w:rPr>
                <w:color w:val="000000"/>
                <w:sz w:val="23"/>
                <w:szCs w:val="23"/>
              </w:rPr>
              <w:t xml:space="preserve">3,238 </w:t>
            </w:r>
          </w:p>
        </w:tc>
        <w:tc>
          <w:tcPr>
            <w:tcW w:w="2013" w:type="dxa"/>
          </w:tcPr>
          <w:p w:rsidR="00841F49" w:rsidRPr="00841F49" w:rsidRDefault="00841F49" w:rsidP="00841F49">
            <w:pPr>
              <w:pStyle w:val="Pa31"/>
              <w:spacing w:after="160"/>
              <w:rPr>
                <w:color w:val="000000"/>
                <w:sz w:val="23"/>
                <w:szCs w:val="23"/>
              </w:rPr>
            </w:pPr>
            <w:r>
              <w:rPr>
                <w:color w:val="000000"/>
                <w:sz w:val="23"/>
                <w:szCs w:val="23"/>
              </w:rPr>
              <w:t xml:space="preserve">5,383 </w:t>
            </w:r>
          </w:p>
        </w:tc>
      </w:tr>
      <w:tr w:rsidR="00841F49" w:rsidTr="00841F49">
        <w:trPr>
          <w:trHeight w:val="420"/>
        </w:trPr>
        <w:tc>
          <w:tcPr>
            <w:tcW w:w="2126" w:type="dxa"/>
          </w:tcPr>
          <w:p w:rsidR="00841F49" w:rsidRPr="00841F49" w:rsidRDefault="00D40680" w:rsidP="00841F49">
            <w:pPr>
              <w:pStyle w:val="BodyText"/>
            </w:pPr>
            <w:r>
              <w:t>Non-current</w:t>
            </w:r>
            <w:r w:rsidR="00841F49">
              <w:t xml:space="preserve"> assets</w:t>
            </w:r>
          </w:p>
        </w:tc>
        <w:tc>
          <w:tcPr>
            <w:tcW w:w="2127" w:type="dxa"/>
          </w:tcPr>
          <w:p w:rsidR="00841F49" w:rsidRPr="00841F49" w:rsidRDefault="00841F49" w:rsidP="00841F49">
            <w:pPr>
              <w:pStyle w:val="Pa31"/>
              <w:spacing w:after="160"/>
              <w:rPr>
                <w:color w:val="000000"/>
                <w:sz w:val="23"/>
                <w:szCs w:val="23"/>
              </w:rPr>
            </w:pPr>
            <w:r>
              <w:rPr>
                <w:color w:val="000000"/>
                <w:sz w:val="23"/>
                <w:szCs w:val="23"/>
              </w:rPr>
              <w:t xml:space="preserve">1,499 </w:t>
            </w:r>
          </w:p>
        </w:tc>
        <w:tc>
          <w:tcPr>
            <w:tcW w:w="2255" w:type="dxa"/>
          </w:tcPr>
          <w:p w:rsidR="00841F49" w:rsidRPr="00841F49" w:rsidRDefault="00841F49" w:rsidP="00841F49">
            <w:pPr>
              <w:pStyle w:val="BodyText"/>
            </w:pPr>
            <w:r>
              <w:t>0</w:t>
            </w:r>
          </w:p>
        </w:tc>
        <w:tc>
          <w:tcPr>
            <w:tcW w:w="2404" w:type="dxa"/>
          </w:tcPr>
          <w:p w:rsidR="00841F49" w:rsidRPr="00841F49" w:rsidRDefault="00841F49" w:rsidP="00841F49">
            <w:pPr>
              <w:pStyle w:val="BodyText"/>
            </w:pPr>
            <w:r>
              <w:t>0</w:t>
            </w:r>
          </w:p>
        </w:tc>
        <w:tc>
          <w:tcPr>
            <w:tcW w:w="2404" w:type="dxa"/>
          </w:tcPr>
          <w:p w:rsidR="00841F49" w:rsidRPr="00841F49" w:rsidRDefault="00841F49" w:rsidP="00841F49">
            <w:pPr>
              <w:pStyle w:val="BodyText"/>
            </w:pPr>
            <w:r>
              <w:t>0</w:t>
            </w:r>
          </w:p>
        </w:tc>
        <w:tc>
          <w:tcPr>
            <w:tcW w:w="2405" w:type="dxa"/>
          </w:tcPr>
          <w:p w:rsidR="00841F49" w:rsidRPr="00841F49" w:rsidRDefault="00841F49" w:rsidP="00841F49">
            <w:pPr>
              <w:pStyle w:val="Pa31"/>
              <w:spacing w:after="160"/>
              <w:rPr>
                <w:color w:val="000000"/>
                <w:sz w:val="23"/>
                <w:szCs w:val="23"/>
              </w:rPr>
            </w:pPr>
            <w:r>
              <w:rPr>
                <w:color w:val="000000"/>
                <w:sz w:val="23"/>
                <w:szCs w:val="23"/>
              </w:rPr>
              <w:t xml:space="preserve">1,499 </w:t>
            </w:r>
          </w:p>
        </w:tc>
        <w:tc>
          <w:tcPr>
            <w:tcW w:w="2013" w:type="dxa"/>
          </w:tcPr>
          <w:p w:rsidR="00841F49" w:rsidRPr="00841F49" w:rsidRDefault="00841F49" w:rsidP="00841F49">
            <w:pPr>
              <w:pStyle w:val="BodyText"/>
            </w:pPr>
            <w:r>
              <w:t>0</w:t>
            </w:r>
          </w:p>
        </w:tc>
      </w:tr>
      <w:tr w:rsidR="00841F49" w:rsidTr="00841F49">
        <w:tc>
          <w:tcPr>
            <w:tcW w:w="2126" w:type="dxa"/>
          </w:tcPr>
          <w:p w:rsidR="00841F49" w:rsidRPr="00841F49" w:rsidRDefault="00841F49" w:rsidP="00841F49">
            <w:pPr>
              <w:pStyle w:val="BodyText"/>
            </w:pPr>
            <w:r>
              <w:t>Total assets</w:t>
            </w:r>
          </w:p>
        </w:tc>
        <w:tc>
          <w:tcPr>
            <w:tcW w:w="2127" w:type="dxa"/>
          </w:tcPr>
          <w:p w:rsidR="00841F49" w:rsidRPr="00841F49" w:rsidRDefault="00841F49" w:rsidP="00841F49">
            <w:pPr>
              <w:pStyle w:val="Pa31"/>
              <w:spacing w:after="160"/>
              <w:rPr>
                <w:color w:val="000000"/>
                <w:sz w:val="23"/>
                <w:szCs w:val="23"/>
              </w:rPr>
            </w:pPr>
            <w:r w:rsidRPr="00841F49">
              <w:rPr>
                <w:bCs/>
                <w:color w:val="000000"/>
                <w:sz w:val="23"/>
                <w:szCs w:val="23"/>
              </w:rPr>
              <w:t xml:space="preserve">4,737 </w:t>
            </w:r>
          </w:p>
        </w:tc>
        <w:tc>
          <w:tcPr>
            <w:tcW w:w="2255" w:type="dxa"/>
          </w:tcPr>
          <w:p w:rsidR="00841F49" w:rsidRPr="00841F49" w:rsidRDefault="00841F49" w:rsidP="00841F49">
            <w:pPr>
              <w:pStyle w:val="Pa31"/>
              <w:spacing w:after="160"/>
              <w:rPr>
                <w:color w:val="000000"/>
                <w:sz w:val="23"/>
                <w:szCs w:val="23"/>
              </w:rPr>
            </w:pPr>
            <w:r w:rsidRPr="00841F49">
              <w:rPr>
                <w:bCs/>
                <w:color w:val="000000"/>
                <w:sz w:val="23"/>
                <w:szCs w:val="23"/>
              </w:rPr>
              <w:t xml:space="preserve">2,565 </w:t>
            </w:r>
          </w:p>
        </w:tc>
        <w:tc>
          <w:tcPr>
            <w:tcW w:w="2404" w:type="dxa"/>
          </w:tcPr>
          <w:p w:rsidR="00841F49" w:rsidRPr="00841F49" w:rsidRDefault="00841F49" w:rsidP="00841F49">
            <w:pPr>
              <w:pStyle w:val="BodyText"/>
            </w:pPr>
            <w:r>
              <w:t>0</w:t>
            </w:r>
          </w:p>
        </w:tc>
        <w:tc>
          <w:tcPr>
            <w:tcW w:w="2404" w:type="dxa"/>
          </w:tcPr>
          <w:p w:rsidR="00841F49" w:rsidRPr="00841F49" w:rsidRDefault="00841F49" w:rsidP="00841F49">
            <w:pPr>
              <w:pStyle w:val="Pa31"/>
              <w:spacing w:after="160"/>
              <w:rPr>
                <w:color w:val="000000"/>
                <w:sz w:val="23"/>
                <w:szCs w:val="23"/>
              </w:rPr>
            </w:pPr>
            <w:r w:rsidRPr="00841F49">
              <w:rPr>
                <w:bCs/>
                <w:color w:val="000000"/>
                <w:sz w:val="23"/>
                <w:szCs w:val="23"/>
              </w:rPr>
              <w:t xml:space="preserve">2,818 </w:t>
            </w:r>
          </w:p>
        </w:tc>
        <w:tc>
          <w:tcPr>
            <w:tcW w:w="2405" w:type="dxa"/>
          </w:tcPr>
          <w:p w:rsidR="00841F49" w:rsidRPr="00841F49" w:rsidRDefault="00841F49" w:rsidP="00841F49">
            <w:pPr>
              <w:pStyle w:val="Pa31"/>
              <w:spacing w:after="160"/>
              <w:rPr>
                <w:color w:val="000000"/>
                <w:sz w:val="23"/>
                <w:szCs w:val="23"/>
              </w:rPr>
            </w:pPr>
            <w:r w:rsidRPr="00841F49">
              <w:rPr>
                <w:bCs/>
                <w:color w:val="000000"/>
                <w:sz w:val="23"/>
                <w:szCs w:val="23"/>
              </w:rPr>
              <w:t xml:space="preserve">4,737 </w:t>
            </w:r>
          </w:p>
        </w:tc>
        <w:tc>
          <w:tcPr>
            <w:tcW w:w="2013" w:type="dxa"/>
          </w:tcPr>
          <w:p w:rsidR="00841F49" w:rsidRPr="00841F49" w:rsidRDefault="00841F49" w:rsidP="00841F49">
            <w:pPr>
              <w:pStyle w:val="Pa31"/>
              <w:spacing w:after="160"/>
              <w:rPr>
                <w:color w:val="000000"/>
                <w:sz w:val="23"/>
                <w:szCs w:val="23"/>
              </w:rPr>
            </w:pPr>
            <w:r w:rsidRPr="00841F49">
              <w:rPr>
                <w:bCs/>
                <w:color w:val="000000"/>
                <w:sz w:val="23"/>
                <w:szCs w:val="23"/>
              </w:rPr>
              <w:t xml:space="preserve">5,383 </w:t>
            </w:r>
          </w:p>
        </w:tc>
      </w:tr>
    </w:tbl>
    <w:p w:rsidR="00A1463E" w:rsidRDefault="00A1463E">
      <w:pPr>
        <w:pStyle w:val="BodyText"/>
        <w:spacing w:before="3"/>
        <w:rPr>
          <w:sz w:val="10"/>
        </w:rPr>
      </w:pPr>
    </w:p>
    <w:tbl>
      <w:tblPr>
        <w:tblStyle w:val="TableGrid"/>
        <w:tblW w:w="0" w:type="auto"/>
        <w:tblInd w:w="680" w:type="dxa"/>
        <w:tblLook w:val="04A0" w:firstRow="1" w:lastRow="0" w:firstColumn="1" w:lastColumn="0" w:noHBand="0" w:noVBand="1"/>
        <w:tblCaption w:val="schedule of liabilities"/>
        <w:tblDescription w:val="schedule of current, non current and total liabilities as well as net assets"/>
      </w:tblPr>
      <w:tblGrid>
        <w:gridCol w:w="2150"/>
        <w:gridCol w:w="2127"/>
        <w:gridCol w:w="2268"/>
        <w:gridCol w:w="2409"/>
        <w:gridCol w:w="2410"/>
        <w:gridCol w:w="2410"/>
        <w:gridCol w:w="1984"/>
      </w:tblGrid>
      <w:tr w:rsidR="00841F49" w:rsidTr="00841F49">
        <w:trPr>
          <w:tblHeader/>
        </w:trPr>
        <w:tc>
          <w:tcPr>
            <w:tcW w:w="2150" w:type="dxa"/>
            <w:vAlign w:val="bottom"/>
          </w:tcPr>
          <w:p w:rsidR="00841F49" w:rsidRDefault="00841F49" w:rsidP="00841F49">
            <w:pPr>
              <w:pStyle w:val="BodyText"/>
              <w:spacing w:before="146"/>
            </w:pPr>
            <w:r>
              <w:t>Liabilities</w:t>
            </w:r>
          </w:p>
        </w:tc>
        <w:tc>
          <w:tcPr>
            <w:tcW w:w="2127" w:type="dxa"/>
            <w:vAlign w:val="bottom"/>
          </w:tcPr>
          <w:p w:rsidR="00841F49" w:rsidRDefault="00841F49" w:rsidP="00841F49">
            <w:pPr>
              <w:pStyle w:val="BodyText"/>
              <w:spacing w:before="146"/>
            </w:pPr>
            <w:r>
              <w:t>Service 1 2018 $000</w:t>
            </w:r>
          </w:p>
        </w:tc>
        <w:tc>
          <w:tcPr>
            <w:tcW w:w="2268" w:type="dxa"/>
            <w:vAlign w:val="bottom"/>
          </w:tcPr>
          <w:p w:rsidR="00841F49" w:rsidRDefault="00841F49" w:rsidP="00841F49">
            <w:pPr>
              <w:pStyle w:val="BodyText"/>
              <w:spacing w:before="146"/>
            </w:pPr>
            <w:r>
              <w:t>Service 1 2017 $000</w:t>
            </w:r>
          </w:p>
        </w:tc>
        <w:tc>
          <w:tcPr>
            <w:tcW w:w="2409" w:type="dxa"/>
            <w:vAlign w:val="bottom"/>
          </w:tcPr>
          <w:p w:rsidR="00841F49" w:rsidRDefault="00841F49" w:rsidP="00841F49">
            <w:pPr>
              <w:pStyle w:val="BodyText"/>
              <w:spacing w:before="146"/>
            </w:pPr>
            <w:r>
              <w:t>Service 2 (a) 2018 $000</w:t>
            </w:r>
          </w:p>
        </w:tc>
        <w:tc>
          <w:tcPr>
            <w:tcW w:w="2410" w:type="dxa"/>
            <w:vAlign w:val="bottom"/>
          </w:tcPr>
          <w:p w:rsidR="00841F49" w:rsidRDefault="00841F49" w:rsidP="00841F49">
            <w:pPr>
              <w:pStyle w:val="BodyText"/>
              <w:spacing w:before="146"/>
            </w:pPr>
            <w:r>
              <w:t>Service 2 (a) 2017 $000</w:t>
            </w:r>
          </w:p>
        </w:tc>
        <w:tc>
          <w:tcPr>
            <w:tcW w:w="2410" w:type="dxa"/>
            <w:vAlign w:val="bottom"/>
          </w:tcPr>
          <w:p w:rsidR="00841F49" w:rsidRDefault="00841F49" w:rsidP="00841F49">
            <w:pPr>
              <w:pStyle w:val="BodyText"/>
              <w:spacing w:before="146"/>
            </w:pPr>
            <w:r>
              <w:t>2018 $000</w:t>
            </w:r>
          </w:p>
        </w:tc>
        <w:tc>
          <w:tcPr>
            <w:tcW w:w="1984" w:type="dxa"/>
            <w:vAlign w:val="bottom"/>
          </w:tcPr>
          <w:p w:rsidR="00841F49" w:rsidRDefault="00841F49" w:rsidP="00841F49">
            <w:pPr>
              <w:pStyle w:val="BodyText"/>
              <w:spacing w:before="146"/>
            </w:pPr>
            <w:r>
              <w:t>Total 2017 $000</w:t>
            </w:r>
          </w:p>
        </w:tc>
      </w:tr>
      <w:tr w:rsidR="00841F49" w:rsidTr="00841F49">
        <w:tc>
          <w:tcPr>
            <w:tcW w:w="2150" w:type="dxa"/>
          </w:tcPr>
          <w:p w:rsidR="00841F49" w:rsidRDefault="00841F49">
            <w:pPr>
              <w:pStyle w:val="BodyText"/>
              <w:spacing w:before="146"/>
            </w:pPr>
            <w:r>
              <w:t>Current liabilities</w:t>
            </w:r>
          </w:p>
        </w:tc>
        <w:tc>
          <w:tcPr>
            <w:tcW w:w="2127" w:type="dxa"/>
            <w:vAlign w:val="bottom"/>
          </w:tcPr>
          <w:p w:rsidR="00841F49" w:rsidRDefault="00841F49" w:rsidP="00841F49">
            <w:pPr>
              <w:pStyle w:val="BodyText"/>
              <w:spacing w:before="146"/>
            </w:pPr>
            <w:r>
              <w:t>903</w:t>
            </w:r>
          </w:p>
        </w:tc>
        <w:tc>
          <w:tcPr>
            <w:tcW w:w="2268" w:type="dxa"/>
            <w:vAlign w:val="bottom"/>
          </w:tcPr>
          <w:p w:rsidR="00841F49" w:rsidRPr="00841F49" w:rsidRDefault="00841F49" w:rsidP="00841F49">
            <w:pPr>
              <w:pStyle w:val="Pa31"/>
              <w:spacing w:after="160"/>
              <w:rPr>
                <w:color w:val="000000"/>
                <w:sz w:val="23"/>
                <w:szCs w:val="23"/>
              </w:rPr>
            </w:pPr>
            <w:r>
              <w:rPr>
                <w:color w:val="000000"/>
                <w:sz w:val="23"/>
                <w:szCs w:val="23"/>
              </w:rPr>
              <w:t xml:space="preserve">1,977 </w:t>
            </w:r>
          </w:p>
        </w:tc>
        <w:tc>
          <w:tcPr>
            <w:tcW w:w="2409" w:type="dxa"/>
            <w:vAlign w:val="bottom"/>
          </w:tcPr>
          <w:p w:rsidR="00841F49" w:rsidRDefault="00841F49" w:rsidP="00841F49">
            <w:pPr>
              <w:pStyle w:val="BodyText"/>
              <w:spacing w:before="146"/>
            </w:pPr>
            <w:r>
              <w:t>0</w:t>
            </w:r>
          </w:p>
        </w:tc>
        <w:tc>
          <w:tcPr>
            <w:tcW w:w="2410" w:type="dxa"/>
            <w:vAlign w:val="bottom"/>
          </w:tcPr>
          <w:p w:rsidR="00841F49" w:rsidRDefault="00841F49" w:rsidP="00841F49">
            <w:pPr>
              <w:pStyle w:val="BodyText"/>
              <w:spacing w:before="146"/>
            </w:pPr>
            <w:r>
              <w:t>1,822</w:t>
            </w:r>
          </w:p>
        </w:tc>
        <w:tc>
          <w:tcPr>
            <w:tcW w:w="2410" w:type="dxa"/>
            <w:vAlign w:val="bottom"/>
          </w:tcPr>
          <w:p w:rsidR="00841F49" w:rsidRDefault="00841F49" w:rsidP="00841F49">
            <w:pPr>
              <w:pStyle w:val="BodyText"/>
              <w:spacing w:before="146"/>
            </w:pPr>
            <w:r>
              <w:t>903</w:t>
            </w:r>
          </w:p>
        </w:tc>
        <w:tc>
          <w:tcPr>
            <w:tcW w:w="1984" w:type="dxa"/>
            <w:vAlign w:val="bottom"/>
          </w:tcPr>
          <w:p w:rsidR="00841F49" w:rsidRDefault="00841F49" w:rsidP="00841F49">
            <w:pPr>
              <w:pStyle w:val="BodyText"/>
              <w:spacing w:before="146"/>
            </w:pPr>
            <w:r>
              <w:t>3,799</w:t>
            </w:r>
          </w:p>
        </w:tc>
      </w:tr>
      <w:tr w:rsidR="00841F49" w:rsidTr="00841F49">
        <w:tc>
          <w:tcPr>
            <w:tcW w:w="2150" w:type="dxa"/>
          </w:tcPr>
          <w:p w:rsidR="00841F49" w:rsidRDefault="00D40680">
            <w:pPr>
              <w:pStyle w:val="BodyText"/>
              <w:spacing w:before="146"/>
            </w:pPr>
            <w:r>
              <w:t>Non-current</w:t>
            </w:r>
            <w:r w:rsidR="00841F49">
              <w:t xml:space="preserve"> liabilities</w:t>
            </w:r>
          </w:p>
        </w:tc>
        <w:tc>
          <w:tcPr>
            <w:tcW w:w="2127" w:type="dxa"/>
            <w:vAlign w:val="bottom"/>
          </w:tcPr>
          <w:p w:rsidR="00841F49" w:rsidRDefault="00841F49" w:rsidP="00841F49">
            <w:pPr>
              <w:pStyle w:val="BodyText"/>
              <w:spacing w:before="146"/>
            </w:pPr>
            <w:r>
              <w:t>215</w:t>
            </w:r>
          </w:p>
        </w:tc>
        <w:tc>
          <w:tcPr>
            <w:tcW w:w="2268" w:type="dxa"/>
            <w:vAlign w:val="bottom"/>
          </w:tcPr>
          <w:p w:rsidR="00841F49" w:rsidRPr="00841F49" w:rsidRDefault="00841F49" w:rsidP="00841F49">
            <w:pPr>
              <w:pStyle w:val="Pa31"/>
              <w:spacing w:after="160"/>
              <w:rPr>
                <w:color w:val="000000"/>
                <w:sz w:val="23"/>
                <w:szCs w:val="23"/>
              </w:rPr>
            </w:pPr>
            <w:r>
              <w:rPr>
                <w:color w:val="000000"/>
                <w:sz w:val="23"/>
                <w:szCs w:val="23"/>
              </w:rPr>
              <w:t xml:space="preserve">140 </w:t>
            </w:r>
          </w:p>
        </w:tc>
        <w:tc>
          <w:tcPr>
            <w:tcW w:w="2409" w:type="dxa"/>
            <w:vAlign w:val="bottom"/>
          </w:tcPr>
          <w:p w:rsidR="00841F49" w:rsidRDefault="00841F49" w:rsidP="00841F49">
            <w:pPr>
              <w:pStyle w:val="BodyText"/>
              <w:spacing w:before="146"/>
            </w:pPr>
            <w:r>
              <w:t>0</w:t>
            </w:r>
          </w:p>
        </w:tc>
        <w:tc>
          <w:tcPr>
            <w:tcW w:w="2410" w:type="dxa"/>
            <w:vAlign w:val="bottom"/>
          </w:tcPr>
          <w:p w:rsidR="00841F49" w:rsidRDefault="00841F49" w:rsidP="00841F49">
            <w:pPr>
              <w:pStyle w:val="BodyText"/>
              <w:spacing w:before="146"/>
            </w:pPr>
            <w:r>
              <w:t>4</w:t>
            </w:r>
          </w:p>
        </w:tc>
        <w:tc>
          <w:tcPr>
            <w:tcW w:w="2410" w:type="dxa"/>
            <w:vAlign w:val="bottom"/>
          </w:tcPr>
          <w:p w:rsidR="00841F49" w:rsidRDefault="00841F49" w:rsidP="00841F49">
            <w:pPr>
              <w:pStyle w:val="BodyText"/>
              <w:spacing w:before="146"/>
            </w:pPr>
            <w:r>
              <w:t>215</w:t>
            </w:r>
          </w:p>
        </w:tc>
        <w:tc>
          <w:tcPr>
            <w:tcW w:w="1984" w:type="dxa"/>
            <w:vAlign w:val="bottom"/>
          </w:tcPr>
          <w:p w:rsidR="00841F49" w:rsidRDefault="00841F49" w:rsidP="00841F49">
            <w:pPr>
              <w:pStyle w:val="BodyText"/>
              <w:spacing w:before="146"/>
            </w:pPr>
            <w:r>
              <w:t>144</w:t>
            </w:r>
          </w:p>
        </w:tc>
      </w:tr>
      <w:tr w:rsidR="00841F49" w:rsidTr="00841F49">
        <w:tc>
          <w:tcPr>
            <w:tcW w:w="2150" w:type="dxa"/>
          </w:tcPr>
          <w:p w:rsidR="00841F49" w:rsidRDefault="00841F49">
            <w:pPr>
              <w:pStyle w:val="BodyText"/>
              <w:spacing w:before="146"/>
            </w:pPr>
            <w:r>
              <w:t>Total liabilities</w:t>
            </w:r>
          </w:p>
        </w:tc>
        <w:tc>
          <w:tcPr>
            <w:tcW w:w="2127" w:type="dxa"/>
            <w:vAlign w:val="bottom"/>
          </w:tcPr>
          <w:p w:rsidR="00841F49" w:rsidRDefault="00841F49" w:rsidP="00841F49">
            <w:pPr>
              <w:pStyle w:val="BodyText"/>
              <w:spacing w:before="146"/>
            </w:pPr>
            <w:r>
              <w:t>1,118</w:t>
            </w:r>
          </w:p>
        </w:tc>
        <w:tc>
          <w:tcPr>
            <w:tcW w:w="2268" w:type="dxa"/>
            <w:vAlign w:val="bottom"/>
          </w:tcPr>
          <w:p w:rsidR="00841F49" w:rsidRDefault="00841F49" w:rsidP="00841F49">
            <w:pPr>
              <w:pStyle w:val="BodyText"/>
              <w:spacing w:before="146"/>
            </w:pPr>
            <w:r>
              <w:t>2,117</w:t>
            </w:r>
          </w:p>
        </w:tc>
        <w:tc>
          <w:tcPr>
            <w:tcW w:w="2409" w:type="dxa"/>
            <w:vAlign w:val="bottom"/>
          </w:tcPr>
          <w:p w:rsidR="00841F49" w:rsidRDefault="00841F49" w:rsidP="00841F49">
            <w:pPr>
              <w:pStyle w:val="BodyText"/>
              <w:spacing w:before="146"/>
            </w:pPr>
            <w:r>
              <w:t>0</w:t>
            </w:r>
          </w:p>
        </w:tc>
        <w:tc>
          <w:tcPr>
            <w:tcW w:w="2410" w:type="dxa"/>
            <w:vAlign w:val="bottom"/>
          </w:tcPr>
          <w:p w:rsidR="00841F49" w:rsidRDefault="00841F49" w:rsidP="00841F49">
            <w:pPr>
              <w:pStyle w:val="BodyText"/>
              <w:spacing w:before="146"/>
            </w:pPr>
            <w:r>
              <w:t>1,826</w:t>
            </w:r>
          </w:p>
        </w:tc>
        <w:tc>
          <w:tcPr>
            <w:tcW w:w="2410" w:type="dxa"/>
            <w:vAlign w:val="bottom"/>
          </w:tcPr>
          <w:p w:rsidR="00841F49" w:rsidRDefault="00841F49" w:rsidP="00841F49">
            <w:pPr>
              <w:pStyle w:val="BodyText"/>
              <w:spacing w:before="146"/>
            </w:pPr>
            <w:r>
              <w:t>1,118</w:t>
            </w:r>
          </w:p>
        </w:tc>
        <w:tc>
          <w:tcPr>
            <w:tcW w:w="1984" w:type="dxa"/>
            <w:vAlign w:val="bottom"/>
          </w:tcPr>
          <w:p w:rsidR="00841F49" w:rsidRDefault="00841F49" w:rsidP="00841F49">
            <w:pPr>
              <w:pStyle w:val="BodyText"/>
              <w:spacing w:before="146"/>
            </w:pPr>
            <w:r>
              <w:t>3,943</w:t>
            </w:r>
          </w:p>
        </w:tc>
      </w:tr>
      <w:tr w:rsidR="00841F49" w:rsidTr="00841F49">
        <w:tc>
          <w:tcPr>
            <w:tcW w:w="2150" w:type="dxa"/>
          </w:tcPr>
          <w:p w:rsidR="00841F49" w:rsidRDefault="00841F49">
            <w:pPr>
              <w:pStyle w:val="BodyText"/>
              <w:spacing w:before="146"/>
            </w:pPr>
            <w:r>
              <w:t>Net assets</w:t>
            </w:r>
          </w:p>
        </w:tc>
        <w:tc>
          <w:tcPr>
            <w:tcW w:w="2127" w:type="dxa"/>
            <w:vAlign w:val="bottom"/>
          </w:tcPr>
          <w:p w:rsidR="00841F49" w:rsidRDefault="00841F49" w:rsidP="00841F49">
            <w:pPr>
              <w:pStyle w:val="BodyText"/>
              <w:spacing w:before="146"/>
            </w:pPr>
            <w:r>
              <w:t>3,619</w:t>
            </w:r>
          </w:p>
        </w:tc>
        <w:tc>
          <w:tcPr>
            <w:tcW w:w="2268" w:type="dxa"/>
            <w:vAlign w:val="bottom"/>
          </w:tcPr>
          <w:p w:rsidR="00841F49" w:rsidRDefault="00841F49" w:rsidP="00841F49">
            <w:pPr>
              <w:pStyle w:val="BodyText"/>
              <w:spacing w:before="146"/>
            </w:pPr>
            <w:r>
              <w:t>448</w:t>
            </w:r>
          </w:p>
        </w:tc>
        <w:tc>
          <w:tcPr>
            <w:tcW w:w="2409" w:type="dxa"/>
            <w:vAlign w:val="bottom"/>
          </w:tcPr>
          <w:p w:rsidR="00841F49" w:rsidRDefault="00841F49" w:rsidP="00841F49">
            <w:pPr>
              <w:pStyle w:val="BodyText"/>
              <w:spacing w:before="146"/>
            </w:pPr>
            <w:r>
              <w:t>0</w:t>
            </w:r>
          </w:p>
        </w:tc>
        <w:tc>
          <w:tcPr>
            <w:tcW w:w="2410" w:type="dxa"/>
            <w:vAlign w:val="bottom"/>
          </w:tcPr>
          <w:p w:rsidR="00841F49" w:rsidRDefault="00841F49" w:rsidP="00841F49">
            <w:pPr>
              <w:pStyle w:val="BodyText"/>
              <w:spacing w:before="146"/>
            </w:pPr>
            <w:r>
              <w:t>992</w:t>
            </w:r>
          </w:p>
        </w:tc>
        <w:tc>
          <w:tcPr>
            <w:tcW w:w="2410" w:type="dxa"/>
            <w:vAlign w:val="bottom"/>
          </w:tcPr>
          <w:p w:rsidR="00841F49" w:rsidRDefault="00841F49" w:rsidP="00841F49">
            <w:pPr>
              <w:pStyle w:val="BodyText"/>
              <w:spacing w:before="146"/>
            </w:pPr>
            <w:r>
              <w:t>3,619</w:t>
            </w:r>
          </w:p>
        </w:tc>
        <w:tc>
          <w:tcPr>
            <w:tcW w:w="1984" w:type="dxa"/>
            <w:vAlign w:val="bottom"/>
          </w:tcPr>
          <w:p w:rsidR="00841F49" w:rsidRDefault="00841F49" w:rsidP="00841F49">
            <w:pPr>
              <w:pStyle w:val="BodyText"/>
              <w:spacing w:before="146"/>
            </w:pPr>
            <w:r>
              <w:t>1,440</w:t>
            </w:r>
          </w:p>
        </w:tc>
      </w:tr>
    </w:tbl>
    <w:p w:rsidR="00A1463E" w:rsidRDefault="00F52429">
      <w:pPr>
        <w:pStyle w:val="BodyText"/>
        <w:spacing w:before="146"/>
        <w:ind w:left="680"/>
      </w:pPr>
      <w:r>
        <w:t>The Schedule of Assets and Liabilities by Service should be read in conjunction with the accompanying notes.</w:t>
      </w:r>
    </w:p>
    <w:p w:rsidR="00A1463E" w:rsidRDefault="00F52429">
      <w:pPr>
        <w:pStyle w:val="BodyText"/>
        <w:spacing w:before="169" w:line="235" w:lineRule="auto"/>
        <w:ind w:left="680" w:right="678"/>
        <w:jc w:val="both"/>
      </w:pPr>
      <w:r>
        <w:t>Service 1: Establishment of a Platform for the Delivery of Better Government Services through Efficient Development of ICT Strategy, Policies and Solutions Service 2: Establishment of a $20 million innovation package to grow the WA innovation ecosystem and innovation activity through the delivery of programs, services and events</w:t>
      </w:r>
    </w:p>
    <w:p w:rsidR="00A1463E" w:rsidRDefault="00F52429">
      <w:pPr>
        <w:pStyle w:val="BodyText"/>
        <w:spacing w:before="169"/>
        <w:ind w:left="680"/>
        <w:jc w:val="both"/>
      </w:pPr>
      <w:r>
        <w:t>(a) Service 2 was transferred to the Department of Jobs, Tourism, Science and Innovation on 01/07/17.</w:t>
      </w:r>
    </w:p>
    <w:p w:rsidR="00A1463E" w:rsidRDefault="00A1463E">
      <w:pPr>
        <w:jc w:val="both"/>
        <w:sectPr w:rsidR="00A1463E">
          <w:pgSz w:w="16840" w:h="11910" w:orient="landscape"/>
          <w:pgMar w:top="540" w:right="0" w:bottom="360" w:left="0" w:header="229" w:footer="145" w:gutter="0"/>
          <w:cols w:space="720"/>
        </w:sectPr>
      </w:pPr>
    </w:p>
    <w:p w:rsidR="00A1463E" w:rsidRPr="004358AD" w:rsidRDefault="004358AD" w:rsidP="004358AD">
      <w:pPr>
        <w:spacing w:before="36"/>
        <w:ind w:left="673"/>
        <w:rPr>
          <w:color w:val="353434"/>
          <w:sz w:val="32"/>
        </w:rPr>
      </w:pPr>
      <w:r w:rsidRPr="004358AD">
        <w:rPr>
          <w:color w:val="353434"/>
          <w:sz w:val="32"/>
        </w:rPr>
        <w:lastRenderedPageBreak/>
        <w:t>Schedule of Income and Expenses by Service for the year ended 30 June 2018</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91"/>
        <w:gridCol w:w="1530"/>
        <w:gridCol w:w="1275"/>
        <w:gridCol w:w="1446"/>
        <w:gridCol w:w="1360"/>
        <w:gridCol w:w="1279"/>
        <w:gridCol w:w="1194"/>
      </w:tblGrid>
      <w:tr w:rsidR="00A1463E" w:rsidTr="00DC3AEB">
        <w:trPr>
          <w:trHeight w:val="280"/>
        </w:trPr>
        <w:tc>
          <w:tcPr>
            <w:tcW w:w="7391" w:type="dxa"/>
          </w:tcPr>
          <w:p w:rsidR="00A1463E" w:rsidRPr="00BF7649" w:rsidRDefault="00BF7649" w:rsidP="00BF7649">
            <w:pPr>
              <w:pStyle w:val="TableParagraph"/>
              <w:spacing w:before="1"/>
              <w:rPr>
                <w:rFonts w:ascii="Times New Roman"/>
                <w:sz w:val="20"/>
              </w:rPr>
            </w:pPr>
            <w:bookmarkStart w:id="43" w:name="summary_of_consolidated_account_appropri"/>
            <w:bookmarkStart w:id="44" w:name="_bookmark32"/>
            <w:bookmarkEnd w:id="43"/>
            <w:bookmarkEnd w:id="44"/>
            <w:r w:rsidRPr="00BF7649">
              <w:rPr>
                <w:sz w:val="24"/>
              </w:rPr>
              <w:t>Delivery of Services</w:t>
            </w:r>
          </w:p>
        </w:tc>
        <w:tc>
          <w:tcPr>
            <w:tcW w:w="1530" w:type="dxa"/>
          </w:tcPr>
          <w:p w:rsidR="00A1463E" w:rsidRPr="006E4546" w:rsidRDefault="004358AD" w:rsidP="00C0547C">
            <w:pPr>
              <w:pStyle w:val="TableParagraph"/>
              <w:spacing w:line="260" w:lineRule="exact"/>
              <w:rPr>
                <w:sz w:val="24"/>
              </w:rPr>
            </w:pPr>
            <w:r w:rsidRPr="006E4546">
              <w:rPr>
                <w:sz w:val="24"/>
              </w:rPr>
              <w:t xml:space="preserve">2018 </w:t>
            </w:r>
            <w:r w:rsidR="00F52429" w:rsidRPr="006E4546">
              <w:rPr>
                <w:sz w:val="24"/>
              </w:rPr>
              <w:t>Estimate</w:t>
            </w:r>
            <w:r w:rsidRPr="006E4546">
              <w:rPr>
                <w:sz w:val="24"/>
              </w:rPr>
              <w:t xml:space="preserve"> $000</w:t>
            </w:r>
          </w:p>
        </w:tc>
        <w:tc>
          <w:tcPr>
            <w:tcW w:w="1275" w:type="dxa"/>
          </w:tcPr>
          <w:p w:rsidR="00A1463E" w:rsidRPr="006E4546" w:rsidRDefault="004358AD" w:rsidP="00C0547C">
            <w:pPr>
              <w:pStyle w:val="TableParagraph"/>
              <w:spacing w:line="260" w:lineRule="exact"/>
              <w:rPr>
                <w:sz w:val="24"/>
              </w:rPr>
            </w:pPr>
            <w:r w:rsidRPr="006E4546">
              <w:rPr>
                <w:sz w:val="24"/>
              </w:rPr>
              <w:t xml:space="preserve">2018 </w:t>
            </w:r>
            <w:r w:rsidR="00F52429" w:rsidRPr="006E4546">
              <w:rPr>
                <w:sz w:val="24"/>
              </w:rPr>
              <w:t>Actual</w:t>
            </w:r>
            <w:r w:rsidRPr="006E4546">
              <w:rPr>
                <w:sz w:val="24"/>
              </w:rPr>
              <w:t xml:space="preserve"> $000</w:t>
            </w:r>
          </w:p>
        </w:tc>
        <w:tc>
          <w:tcPr>
            <w:tcW w:w="1446" w:type="dxa"/>
          </w:tcPr>
          <w:p w:rsidR="00A1463E" w:rsidRPr="006E4546" w:rsidRDefault="00F52429" w:rsidP="00C0547C">
            <w:pPr>
              <w:pStyle w:val="TableParagraph"/>
              <w:spacing w:line="260" w:lineRule="exact"/>
              <w:rPr>
                <w:sz w:val="24"/>
              </w:rPr>
            </w:pPr>
            <w:r w:rsidRPr="006E4546">
              <w:rPr>
                <w:sz w:val="24"/>
              </w:rPr>
              <w:t>Variance</w:t>
            </w:r>
            <w:r w:rsidR="004358AD" w:rsidRPr="006E4546">
              <w:rPr>
                <w:sz w:val="24"/>
              </w:rPr>
              <w:t xml:space="preserve"> $000</w:t>
            </w:r>
          </w:p>
        </w:tc>
        <w:tc>
          <w:tcPr>
            <w:tcW w:w="1360" w:type="dxa"/>
          </w:tcPr>
          <w:p w:rsidR="00A1463E" w:rsidRPr="006E4546" w:rsidRDefault="004358AD" w:rsidP="00C0547C">
            <w:pPr>
              <w:pStyle w:val="TableParagraph"/>
              <w:spacing w:line="260" w:lineRule="exact"/>
              <w:rPr>
                <w:sz w:val="24"/>
              </w:rPr>
            </w:pPr>
            <w:r w:rsidRPr="006E4546">
              <w:rPr>
                <w:sz w:val="24"/>
              </w:rPr>
              <w:t xml:space="preserve">2018 </w:t>
            </w:r>
            <w:r w:rsidR="00F52429" w:rsidRPr="006E4546">
              <w:rPr>
                <w:sz w:val="24"/>
              </w:rPr>
              <w:t>Actual</w:t>
            </w:r>
            <w:r w:rsidRPr="006E4546">
              <w:rPr>
                <w:sz w:val="24"/>
              </w:rPr>
              <w:t xml:space="preserve"> $000</w:t>
            </w:r>
          </w:p>
        </w:tc>
        <w:tc>
          <w:tcPr>
            <w:tcW w:w="1279" w:type="dxa"/>
          </w:tcPr>
          <w:p w:rsidR="00A1463E" w:rsidRPr="006E4546" w:rsidRDefault="004358AD" w:rsidP="00C0547C">
            <w:pPr>
              <w:pStyle w:val="TableParagraph"/>
              <w:spacing w:line="260" w:lineRule="exact"/>
              <w:rPr>
                <w:sz w:val="24"/>
              </w:rPr>
            </w:pPr>
            <w:r w:rsidRPr="006E4546">
              <w:rPr>
                <w:sz w:val="24"/>
              </w:rPr>
              <w:t xml:space="preserve">2017 </w:t>
            </w:r>
            <w:r w:rsidR="00F52429" w:rsidRPr="006E4546">
              <w:rPr>
                <w:sz w:val="24"/>
              </w:rPr>
              <w:t>Actual</w:t>
            </w:r>
            <w:r w:rsidRPr="006E4546">
              <w:rPr>
                <w:sz w:val="24"/>
              </w:rPr>
              <w:t xml:space="preserve"> $000</w:t>
            </w:r>
          </w:p>
        </w:tc>
        <w:tc>
          <w:tcPr>
            <w:tcW w:w="1194" w:type="dxa"/>
          </w:tcPr>
          <w:p w:rsidR="00A1463E" w:rsidRPr="006E4546" w:rsidRDefault="00F52429" w:rsidP="00C0547C">
            <w:pPr>
              <w:pStyle w:val="TableParagraph"/>
              <w:spacing w:line="260" w:lineRule="exact"/>
              <w:ind w:right="75"/>
              <w:rPr>
                <w:sz w:val="24"/>
              </w:rPr>
            </w:pPr>
            <w:r w:rsidRPr="006E4546">
              <w:rPr>
                <w:sz w:val="24"/>
              </w:rPr>
              <w:t>Variance</w:t>
            </w:r>
            <w:r w:rsidR="004358AD" w:rsidRPr="006E4546">
              <w:rPr>
                <w:sz w:val="24"/>
              </w:rPr>
              <w:t xml:space="preserve"> $000</w:t>
            </w:r>
          </w:p>
        </w:tc>
      </w:tr>
      <w:tr w:rsidR="00A1463E" w:rsidTr="00DC3AEB">
        <w:trPr>
          <w:trHeight w:val="351"/>
        </w:trPr>
        <w:tc>
          <w:tcPr>
            <w:tcW w:w="7391" w:type="dxa"/>
          </w:tcPr>
          <w:p w:rsidR="00A1463E" w:rsidRDefault="00F52429">
            <w:pPr>
              <w:pStyle w:val="TableParagraph"/>
              <w:spacing w:before="4"/>
              <w:rPr>
                <w:sz w:val="24"/>
              </w:rPr>
            </w:pPr>
            <w:r>
              <w:rPr>
                <w:sz w:val="24"/>
              </w:rPr>
              <w:t>Item 85 Net amount appropriated to deliver services</w:t>
            </w:r>
          </w:p>
        </w:tc>
        <w:tc>
          <w:tcPr>
            <w:tcW w:w="1530" w:type="dxa"/>
          </w:tcPr>
          <w:p w:rsidR="00A1463E" w:rsidRDefault="00F52429" w:rsidP="00DC3AEB">
            <w:pPr>
              <w:pStyle w:val="TableParagraph"/>
              <w:spacing w:before="4"/>
              <w:rPr>
                <w:sz w:val="24"/>
              </w:rPr>
            </w:pPr>
            <w:r>
              <w:rPr>
                <w:sz w:val="24"/>
              </w:rPr>
              <w:t>3,404</w:t>
            </w:r>
          </w:p>
        </w:tc>
        <w:tc>
          <w:tcPr>
            <w:tcW w:w="1275" w:type="dxa"/>
          </w:tcPr>
          <w:p w:rsidR="00A1463E" w:rsidRDefault="00F52429" w:rsidP="00DC3AEB">
            <w:pPr>
              <w:pStyle w:val="TableParagraph"/>
              <w:spacing w:before="4"/>
              <w:rPr>
                <w:sz w:val="24"/>
              </w:rPr>
            </w:pPr>
            <w:r>
              <w:rPr>
                <w:sz w:val="24"/>
              </w:rPr>
              <w:t>3,403</w:t>
            </w:r>
          </w:p>
        </w:tc>
        <w:tc>
          <w:tcPr>
            <w:tcW w:w="1446" w:type="dxa"/>
          </w:tcPr>
          <w:p w:rsidR="00A1463E" w:rsidRDefault="00F52429" w:rsidP="00DC3AEB">
            <w:pPr>
              <w:pStyle w:val="TableParagraph"/>
              <w:spacing w:before="4"/>
              <w:rPr>
                <w:sz w:val="24"/>
              </w:rPr>
            </w:pPr>
            <w:r>
              <w:rPr>
                <w:sz w:val="24"/>
              </w:rPr>
              <w:t>(1)</w:t>
            </w:r>
          </w:p>
        </w:tc>
        <w:tc>
          <w:tcPr>
            <w:tcW w:w="1360" w:type="dxa"/>
          </w:tcPr>
          <w:p w:rsidR="00A1463E" w:rsidRDefault="00F52429" w:rsidP="00DC3AEB">
            <w:pPr>
              <w:pStyle w:val="TableParagraph"/>
              <w:spacing w:before="4"/>
              <w:rPr>
                <w:sz w:val="24"/>
              </w:rPr>
            </w:pPr>
            <w:r>
              <w:rPr>
                <w:sz w:val="24"/>
              </w:rPr>
              <w:t>3,403</w:t>
            </w:r>
          </w:p>
        </w:tc>
        <w:tc>
          <w:tcPr>
            <w:tcW w:w="1279" w:type="dxa"/>
          </w:tcPr>
          <w:p w:rsidR="00A1463E" w:rsidRDefault="00F52429" w:rsidP="00DC3AEB">
            <w:pPr>
              <w:pStyle w:val="TableParagraph"/>
              <w:spacing w:before="4"/>
              <w:rPr>
                <w:sz w:val="24"/>
              </w:rPr>
            </w:pPr>
            <w:r>
              <w:rPr>
                <w:sz w:val="24"/>
              </w:rPr>
              <w:t>7,413</w:t>
            </w:r>
          </w:p>
        </w:tc>
        <w:tc>
          <w:tcPr>
            <w:tcW w:w="1194" w:type="dxa"/>
          </w:tcPr>
          <w:p w:rsidR="00A1463E" w:rsidRDefault="00F52429" w:rsidP="00DC3AEB">
            <w:pPr>
              <w:pStyle w:val="TableParagraph"/>
              <w:spacing w:before="4"/>
              <w:ind w:right="75"/>
              <w:rPr>
                <w:sz w:val="24"/>
              </w:rPr>
            </w:pPr>
            <w:r>
              <w:rPr>
                <w:sz w:val="24"/>
              </w:rPr>
              <w:t>(4,010)</w:t>
            </w:r>
          </w:p>
        </w:tc>
      </w:tr>
      <w:tr w:rsidR="00A1463E" w:rsidTr="00DC3AEB">
        <w:trPr>
          <w:trHeight w:val="311"/>
        </w:trPr>
        <w:tc>
          <w:tcPr>
            <w:tcW w:w="7391" w:type="dxa"/>
          </w:tcPr>
          <w:p w:rsidR="00A1463E" w:rsidRPr="006E4546" w:rsidRDefault="00F52429">
            <w:pPr>
              <w:pStyle w:val="TableParagraph"/>
              <w:spacing w:before="10" w:line="281" w:lineRule="exact"/>
              <w:rPr>
                <w:sz w:val="24"/>
              </w:rPr>
            </w:pPr>
            <w:r w:rsidRPr="006E4546">
              <w:rPr>
                <w:sz w:val="24"/>
              </w:rPr>
              <w:t>Total appropriations provided to deliver services</w:t>
            </w:r>
          </w:p>
        </w:tc>
        <w:tc>
          <w:tcPr>
            <w:tcW w:w="1530" w:type="dxa"/>
          </w:tcPr>
          <w:p w:rsidR="00A1463E" w:rsidRPr="006E4546" w:rsidRDefault="00F52429" w:rsidP="00DC3AEB">
            <w:pPr>
              <w:pStyle w:val="TableParagraph"/>
              <w:spacing w:before="10" w:line="281" w:lineRule="exact"/>
              <w:rPr>
                <w:sz w:val="24"/>
              </w:rPr>
            </w:pPr>
            <w:r w:rsidRPr="006E4546">
              <w:rPr>
                <w:sz w:val="24"/>
              </w:rPr>
              <w:t>3,404</w:t>
            </w:r>
          </w:p>
        </w:tc>
        <w:tc>
          <w:tcPr>
            <w:tcW w:w="1275" w:type="dxa"/>
          </w:tcPr>
          <w:p w:rsidR="00A1463E" w:rsidRPr="006E4546" w:rsidRDefault="00F52429" w:rsidP="00DC3AEB">
            <w:pPr>
              <w:pStyle w:val="TableParagraph"/>
              <w:spacing w:before="10" w:line="281" w:lineRule="exact"/>
              <w:rPr>
                <w:sz w:val="24"/>
              </w:rPr>
            </w:pPr>
            <w:r w:rsidRPr="006E4546">
              <w:rPr>
                <w:sz w:val="24"/>
              </w:rPr>
              <w:t>3,403</w:t>
            </w:r>
          </w:p>
        </w:tc>
        <w:tc>
          <w:tcPr>
            <w:tcW w:w="1446" w:type="dxa"/>
          </w:tcPr>
          <w:p w:rsidR="00A1463E" w:rsidRPr="006E4546" w:rsidRDefault="00F52429" w:rsidP="00DC3AEB">
            <w:pPr>
              <w:pStyle w:val="TableParagraph"/>
              <w:spacing w:before="10" w:line="281" w:lineRule="exact"/>
              <w:rPr>
                <w:sz w:val="24"/>
              </w:rPr>
            </w:pPr>
            <w:r w:rsidRPr="006E4546">
              <w:rPr>
                <w:sz w:val="24"/>
              </w:rPr>
              <w:t>(1)</w:t>
            </w:r>
          </w:p>
        </w:tc>
        <w:tc>
          <w:tcPr>
            <w:tcW w:w="1360" w:type="dxa"/>
          </w:tcPr>
          <w:p w:rsidR="00A1463E" w:rsidRPr="006E4546" w:rsidRDefault="00F52429" w:rsidP="00DC3AEB">
            <w:pPr>
              <w:pStyle w:val="TableParagraph"/>
              <w:spacing w:before="10" w:line="281" w:lineRule="exact"/>
              <w:rPr>
                <w:sz w:val="24"/>
              </w:rPr>
            </w:pPr>
            <w:r w:rsidRPr="006E4546">
              <w:rPr>
                <w:sz w:val="24"/>
              </w:rPr>
              <w:t>3,403</w:t>
            </w:r>
          </w:p>
        </w:tc>
        <w:tc>
          <w:tcPr>
            <w:tcW w:w="1279" w:type="dxa"/>
          </w:tcPr>
          <w:p w:rsidR="00A1463E" w:rsidRPr="006E4546" w:rsidRDefault="00F52429" w:rsidP="00DC3AEB">
            <w:pPr>
              <w:pStyle w:val="TableParagraph"/>
              <w:spacing w:before="10" w:line="281" w:lineRule="exact"/>
              <w:rPr>
                <w:sz w:val="24"/>
              </w:rPr>
            </w:pPr>
            <w:r w:rsidRPr="006E4546">
              <w:rPr>
                <w:sz w:val="24"/>
              </w:rPr>
              <w:t>7,413</w:t>
            </w:r>
          </w:p>
        </w:tc>
        <w:tc>
          <w:tcPr>
            <w:tcW w:w="1194" w:type="dxa"/>
          </w:tcPr>
          <w:p w:rsidR="00A1463E" w:rsidRPr="006E4546" w:rsidRDefault="00F52429" w:rsidP="00DC3AEB">
            <w:pPr>
              <w:pStyle w:val="TableParagraph"/>
              <w:spacing w:before="10" w:line="281" w:lineRule="exact"/>
              <w:ind w:right="74"/>
              <w:rPr>
                <w:sz w:val="24"/>
              </w:rPr>
            </w:pPr>
            <w:r w:rsidRPr="006E4546">
              <w:rPr>
                <w:sz w:val="24"/>
              </w:rPr>
              <w:t>(4,010)</w:t>
            </w:r>
          </w:p>
        </w:tc>
      </w:tr>
    </w:tbl>
    <w:p w:rsidR="009F4C3E" w:rsidRDefault="009F4C3E" w:rsidP="009F4C3E">
      <w:pPr>
        <w:pStyle w:val="BodyText"/>
        <w:spacing w:line="235" w:lineRule="auto"/>
        <w:ind w:right="1431"/>
      </w:pPr>
    </w:p>
    <w:tbl>
      <w:tblPr>
        <w:tblStyle w:val="TableGrid"/>
        <w:tblW w:w="0" w:type="auto"/>
        <w:tblInd w:w="704" w:type="dxa"/>
        <w:tblLook w:val="04A0" w:firstRow="1" w:lastRow="0" w:firstColumn="1" w:lastColumn="0" w:noHBand="0" w:noVBand="1"/>
        <w:tblCaption w:val="administered transactions"/>
        <w:tblDescription w:val="table showing figures for administered transactions as part of the schedule of income and expenses by service for the year ended 30 June 2018"/>
      </w:tblPr>
      <w:tblGrid>
        <w:gridCol w:w="7371"/>
        <w:gridCol w:w="1559"/>
        <w:gridCol w:w="1276"/>
        <w:gridCol w:w="1418"/>
        <w:gridCol w:w="1417"/>
        <w:gridCol w:w="1276"/>
        <w:gridCol w:w="1134"/>
      </w:tblGrid>
      <w:tr w:rsidR="009F4C3E" w:rsidTr="006604EC">
        <w:trPr>
          <w:tblHeader/>
        </w:trPr>
        <w:tc>
          <w:tcPr>
            <w:tcW w:w="7371" w:type="dxa"/>
          </w:tcPr>
          <w:p w:rsidR="009F4C3E" w:rsidRPr="006E4546" w:rsidRDefault="009F4C3E" w:rsidP="000E1D3A">
            <w:r w:rsidRPr="006E4546">
              <w:rPr>
                <w:sz w:val="24"/>
              </w:rPr>
              <w:t>Administered Transactions</w:t>
            </w:r>
          </w:p>
        </w:tc>
        <w:tc>
          <w:tcPr>
            <w:tcW w:w="1559" w:type="dxa"/>
          </w:tcPr>
          <w:p w:rsidR="009F4C3E" w:rsidRPr="006E4546" w:rsidRDefault="009F4C3E" w:rsidP="000E1D3A">
            <w:r w:rsidRPr="006E4546">
              <w:rPr>
                <w:sz w:val="24"/>
              </w:rPr>
              <w:t>2018 Estimate $000</w:t>
            </w:r>
          </w:p>
        </w:tc>
        <w:tc>
          <w:tcPr>
            <w:tcW w:w="1276" w:type="dxa"/>
          </w:tcPr>
          <w:p w:rsidR="009F4C3E" w:rsidRPr="006E4546" w:rsidRDefault="009F4C3E" w:rsidP="000E1D3A">
            <w:r w:rsidRPr="006E4546">
              <w:rPr>
                <w:sz w:val="24"/>
              </w:rPr>
              <w:t>2018 Actual $000</w:t>
            </w:r>
          </w:p>
        </w:tc>
        <w:tc>
          <w:tcPr>
            <w:tcW w:w="1418" w:type="dxa"/>
          </w:tcPr>
          <w:p w:rsidR="009F4C3E" w:rsidRPr="006E4546" w:rsidRDefault="009F4C3E" w:rsidP="000E1D3A">
            <w:r w:rsidRPr="006E4546">
              <w:rPr>
                <w:sz w:val="24"/>
              </w:rPr>
              <w:t>Variance $000</w:t>
            </w:r>
          </w:p>
        </w:tc>
        <w:tc>
          <w:tcPr>
            <w:tcW w:w="1417" w:type="dxa"/>
          </w:tcPr>
          <w:p w:rsidR="009F4C3E" w:rsidRPr="006E4546" w:rsidRDefault="009F4C3E" w:rsidP="000E1D3A">
            <w:r w:rsidRPr="006E4546">
              <w:rPr>
                <w:sz w:val="24"/>
              </w:rPr>
              <w:t>2018 Actual $000</w:t>
            </w:r>
          </w:p>
        </w:tc>
        <w:tc>
          <w:tcPr>
            <w:tcW w:w="1276" w:type="dxa"/>
          </w:tcPr>
          <w:p w:rsidR="009F4C3E" w:rsidRPr="006E4546" w:rsidRDefault="009F4C3E" w:rsidP="000E1D3A">
            <w:r w:rsidRPr="006E4546">
              <w:rPr>
                <w:sz w:val="24"/>
              </w:rPr>
              <w:t>2017 Actual $000</w:t>
            </w:r>
          </w:p>
        </w:tc>
        <w:tc>
          <w:tcPr>
            <w:tcW w:w="1134" w:type="dxa"/>
          </w:tcPr>
          <w:p w:rsidR="009F4C3E" w:rsidRPr="006E4546" w:rsidRDefault="009F4C3E" w:rsidP="000E1D3A">
            <w:r w:rsidRPr="006E4546">
              <w:rPr>
                <w:sz w:val="24"/>
              </w:rPr>
              <w:t>Variance $000</w:t>
            </w:r>
          </w:p>
        </w:tc>
      </w:tr>
      <w:tr w:rsidR="009F4C3E" w:rsidTr="009F4C3E">
        <w:tc>
          <w:tcPr>
            <w:tcW w:w="7371" w:type="dxa"/>
          </w:tcPr>
          <w:p w:rsidR="009F4C3E" w:rsidRDefault="009F4C3E" w:rsidP="000E1D3A">
            <w:r>
              <w:rPr>
                <w:sz w:val="24"/>
              </w:rPr>
              <w:t>Item 86 Amount provided for Administered grants, subsidies and other transfer payments</w:t>
            </w:r>
          </w:p>
        </w:tc>
        <w:tc>
          <w:tcPr>
            <w:tcW w:w="1559" w:type="dxa"/>
          </w:tcPr>
          <w:p w:rsidR="009F4C3E" w:rsidRDefault="009F4C3E" w:rsidP="000E1D3A">
            <w:r>
              <w:t>5839</w:t>
            </w:r>
          </w:p>
        </w:tc>
        <w:tc>
          <w:tcPr>
            <w:tcW w:w="1276" w:type="dxa"/>
          </w:tcPr>
          <w:p w:rsidR="009F4C3E" w:rsidRDefault="009F4C3E" w:rsidP="000E1D3A">
            <w:r>
              <w:t>0</w:t>
            </w:r>
          </w:p>
        </w:tc>
        <w:tc>
          <w:tcPr>
            <w:tcW w:w="1418" w:type="dxa"/>
          </w:tcPr>
          <w:p w:rsidR="009F4C3E" w:rsidRDefault="009F4C3E" w:rsidP="000E1D3A">
            <w:r>
              <w:t>(5839)</w:t>
            </w:r>
          </w:p>
        </w:tc>
        <w:tc>
          <w:tcPr>
            <w:tcW w:w="1417" w:type="dxa"/>
          </w:tcPr>
          <w:p w:rsidR="009F4C3E" w:rsidRDefault="009F4C3E" w:rsidP="000E1D3A">
            <w:r>
              <w:t>0</w:t>
            </w:r>
          </w:p>
        </w:tc>
        <w:tc>
          <w:tcPr>
            <w:tcW w:w="1276" w:type="dxa"/>
          </w:tcPr>
          <w:p w:rsidR="009F4C3E" w:rsidRDefault="009F4C3E" w:rsidP="000E1D3A">
            <w:r>
              <w:t>5632</w:t>
            </w:r>
          </w:p>
        </w:tc>
        <w:tc>
          <w:tcPr>
            <w:tcW w:w="1134" w:type="dxa"/>
          </w:tcPr>
          <w:p w:rsidR="009F4C3E" w:rsidRDefault="009F4C3E" w:rsidP="000E1D3A">
            <w:r>
              <w:t>(5632)</w:t>
            </w:r>
          </w:p>
        </w:tc>
      </w:tr>
      <w:tr w:rsidR="009F4C3E" w:rsidTr="009F4C3E">
        <w:tc>
          <w:tcPr>
            <w:tcW w:w="7371" w:type="dxa"/>
          </w:tcPr>
          <w:p w:rsidR="009F4C3E" w:rsidRPr="006E4546" w:rsidRDefault="009F4C3E" w:rsidP="000E1D3A">
            <w:r w:rsidRPr="006E4546">
              <w:rPr>
                <w:sz w:val="24"/>
              </w:rPr>
              <w:t>Total administered transactions</w:t>
            </w:r>
          </w:p>
        </w:tc>
        <w:tc>
          <w:tcPr>
            <w:tcW w:w="1559" w:type="dxa"/>
          </w:tcPr>
          <w:p w:rsidR="009F4C3E" w:rsidRDefault="009F4C3E" w:rsidP="000E1D3A">
            <w:r>
              <w:t>5839</w:t>
            </w:r>
          </w:p>
        </w:tc>
        <w:tc>
          <w:tcPr>
            <w:tcW w:w="1276" w:type="dxa"/>
          </w:tcPr>
          <w:p w:rsidR="009F4C3E" w:rsidRDefault="009F4C3E" w:rsidP="000E1D3A">
            <w:r>
              <w:t>0</w:t>
            </w:r>
          </w:p>
        </w:tc>
        <w:tc>
          <w:tcPr>
            <w:tcW w:w="1418" w:type="dxa"/>
          </w:tcPr>
          <w:p w:rsidR="009F4C3E" w:rsidRDefault="009F4C3E" w:rsidP="000E1D3A">
            <w:r>
              <w:t>(5839)</w:t>
            </w:r>
          </w:p>
        </w:tc>
        <w:tc>
          <w:tcPr>
            <w:tcW w:w="1417" w:type="dxa"/>
          </w:tcPr>
          <w:p w:rsidR="009F4C3E" w:rsidRDefault="009F4C3E" w:rsidP="000E1D3A">
            <w:r>
              <w:t>0</w:t>
            </w:r>
          </w:p>
        </w:tc>
        <w:tc>
          <w:tcPr>
            <w:tcW w:w="1276" w:type="dxa"/>
          </w:tcPr>
          <w:p w:rsidR="009F4C3E" w:rsidRDefault="009F4C3E" w:rsidP="000E1D3A">
            <w:r>
              <w:t>5632</w:t>
            </w:r>
          </w:p>
        </w:tc>
        <w:tc>
          <w:tcPr>
            <w:tcW w:w="1134" w:type="dxa"/>
          </w:tcPr>
          <w:p w:rsidR="009F4C3E" w:rsidRDefault="009F4C3E" w:rsidP="000E1D3A">
            <w:r>
              <w:t>(5632)</w:t>
            </w:r>
          </w:p>
        </w:tc>
      </w:tr>
      <w:tr w:rsidR="009F4C3E" w:rsidTr="009F4C3E">
        <w:tc>
          <w:tcPr>
            <w:tcW w:w="7371" w:type="dxa"/>
          </w:tcPr>
          <w:p w:rsidR="009F4C3E" w:rsidRPr="006E4546" w:rsidRDefault="009F4C3E" w:rsidP="000E1D3A">
            <w:r w:rsidRPr="006E4546">
              <w:rPr>
                <w:sz w:val="24"/>
              </w:rPr>
              <w:t>GRAND TOTAL</w:t>
            </w:r>
          </w:p>
        </w:tc>
        <w:tc>
          <w:tcPr>
            <w:tcW w:w="1559" w:type="dxa"/>
          </w:tcPr>
          <w:p w:rsidR="009F4C3E" w:rsidRDefault="009F4C3E" w:rsidP="000E1D3A">
            <w:r>
              <w:t>9243</w:t>
            </w:r>
          </w:p>
        </w:tc>
        <w:tc>
          <w:tcPr>
            <w:tcW w:w="1276" w:type="dxa"/>
          </w:tcPr>
          <w:p w:rsidR="009F4C3E" w:rsidRDefault="009F4C3E" w:rsidP="000E1D3A">
            <w:r>
              <w:t>3403</w:t>
            </w:r>
          </w:p>
        </w:tc>
        <w:tc>
          <w:tcPr>
            <w:tcW w:w="1418" w:type="dxa"/>
          </w:tcPr>
          <w:p w:rsidR="009F4C3E" w:rsidRDefault="009F4C3E" w:rsidP="000E1D3A">
            <w:r>
              <w:t>(5840)</w:t>
            </w:r>
          </w:p>
        </w:tc>
        <w:tc>
          <w:tcPr>
            <w:tcW w:w="1417" w:type="dxa"/>
          </w:tcPr>
          <w:p w:rsidR="009F4C3E" w:rsidRDefault="009F4C3E" w:rsidP="000E1D3A">
            <w:r>
              <w:t>3403</w:t>
            </w:r>
          </w:p>
        </w:tc>
        <w:tc>
          <w:tcPr>
            <w:tcW w:w="1276" w:type="dxa"/>
          </w:tcPr>
          <w:p w:rsidR="009F4C3E" w:rsidRDefault="009F4C3E" w:rsidP="000E1D3A">
            <w:r>
              <w:t>13045</w:t>
            </w:r>
          </w:p>
        </w:tc>
        <w:tc>
          <w:tcPr>
            <w:tcW w:w="1134" w:type="dxa"/>
          </w:tcPr>
          <w:p w:rsidR="009F4C3E" w:rsidRDefault="009F4C3E" w:rsidP="000E1D3A">
            <w:r>
              <w:t>(9642)</w:t>
            </w:r>
          </w:p>
        </w:tc>
      </w:tr>
    </w:tbl>
    <w:p w:rsidR="009F4C3E" w:rsidRDefault="009F4C3E" w:rsidP="009F4C3E">
      <w:pPr>
        <w:pStyle w:val="BodyText"/>
        <w:spacing w:line="235" w:lineRule="auto"/>
        <w:ind w:right="1431"/>
      </w:pPr>
    </w:p>
    <w:tbl>
      <w:tblPr>
        <w:tblStyle w:val="TableGrid"/>
        <w:tblW w:w="0" w:type="auto"/>
        <w:tblInd w:w="704" w:type="dxa"/>
        <w:tblLook w:val="04A0" w:firstRow="1" w:lastRow="0" w:firstColumn="1" w:lastColumn="0" w:noHBand="0" w:noVBand="1"/>
        <w:tblCaption w:val="details of expenses by service"/>
        <w:tblDescription w:val="table showing figures of details of expenses by service as part of the schedule of income and expenses by service for the year ended 30 June 2018"/>
      </w:tblPr>
      <w:tblGrid>
        <w:gridCol w:w="7371"/>
        <w:gridCol w:w="1559"/>
        <w:gridCol w:w="1276"/>
        <w:gridCol w:w="1418"/>
        <w:gridCol w:w="1417"/>
        <w:gridCol w:w="1276"/>
        <w:gridCol w:w="1134"/>
      </w:tblGrid>
      <w:tr w:rsidR="009F4C3E" w:rsidTr="006604EC">
        <w:trPr>
          <w:tblHeader/>
        </w:trPr>
        <w:tc>
          <w:tcPr>
            <w:tcW w:w="7371" w:type="dxa"/>
          </w:tcPr>
          <w:p w:rsidR="009F4C3E" w:rsidRPr="006E4546" w:rsidRDefault="009F4C3E" w:rsidP="000E1D3A">
            <w:r w:rsidRPr="006E4546">
              <w:rPr>
                <w:sz w:val="24"/>
              </w:rPr>
              <w:t>Details of Expenses by Service</w:t>
            </w:r>
          </w:p>
        </w:tc>
        <w:tc>
          <w:tcPr>
            <w:tcW w:w="1559" w:type="dxa"/>
          </w:tcPr>
          <w:p w:rsidR="009F4C3E" w:rsidRPr="006E4546" w:rsidRDefault="009F4C3E" w:rsidP="000E1D3A">
            <w:r w:rsidRPr="006E4546">
              <w:rPr>
                <w:sz w:val="24"/>
              </w:rPr>
              <w:t>2018 Estimate $000</w:t>
            </w:r>
          </w:p>
        </w:tc>
        <w:tc>
          <w:tcPr>
            <w:tcW w:w="1276" w:type="dxa"/>
          </w:tcPr>
          <w:p w:rsidR="009F4C3E" w:rsidRPr="006E4546" w:rsidRDefault="009F4C3E" w:rsidP="000E1D3A">
            <w:r w:rsidRPr="006E4546">
              <w:rPr>
                <w:sz w:val="24"/>
              </w:rPr>
              <w:t>2018 Actual $000</w:t>
            </w:r>
          </w:p>
        </w:tc>
        <w:tc>
          <w:tcPr>
            <w:tcW w:w="1418" w:type="dxa"/>
          </w:tcPr>
          <w:p w:rsidR="009F4C3E" w:rsidRPr="006E4546" w:rsidRDefault="009F4C3E" w:rsidP="000E1D3A">
            <w:r w:rsidRPr="006E4546">
              <w:rPr>
                <w:sz w:val="24"/>
              </w:rPr>
              <w:t>Variance $000</w:t>
            </w:r>
          </w:p>
        </w:tc>
        <w:tc>
          <w:tcPr>
            <w:tcW w:w="1417" w:type="dxa"/>
          </w:tcPr>
          <w:p w:rsidR="009F4C3E" w:rsidRPr="006E4546" w:rsidRDefault="009F4C3E" w:rsidP="000E1D3A">
            <w:r w:rsidRPr="006E4546">
              <w:rPr>
                <w:sz w:val="24"/>
              </w:rPr>
              <w:t>2018 Actual $000</w:t>
            </w:r>
          </w:p>
        </w:tc>
        <w:tc>
          <w:tcPr>
            <w:tcW w:w="1276" w:type="dxa"/>
          </w:tcPr>
          <w:p w:rsidR="009F4C3E" w:rsidRPr="006E4546" w:rsidRDefault="009F4C3E" w:rsidP="000E1D3A">
            <w:r w:rsidRPr="006E4546">
              <w:rPr>
                <w:sz w:val="24"/>
              </w:rPr>
              <w:t>2017 Actual $000</w:t>
            </w:r>
          </w:p>
        </w:tc>
        <w:tc>
          <w:tcPr>
            <w:tcW w:w="1134" w:type="dxa"/>
          </w:tcPr>
          <w:p w:rsidR="009F4C3E" w:rsidRPr="006E4546" w:rsidRDefault="009F4C3E" w:rsidP="000E1D3A">
            <w:r w:rsidRPr="006E4546">
              <w:rPr>
                <w:sz w:val="24"/>
              </w:rPr>
              <w:t>Variance $000</w:t>
            </w:r>
          </w:p>
        </w:tc>
      </w:tr>
      <w:tr w:rsidR="009F4C3E" w:rsidTr="009F4C3E">
        <w:tc>
          <w:tcPr>
            <w:tcW w:w="7371" w:type="dxa"/>
          </w:tcPr>
          <w:p w:rsidR="009F4C3E" w:rsidRDefault="009F4C3E" w:rsidP="000E1D3A">
            <w:r>
              <w:rPr>
                <w:sz w:val="24"/>
              </w:rPr>
              <w:t>Establishment of a platform for the delivery of better government services through efficient development of Information and Communications Technology (ICT) strategy, policies and solutions</w:t>
            </w:r>
          </w:p>
        </w:tc>
        <w:tc>
          <w:tcPr>
            <w:tcW w:w="1559" w:type="dxa"/>
          </w:tcPr>
          <w:p w:rsidR="009F4C3E" w:rsidRPr="003C5190" w:rsidRDefault="009F4C3E" w:rsidP="009F4C3E">
            <w:r>
              <w:t>13315</w:t>
            </w:r>
          </w:p>
        </w:tc>
        <w:tc>
          <w:tcPr>
            <w:tcW w:w="1276" w:type="dxa"/>
          </w:tcPr>
          <w:p w:rsidR="009F4C3E" w:rsidRDefault="009F4C3E" w:rsidP="000E1D3A">
            <w:r>
              <w:t>6742</w:t>
            </w:r>
          </w:p>
        </w:tc>
        <w:tc>
          <w:tcPr>
            <w:tcW w:w="1418" w:type="dxa"/>
          </w:tcPr>
          <w:p w:rsidR="009F4C3E" w:rsidRDefault="009F4C3E" w:rsidP="000E1D3A">
            <w:r>
              <w:t>(6573)</w:t>
            </w:r>
          </w:p>
        </w:tc>
        <w:tc>
          <w:tcPr>
            <w:tcW w:w="1417" w:type="dxa"/>
          </w:tcPr>
          <w:p w:rsidR="009F4C3E" w:rsidRDefault="009F4C3E" w:rsidP="000E1D3A">
            <w:r>
              <w:t>6742</w:t>
            </w:r>
          </w:p>
        </w:tc>
        <w:tc>
          <w:tcPr>
            <w:tcW w:w="1276" w:type="dxa"/>
          </w:tcPr>
          <w:p w:rsidR="009F4C3E" w:rsidRDefault="009F4C3E" w:rsidP="000E1D3A">
            <w:r>
              <w:t>9430</w:t>
            </w:r>
          </w:p>
        </w:tc>
        <w:tc>
          <w:tcPr>
            <w:tcW w:w="1134" w:type="dxa"/>
          </w:tcPr>
          <w:p w:rsidR="009F4C3E" w:rsidRDefault="009F4C3E" w:rsidP="000E1D3A">
            <w:r>
              <w:t>(2688)</w:t>
            </w:r>
          </w:p>
        </w:tc>
      </w:tr>
      <w:tr w:rsidR="009F4C3E" w:rsidTr="009F4C3E">
        <w:tc>
          <w:tcPr>
            <w:tcW w:w="7371" w:type="dxa"/>
          </w:tcPr>
          <w:p w:rsidR="009F4C3E" w:rsidRDefault="009F4C3E" w:rsidP="000E1D3A">
            <w:r>
              <w:rPr>
                <w:sz w:val="24"/>
              </w:rPr>
              <w:t>Total Cost of Services</w:t>
            </w:r>
          </w:p>
        </w:tc>
        <w:tc>
          <w:tcPr>
            <w:tcW w:w="1559" w:type="dxa"/>
          </w:tcPr>
          <w:p w:rsidR="009F4C3E" w:rsidRDefault="009F4C3E" w:rsidP="000E1D3A">
            <w:r>
              <w:t>13315</w:t>
            </w:r>
          </w:p>
        </w:tc>
        <w:tc>
          <w:tcPr>
            <w:tcW w:w="1276" w:type="dxa"/>
          </w:tcPr>
          <w:p w:rsidR="009F4C3E" w:rsidRDefault="009F4C3E" w:rsidP="000E1D3A">
            <w:r>
              <w:t>6742</w:t>
            </w:r>
          </w:p>
        </w:tc>
        <w:tc>
          <w:tcPr>
            <w:tcW w:w="1418" w:type="dxa"/>
          </w:tcPr>
          <w:p w:rsidR="009F4C3E" w:rsidRDefault="009F4C3E" w:rsidP="000E1D3A">
            <w:r>
              <w:t>(6573)</w:t>
            </w:r>
          </w:p>
        </w:tc>
        <w:tc>
          <w:tcPr>
            <w:tcW w:w="1417" w:type="dxa"/>
          </w:tcPr>
          <w:p w:rsidR="009F4C3E" w:rsidRDefault="009F4C3E" w:rsidP="000E1D3A">
            <w:r>
              <w:t>6742</w:t>
            </w:r>
          </w:p>
        </w:tc>
        <w:tc>
          <w:tcPr>
            <w:tcW w:w="1276" w:type="dxa"/>
          </w:tcPr>
          <w:p w:rsidR="009F4C3E" w:rsidRDefault="009F4C3E" w:rsidP="000E1D3A">
            <w:r>
              <w:t>9430</w:t>
            </w:r>
          </w:p>
        </w:tc>
        <w:tc>
          <w:tcPr>
            <w:tcW w:w="1134" w:type="dxa"/>
          </w:tcPr>
          <w:p w:rsidR="009F4C3E" w:rsidRDefault="009F4C3E" w:rsidP="000E1D3A">
            <w:r>
              <w:t>(2688)</w:t>
            </w:r>
          </w:p>
        </w:tc>
      </w:tr>
      <w:tr w:rsidR="009F4C3E" w:rsidTr="009F4C3E">
        <w:tc>
          <w:tcPr>
            <w:tcW w:w="7371" w:type="dxa"/>
          </w:tcPr>
          <w:p w:rsidR="009F4C3E" w:rsidRDefault="009F4C3E" w:rsidP="000E1D3A">
            <w:r w:rsidRPr="00DC3AEB">
              <w:rPr>
                <w:sz w:val="24"/>
              </w:rPr>
              <w:t>Less</w:t>
            </w:r>
            <w:r>
              <w:rPr>
                <w:i/>
                <w:sz w:val="24"/>
              </w:rPr>
              <w:t xml:space="preserve"> </w:t>
            </w:r>
            <w:r>
              <w:rPr>
                <w:sz w:val="24"/>
              </w:rPr>
              <w:t>Total Income</w:t>
            </w:r>
          </w:p>
        </w:tc>
        <w:tc>
          <w:tcPr>
            <w:tcW w:w="1559" w:type="dxa"/>
          </w:tcPr>
          <w:p w:rsidR="009F4C3E" w:rsidRDefault="009F4C3E" w:rsidP="000E1D3A">
            <w:r>
              <w:t>(7053)</w:t>
            </w:r>
          </w:p>
        </w:tc>
        <w:tc>
          <w:tcPr>
            <w:tcW w:w="1276" w:type="dxa"/>
          </w:tcPr>
          <w:p w:rsidR="009F4C3E" w:rsidRDefault="009F4C3E" w:rsidP="000E1D3A">
            <w:r>
              <w:t>(5425)</w:t>
            </w:r>
          </w:p>
        </w:tc>
        <w:tc>
          <w:tcPr>
            <w:tcW w:w="1418" w:type="dxa"/>
          </w:tcPr>
          <w:p w:rsidR="009F4C3E" w:rsidRDefault="009F4C3E" w:rsidP="000E1D3A">
            <w:r>
              <w:t>1628</w:t>
            </w:r>
          </w:p>
        </w:tc>
        <w:tc>
          <w:tcPr>
            <w:tcW w:w="1417" w:type="dxa"/>
          </w:tcPr>
          <w:p w:rsidR="009F4C3E" w:rsidRDefault="009F4C3E" w:rsidP="000E1D3A">
            <w:r>
              <w:t>(5425)</w:t>
            </w:r>
          </w:p>
        </w:tc>
        <w:tc>
          <w:tcPr>
            <w:tcW w:w="1276" w:type="dxa"/>
          </w:tcPr>
          <w:p w:rsidR="009F4C3E" w:rsidRDefault="009F4C3E" w:rsidP="000E1D3A">
            <w:r>
              <w:t>(4045)</w:t>
            </w:r>
          </w:p>
        </w:tc>
        <w:tc>
          <w:tcPr>
            <w:tcW w:w="1134" w:type="dxa"/>
          </w:tcPr>
          <w:p w:rsidR="009F4C3E" w:rsidRDefault="009F4C3E" w:rsidP="000E1D3A">
            <w:r>
              <w:t>(1380)</w:t>
            </w:r>
          </w:p>
        </w:tc>
      </w:tr>
      <w:tr w:rsidR="009F4C3E" w:rsidTr="009F4C3E">
        <w:tc>
          <w:tcPr>
            <w:tcW w:w="7371" w:type="dxa"/>
          </w:tcPr>
          <w:p w:rsidR="009F4C3E" w:rsidRDefault="009F4C3E" w:rsidP="000E1D3A">
            <w:r>
              <w:rPr>
                <w:sz w:val="24"/>
              </w:rPr>
              <w:t>Net Cost of Services</w:t>
            </w:r>
          </w:p>
        </w:tc>
        <w:tc>
          <w:tcPr>
            <w:tcW w:w="1559" w:type="dxa"/>
          </w:tcPr>
          <w:p w:rsidR="009F4C3E" w:rsidRDefault="009F4C3E" w:rsidP="000E1D3A">
            <w:r>
              <w:t>6262</w:t>
            </w:r>
          </w:p>
        </w:tc>
        <w:tc>
          <w:tcPr>
            <w:tcW w:w="1276" w:type="dxa"/>
          </w:tcPr>
          <w:p w:rsidR="009F4C3E" w:rsidRDefault="009F4C3E" w:rsidP="000E1D3A">
            <w:r>
              <w:t>1317</w:t>
            </w:r>
          </w:p>
        </w:tc>
        <w:tc>
          <w:tcPr>
            <w:tcW w:w="1418" w:type="dxa"/>
          </w:tcPr>
          <w:p w:rsidR="009F4C3E" w:rsidRDefault="009F4C3E" w:rsidP="000E1D3A">
            <w:r>
              <w:t>(4945)</w:t>
            </w:r>
          </w:p>
        </w:tc>
        <w:tc>
          <w:tcPr>
            <w:tcW w:w="1417" w:type="dxa"/>
          </w:tcPr>
          <w:p w:rsidR="009F4C3E" w:rsidRDefault="009F4C3E" w:rsidP="000E1D3A">
            <w:r>
              <w:t>1317</w:t>
            </w:r>
          </w:p>
        </w:tc>
        <w:tc>
          <w:tcPr>
            <w:tcW w:w="1276" w:type="dxa"/>
          </w:tcPr>
          <w:p w:rsidR="009F4C3E" w:rsidRDefault="009F4C3E" w:rsidP="000E1D3A">
            <w:r>
              <w:t>5385</w:t>
            </w:r>
          </w:p>
        </w:tc>
        <w:tc>
          <w:tcPr>
            <w:tcW w:w="1134" w:type="dxa"/>
          </w:tcPr>
          <w:p w:rsidR="009F4C3E" w:rsidRDefault="009F4C3E" w:rsidP="000E1D3A">
            <w:r>
              <w:t>(4068)</w:t>
            </w:r>
          </w:p>
        </w:tc>
      </w:tr>
      <w:tr w:rsidR="009F4C3E" w:rsidTr="009F4C3E">
        <w:tc>
          <w:tcPr>
            <w:tcW w:w="7371" w:type="dxa"/>
          </w:tcPr>
          <w:p w:rsidR="009F4C3E" w:rsidRDefault="009F4C3E" w:rsidP="000E1D3A">
            <w:r>
              <w:rPr>
                <w:sz w:val="24"/>
              </w:rPr>
              <w:t>Adjustments</w:t>
            </w:r>
          </w:p>
        </w:tc>
        <w:tc>
          <w:tcPr>
            <w:tcW w:w="1559" w:type="dxa"/>
          </w:tcPr>
          <w:p w:rsidR="009F4C3E" w:rsidRDefault="009F4C3E" w:rsidP="000E1D3A">
            <w:r>
              <w:t>(2858)</w:t>
            </w:r>
          </w:p>
        </w:tc>
        <w:tc>
          <w:tcPr>
            <w:tcW w:w="1276" w:type="dxa"/>
          </w:tcPr>
          <w:p w:rsidR="009F4C3E" w:rsidRDefault="009F4C3E" w:rsidP="000E1D3A">
            <w:r>
              <w:t>2086</w:t>
            </w:r>
          </w:p>
        </w:tc>
        <w:tc>
          <w:tcPr>
            <w:tcW w:w="1418" w:type="dxa"/>
          </w:tcPr>
          <w:p w:rsidR="009F4C3E" w:rsidRDefault="009F4C3E" w:rsidP="000E1D3A">
            <w:r>
              <w:t>4944</w:t>
            </w:r>
          </w:p>
        </w:tc>
        <w:tc>
          <w:tcPr>
            <w:tcW w:w="1417" w:type="dxa"/>
          </w:tcPr>
          <w:p w:rsidR="009F4C3E" w:rsidRDefault="009F4C3E" w:rsidP="000E1D3A">
            <w:r>
              <w:t>2086</w:t>
            </w:r>
          </w:p>
        </w:tc>
        <w:tc>
          <w:tcPr>
            <w:tcW w:w="1276" w:type="dxa"/>
          </w:tcPr>
          <w:p w:rsidR="009F4C3E" w:rsidRDefault="009F4C3E" w:rsidP="000E1D3A">
            <w:r>
              <w:t>2028</w:t>
            </w:r>
          </w:p>
        </w:tc>
        <w:tc>
          <w:tcPr>
            <w:tcW w:w="1134" w:type="dxa"/>
          </w:tcPr>
          <w:p w:rsidR="009F4C3E" w:rsidRDefault="009F4C3E" w:rsidP="000E1D3A">
            <w:r>
              <w:t>58</w:t>
            </w:r>
          </w:p>
        </w:tc>
      </w:tr>
      <w:tr w:rsidR="009F4C3E" w:rsidTr="009F4C3E">
        <w:tc>
          <w:tcPr>
            <w:tcW w:w="7371" w:type="dxa"/>
          </w:tcPr>
          <w:p w:rsidR="009F4C3E" w:rsidRPr="006E4546" w:rsidRDefault="009F4C3E" w:rsidP="000E1D3A">
            <w:r w:rsidRPr="006E4546">
              <w:rPr>
                <w:sz w:val="24"/>
              </w:rPr>
              <w:t>Total appropriations provided to deliver services</w:t>
            </w:r>
          </w:p>
        </w:tc>
        <w:tc>
          <w:tcPr>
            <w:tcW w:w="1559" w:type="dxa"/>
          </w:tcPr>
          <w:p w:rsidR="009F4C3E" w:rsidRDefault="009F4C3E" w:rsidP="000E1D3A">
            <w:r>
              <w:t>3404</w:t>
            </w:r>
          </w:p>
        </w:tc>
        <w:tc>
          <w:tcPr>
            <w:tcW w:w="1276" w:type="dxa"/>
          </w:tcPr>
          <w:p w:rsidR="009F4C3E" w:rsidRDefault="009F4C3E" w:rsidP="000E1D3A">
            <w:r>
              <w:t>3403</w:t>
            </w:r>
          </w:p>
        </w:tc>
        <w:tc>
          <w:tcPr>
            <w:tcW w:w="1418" w:type="dxa"/>
          </w:tcPr>
          <w:p w:rsidR="009F4C3E" w:rsidRDefault="009F4C3E" w:rsidP="000E1D3A">
            <w:r>
              <w:t>(1)</w:t>
            </w:r>
          </w:p>
        </w:tc>
        <w:tc>
          <w:tcPr>
            <w:tcW w:w="1417" w:type="dxa"/>
          </w:tcPr>
          <w:p w:rsidR="009F4C3E" w:rsidRDefault="009F4C3E" w:rsidP="000E1D3A">
            <w:r>
              <w:t>3403</w:t>
            </w:r>
          </w:p>
        </w:tc>
        <w:tc>
          <w:tcPr>
            <w:tcW w:w="1276" w:type="dxa"/>
          </w:tcPr>
          <w:p w:rsidR="009F4C3E" w:rsidRDefault="009F4C3E" w:rsidP="000E1D3A">
            <w:r>
              <w:t>7413</w:t>
            </w:r>
          </w:p>
        </w:tc>
        <w:tc>
          <w:tcPr>
            <w:tcW w:w="1134" w:type="dxa"/>
          </w:tcPr>
          <w:p w:rsidR="009F4C3E" w:rsidRDefault="009F4C3E" w:rsidP="000E1D3A">
            <w:r>
              <w:t>(4010)</w:t>
            </w:r>
          </w:p>
        </w:tc>
      </w:tr>
    </w:tbl>
    <w:p w:rsidR="009F4C3E" w:rsidRDefault="009F4C3E" w:rsidP="009F4C3E">
      <w:pPr>
        <w:pStyle w:val="BodyText"/>
        <w:spacing w:line="235" w:lineRule="auto"/>
        <w:ind w:right="1431"/>
      </w:pPr>
    </w:p>
    <w:tbl>
      <w:tblPr>
        <w:tblW w:w="154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gridCol w:w="1559"/>
        <w:gridCol w:w="1276"/>
        <w:gridCol w:w="1418"/>
        <w:gridCol w:w="1417"/>
        <w:gridCol w:w="1276"/>
        <w:gridCol w:w="1134"/>
      </w:tblGrid>
      <w:tr w:rsidR="009F4C3E" w:rsidTr="009F4C3E">
        <w:trPr>
          <w:trHeight w:val="645"/>
        </w:trPr>
        <w:tc>
          <w:tcPr>
            <w:tcW w:w="7371" w:type="dxa"/>
          </w:tcPr>
          <w:p w:rsidR="009F4C3E" w:rsidRPr="006E4546" w:rsidRDefault="009F4C3E" w:rsidP="000E1D3A">
            <w:pPr>
              <w:pStyle w:val="TableParagraph"/>
              <w:spacing w:before="2"/>
              <w:rPr>
                <w:sz w:val="25"/>
              </w:rPr>
            </w:pPr>
          </w:p>
          <w:p w:rsidR="009F4C3E" w:rsidRPr="006E4546" w:rsidRDefault="009F4C3E" w:rsidP="000E1D3A">
            <w:pPr>
              <w:rPr>
                <w:sz w:val="24"/>
              </w:rPr>
            </w:pPr>
            <w:r w:rsidRPr="006E4546">
              <w:rPr>
                <w:sz w:val="24"/>
              </w:rPr>
              <w:t>Details of Income Estimates</w:t>
            </w:r>
          </w:p>
        </w:tc>
        <w:tc>
          <w:tcPr>
            <w:tcW w:w="1559" w:type="dxa"/>
          </w:tcPr>
          <w:p w:rsidR="009F4C3E" w:rsidRPr="006E4546" w:rsidRDefault="009F4C3E" w:rsidP="000E1D3A">
            <w:pPr>
              <w:pStyle w:val="TableParagraph"/>
              <w:rPr>
                <w:rFonts w:ascii="Times New Roman"/>
                <w:sz w:val="24"/>
              </w:rPr>
            </w:pPr>
            <w:r w:rsidRPr="006E4546">
              <w:rPr>
                <w:sz w:val="24"/>
              </w:rPr>
              <w:t>2018 Estimate $000</w:t>
            </w:r>
          </w:p>
        </w:tc>
        <w:tc>
          <w:tcPr>
            <w:tcW w:w="1276" w:type="dxa"/>
          </w:tcPr>
          <w:p w:rsidR="009F4C3E" w:rsidRPr="006E4546" w:rsidRDefault="009F4C3E" w:rsidP="000E1D3A">
            <w:pPr>
              <w:pStyle w:val="TableParagraph"/>
              <w:rPr>
                <w:rFonts w:ascii="Times New Roman"/>
                <w:sz w:val="24"/>
              </w:rPr>
            </w:pPr>
            <w:r w:rsidRPr="006E4546">
              <w:rPr>
                <w:sz w:val="24"/>
              </w:rPr>
              <w:t>2018 Actual $000</w:t>
            </w:r>
          </w:p>
        </w:tc>
        <w:tc>
          <w:tcPr>
            <w:tcW w:w="1418" w:type="dxa"/>
          </w:tcPr>
          <w:p w:rsidR="009F4C3E" w:rsidRPr="006E4546" w:rsidRDefault="009F4C3E" w:rsidP="000E1D3A">
            <w:pPr>
              <w:pStyle w:val="TableParagraph"/>
              <w:rPr>
                <w:rFonts w:ascii="Times New Roman"/>
                <w:sz w:val="24"/>
              </w:rPr>
            </w:pPr>
            <w:r w:rsidRPr="006E4546">
              <w:rPr>
                <w:sz w:val="24"/>
              </w:rPr>
              <w:t>Variance $000</w:t>
            </w:r>
          </w:p>
        </w:tc>
        <w:tc>
          <w:tcPr>
            <w:tcW w:w="1417" w:type="dxa"/>
          </w:tcPr>
          <w:p w:rsidR="009F4C3E" w:rsidRPr="006E4546" w:rsidRDefault="009F4C3E" w:rsidP="000E1D3A">
            <w:pPr>
              <w:pStyle w:val="TableParagraph"/>
              <w:rPr>
                <w:rFonts w:ascii="Times New Roman"/>
                <w:sz w:val="24"/>
              </w:rPr>
            </w:pPr>
            <w:r w:rsidRPr="006E4546">
              <w:rPr>
                <w:sz w:val="24"/>
              </w:rPr>
              <w:t>2018 Actual $000</w:t>
            </w:r>
          </w:p>
        </w:tc>
        <w:tc>
          <w:tcPr>
            <w:tcW w:w="1276" w:type="dxa"/>
          </w:tcPr>
          <w:p w:rsidR="009F4C3E" w:rsidRPr="006E4546" w:rsidRDefault="009F4C3E" w:rsidP="000E1D3A">
            <w:pPr>
              <w:pStyle w:val="TableParagraph"/>
              <w:rPr>
                <w:rFonts w:ascii="Times New Roman"/>
                <w:sz w:val="24"/>
              </w:rPr>
            </w:pPr>
            <w:r w:rsidRPr="006E4546">
              <w:rPr>
                <w:sz w:val="24"/>
              </w:rPr>
              <w:t>2017 Actual $000</w:t>
            </w:r>
          </w:p>
        </w:tc>
        <w:tc>
          <w:tcPr>
            <w:tcW w:w="1134" w:type="dxa"/>
          </w:tcPr>
          <w:p w:rsidR="009F4C3E" w:rsidRPr="006E4546" w:rsidRDefault="009F4C3E" w:rsidP="000E1D3A">
            <w:pPr>
              <w:pStyle w:val="TableParagraph"/>
              <w:rPr>
                <w:rFonts w:ascii="Times New Roman"/>
                <w:sz w:val="24"/>
              </w:rPr>
            </w:pPr>
            <w:r w:rsidRPr="006E4546">
              <w:rPr>
                <w:sz w:val="24"/>
              </w:rPr>
              <w:t>Variance $000</w:t>
            </w:r>
          </w:p>
        </w:tc>
      </w:tr>
      <w:tr w:rsidR="009F4C3E" w:rsidTr="009F4C3E">
        <w:trPr>
          <w:trHeight w:val="340"/>
        </w:trPr>
        <w:tc>
          <w:tcPr>
            <w:tcW w:w="7371" w:type="dxa"/>
          </w:tcPr>
          <w:p w:rsidR="009F4C3E" w:rsidRDefault="009F4C3E" w:rsidP="000E1D3A">
            <w:pPr>
              <w:pStyle w:val="TableParagraph"/>
              <w:spacing w:before="1"/>
              <w:rPr>
                <w:sz w:val="24"/>
              </w:rPr>
            </w:pPr>
            <w:r>
              <w:rPr>
                <w:sz w:val="24"/>
              </w:rPr>
              <w:t>Income disclosed as Administered Income</w:t>
            </w:r>
          </w:p>
        </w:tc>
        <w:tc>
          <w:tcPr>
            <w:tcW w:w="1559" w:type="dxa"/>
          </w:tcPr>
          <w:p w:rsidR="009F4C3E" w:rsidRDefault="009F4C3E" w:rsidP="00DC3AEB">
            <w:pPr>
              <w:pStyle w:val="TableParagraph"/>
              <w:spacing w:before="1"/>
              <w:rPr>
                <w:sz w:val="24"/>
              </w:rPr>
            </w:pPr>
            <w:r>
              <w:rPr>
                <w:sz w:val="24"/>
              </w:rPr>
              <w:t>5,839</w:t>
            </w:r>
          </w:p>
        </w:tc>
        <w:tc>
          <w:tcPr>
            <w:tcW w:w="1276" w:type="dxa"/>
          </w:tcPr>
          <w:p w:rsidR="009F4C3E" w:rsidRDefault="009F4C3E" w:rsidP="00DC3AEB">
            <w:pPr>
              <w:pStyle w:val="TableParagraph"/>
              <w:spacing w:before="1"/>
              <w:ind w:right="248"/>
              <w:rPr>
                <w:sz w:val="24"/>
              </w:rPr>
            </w:pPr>
            <w:r>
              <w:rPr>
                <w:sz w:val="24"/>
              </w:rPr>
              <w:t>0</w:t>
            </w:r>
          </w:p>
        </w:tc>
        <w:tc>
          <w:tcPr>
            <w:tcW w:w="1418" w:type="dxa"/>
          </w:tcPr>
          <w:p w:rsidR="009F4C3E" w:rsidRDefault="009F4C3E" w:rsidP="00DC3AEB">
            <w:pPr>
              <w:pStyle w:val="TableParagraph"/>
              <w:spacing w:before="1"/>
              <w:rPr>
                <w:sz w:val="24"/>
              </w:rPr>
            </w:pPr>
            <w:r>
              <w:rPr>
                <w:sz w:val="24"/>
              </w:rPr>
              <w:t>(5,839)</w:t>
            </w:r>
          </w:p>
        </w:tc>
        <w:tc>
          <w:tcPr>
            <w:tcW w:w="1417" w:type="dxa"/>
          </w:tcPr>
          <w:p w:rsidR="009F4C3E" w:rsidRDefault="009F4C3E" w:rsidP="00DC3AEB">
            <w:pPr>
              <w:pStyle w:val="TableParagraph"/>
              <w:spacing w:before="1"/>
              <w:ind w:right="333"/>
              <w:rPr>
                <w:sz w:val="24"/>
              </w:rPr>
            </w:pPr>
            <w:r>
              <w:rPr>
                <w:sz w:val="24"/>
              </w:rPr>
              <w:t>0</w:t>
            </w:r>
          </w:p>
        </w:tc>
        <w:tc>
          <w:tcPr>
            <w:tcW w:w="1276" w:type="dxa"/>
          </w:tcPr>
          <w:p w:rsidR="009F4C3E" w:rsidRDefault="009F4C3E" w:rsidP="00DC3AEB">
            <w:pPr>
              <w:pStyle w:val="TableParagraph"/>
              <w:spacing w:before="1"/>
              <w:rPr>
                <w:sz w:val="24"/>
              </w:rPr>
            </w:pPr>
            <w:r>
              <w:rPr>
                <w:sz w:val="24"/>
              </w:rPr>
              <w:t>5,632</w:t>
            </w:r>
          </w:p>
        </w:tc>
        <w:tc>
          <w:tcPr>
            <w:tcW w:w="1134" w:type="dxa"/>
          </w:tcPr>
          <w:p w:rsidR="009F4C3E" w:rsidRDefault="009F4C3E" w:rsidP="00DC3AEB">
            <w:pPr>
              <w:pStyle w:val="TableParagraph"/>
              <w:spacing w:before="1"/>
              <w:ind w:right="75"/>
              <w:rPr>
                <w:sz w:val="24"/>
              </w:rPr>
            </w:pPr>
            <w:r>
              <w:rPr>
                <w:sz w:val="24"/>
              </w:rPr>
              <w:t>(5,632)</w:t>
            </w:r>
          </w:p>
        </w:tc>
      </w:tr>
      <w:tr w:rsidR="009F4C3E" w:rsidRPr="004358AD" w:rsidTr="009F4C3E">
        <w:trPr>
          <w:trHeight w:val="322"/>
        </w:trPr>
        <w:tc>
          <w:tcPr>
            <w:tcW w:w="7371" w:type="dxa"/>
          </w:tcPr>
          <w:p w:rsidR="009F4C3E" w:rsidRPr="006E4546" w:rsidRDefault="009F4C3E" w:rsidP="000E1D3A">
            <w:pPr>
              <w:pStyle w:val="TableParagraph"/>
              <w:spacing w:before="1"/>
              <w:rPr>
                <w:sz w:val="24"/>
              </w:rPr>
            </w:pPr>
            <w:r w:rsidRPr="006E4546">
              <w:rPr>
                <w:sz w:val="24"/>
              </w:rPr>
              <w:t>Total income estimates</w:t>
            </w:r>
          </w:p>
        </w:tc>
        <w:tc>
          <w:tcPr>
            <w:tcW w:w="1559" w:type="dxa"/>
          </w:tcPr>
          <w:p w:rsidR="009F4C3E" w:rsidRPr="006E4546" w:rsidRDefault="009F4C3E" w:rsidP="000E1D3A">
            <w:pPr>
              <w:pStyle w:val="TableParagraph"/>
              <w:tabs>
                <w:tab w:val="left" w:pos="732"/>
                <w:tab w:val="left" w:pos="2567"/>
              </w:tabs>
              <w:spacing w:before="1"/>
              <w:ind w:left="-1" w:right="-965"/>
              <w:rPr>
                <w:sz w:val="24"/>
              </w:rPr>
            </w:pPr>
            <w:r w:rsidRPr="006E4546">
              <w:rPr>
                <w:sz w:val="24"/>
              </w:rPr>
              <w:t>5,839</w:t>
            </w:r>
          </w:p>
        </w:tc>
        <w:tc>
          <w:tcPr>
            <w:tcW w:w="1276" w:type="dxa"/>
          </w:tcPr>
          <w:p w:rsidR="009F4C3E" w:rsidRPr="006E4546" w:rsidRDefault="009F4C3E" w:rsidP="00DC3AEB">
            <w:pPr>
              <w:pStyle w:val="TableParagraph"/>
              <w:tabs>
                <w:tab w:val="left" w:pos="735"/>
              </w:tabs>
              <w:spacing w:before="1"/>
              <w:ind w:right="-418"/>
              <w:rPr>
                <w:sz w:val="24"/>
              </w:rPr>
            </w:pPr>
            <w:r w:rsidRPr="006E4546">
              <w:rPr>
                <w:sz w:val="24"/>
              </w:rPr>
              <w:t>0</w:t>
            </w:r>
            <w:r w:rsidRPr="006E4546">
              <w:rPr>
                <w:sz w:val="24"/>
              </w:rPr>
              <w:tab/>
            </w:r>
          </w:p>
        </w:tc>
        <w:tc>
          <w:tcPr>
            <w:tcW w:w="1418" w:type="dxa"/>
          </w:tcPr>
          <w:p w:rsidR="009F4C3E" w:rsidRPr="006E4546" w:rsidRDefault="009F4C3E" w:rsidP="00DC3AEB">
            <w:pPr>
              <w:pStyle w:val="TableParagraph"/>
              <w:tabs>
                <w:tab w:val="left" w:pos="2396"/>
              </w:tabs>
              <w:ind w:right="-965"/>
              <w:rPr>
                <w:sz w:val="24"/>
              </w:rPr>
            </w:pPr>
            <w:r w:rsidRPr="006E4546">
              <w:rPr>
                <w:sz w:val="24"/>
              </w:rPr>
              <w:t>(5,839)</w:t>
            </w:r>
            <w:r w:rsidRPr="006E4546">
              <w:rPr>
                <w:sz w:val="24"/>
              </w:rPr>
              <w:tab/>
            </w:r>
          </w:p>
        </w:tc>
        <w:tc>
          <w:tcPr>
            <w:tcW w:w="1417" w:type="dxa"/>
          </w:tcPr>
          <w:p w:rsidR="009F4C3E" w:rsidRPr="006E4546" w:rsidRDefault="009F4C3E" w:rsidP="00DC3AEB">
            <w:pPr>
              <w:pStyle w:val="TableParagraph"/>
              <w:tabs>
                <w:tab w:val="left" w:pos="885"/>
              </w:tabs>
              <w:spacing w:before="1"/>
              <w:ind w:right="-490"/>
              <w:rPr>
                <w:sz w:val="24"/>
              </w:rPr>
            </w:pPr>
            <w:r w:rsidRPr="006E4546">
              <w:rPr>
                <w:sz w:val="24"/>
              </w:rPr>
              <w:t>0</w:t>
            </w:r>
            <w:r w:rsidRPr="006E4546">
              <w:rPr>
                <w:sz w:val="24"/>
              </w:rPr>
              <w:tab/>
            </w:r>
          </w:p>
        </w:tc>
        <w:tc>
          <w:tcPr>
            <w:tcW w:w="1276" w:type="dxa"/>
          </w:tcPr>
          <w:p w:rsidR="009F4C3E" w:rsidRPr="006E4546" w:rsidRDefault="009F4C3E" w:rsidP="00DC3AEB">
            <w:pPr>
              <w:pStyle w:val="TableParagraph"/>
              <w:tabs>
                <w:tab w:val="left" w:pos="1221"/>
              </w:tabs>
              <w:spacing w:before="1"/>
              <w:ind w:right="-432"/>
              <w:rPr>
                <w:sz w:val="24"/>
              </w:rPr>
            </w:pPr>
            <w:r w:rsidRPr="006E4546">
              <w:rPr>
                <w:sz w:val="24"/>
              </w:rPr>
              <w:t>5,632</w:t>
            </w:r>
            <w:r w:rsidRPr="006E4546">
              <w:rPr>
                <w:sz w:val="24"/>
              </w:rPr>
              <w:tab/>
            </w:r>
          </w:p>
        </w:tc>
        <w:tc>
          <w:tcPr>
            <w:tcW w:w="1134" w:type="dxa"/>
          </w:tcPr>
          <w:p w:rsidR="009F4C3E" w:rsidRPr="006E4546" w:rsidRDefault="009F4C3E" w:rsidP="00DC3AEB">
            <w:pPr>
              <w:pStyle w:val="TableParagraph"/>
              <w:spacing w:before="1"/>
              <w:ind w:right="74"/>
              <w:rPr>
                <w:sz w:val="24"/>
              </w:rPr>
            </w:pPr>
            <w:r w:rsidRPr="006E4546">
              <w:rPr>
                <w:sz w:val="24"/>
              </w:rPr>
              <w:t>(5,632)</w:t>
            </w:r>
          </w:p>
        </w:tc>
      </w:tr>
    </w:tbl>
    <w:p w:rsidR="004358AD" w:rsidRDefault="004358AD" w:rsidP="009F4C3E">
      <w:pPr>
        <w:pStyle w:val="BodyText"/>
        <w:spacing w:before="174" w:line="235" w:lineRule="auto"/>
        <w:ind w:left="709" w:right="1431"/>
      </w:pPr>
      <w:r>
        <w:t>Adjustments comprise movements in cash balances and other accrual items such as receivables, payables and superannuation.</w:t>
      </w:r>
    </w:p>
    <w:p w:rsidR="00A1463E" w:rsidRDefault="00F52429">
      <w:pPr>
        <w:pStyle w:val="BodyText"/>
        <w:spacing w:before="174" w:line="235" w:lineRule="auto"/>
        <w:ind w:left="680" w:right="1431"/>
      </w:pPr>
      <w:r>
        <w:t>Notes 29 ‘Explanatory statement’ and Note 33 ‘Explanatory statement for Administered Items - Income and Expenses’ provide details of any significant variations between estimates and actual results for 2018 and between the actual results for 2018 and 2017.</w:t>
      </w:r>
    </w:p>
    <w:p w:rsidR="00A1463E" w:rsidRDefault="00A1463E">
      <w:pPr>
        <w:spacing w:line="235" w:lineRule="auto"/>
        <w:sectPr w:rsidR="00A1463E">
          <w:pgSz w:w="16840" w:h="11910" w:orient="landscape"/>
          <w:pgMar w:top="540" w:right="0" w:bottom="360" w:left="0" w:header="229" w:footer="145" w:gutter="0"/>
          <w:cols w:space="720"/>
        </w:sectPr>
      </w:pPr>
    </w:p>
    <w:p w:rsidR="00A1463E" w:rsidRDefault="00F52429" w:rsidP="007609FA">
      <w:pPr>
        <w:pStyle w:val="Heading1"/>
        <w:ind w:left="851"/>
        <w:rPr>
          <w:sz w:val="28"/>
        </w:rPr>
      </w:pPr>
      <w:bookmarkStart w:id="45" w:name="_bookmark33"/>
      <w:bookmarkEnd w:id="45"/>
      <w:r>
        <w:rPr>
          <w:color w:val="353434"/>
          <w:sz w:val="32"/>
        </w:rPr>
        <w:lastRenderedPageBreak/>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4564CC" w:rsidP="007609FA">
      <w:pPr>
        <w:pStyle w:val="Heading2"/>
        <w:ind w:left="851"/>
      </w:pPr>
      <w:r w:rsidRPr="00521837">
        <w:t>Note 1. Australian Accounting Standards</w:t>
      </w:r>
    </w:p>
    <w:p w:rsidR="004564CC" w:rsidRPr="00E661A5" w:rsidRDefault="004564CC" w:rsidP="00E661A5">
      <w:pPr>
        <w:pStyle w:val="Heading3"/>
        <w:ind w:left="851"/>
        <w:rPr>
          <w:b/>
        </w:rPr>
      </w:pPr>
      <w:r w:rsidRPr="00E661A5">
        <w:rPr>
          <w:b/>
        </w:rPr>
        <w:t>General</w:t>
      </w:r>
    </w:p>
    <w:p w:rsidR="004564CC" w:rsidRPr="001D5C3E" w:rsidRDefault="004564CC" w:rsidP="007609FA">
      <w:pPr>
        <w:pStyle w:val="BodyText"/>
        <w:ind w:left="851"/>
      </w:pPr>
      <w:r w:rsidRPr="001D5C3E">
        <w:t xml:space="preserve">The </w:t>
      </w:r>
      <w:r>
        <w:t>sub-department</w:t>
      </w:r>
      <w:r w:rsidRPr="001D5C3E">
        <w:t xml:space="preserve">’s financial statements for the year ended 30 June </w:t>
      </w:r>
      <w:r>
        <w:t>2018</w:t>
      </w:r>
      <w:r w:rsidRPr="001D5C3E">
        <w:t xml:space="preserve"> have been prepared in accordance with Australian Accounting Standards. The term ‘Australian Accounting Standards’ includes Standards and Interpretations issued by the Australian Accounting Standards Board (AASB).</w:t>
      </w:r>
      <w:r w:rsidRPr="007C51DD">
        <w:t xml:space="preserve"> These annual financial statements were </w:t>
      </w:r>
      <w:proofErr w:type="spellStart"/>
      <w:r w:rsidRPr="007C51DD">
        <w:t>authorised</w:t>
      </w:r>
      <w:proofErr w:type="spellEnd"/>
      <w:r w:rsidRPr="007C51DD">
        <w:t xml:space="preserve"> for issue by the </w:t>
      </w:r>
      <w:r>
        <w:t>sub-d</w:t>
      </w:r>
      <w:r w:rsidRPr="007C51DD">
        <w:t xml:space="preserve">epartment’s </w:t>
      </w:r>
      <w:r>
        <w:t>Reporting Officer on 29</w:t>
      </w:r>
      <w:r w:rsidRPr="007C51DD">
        <w:t xml:space="preserve"> </w:t>
      </w:r>
      <w:r>
        <w:t>August</w:t>
      </w:r>
      <w:r w:rsidRPr="007C51DD">
        <w:t xml:space="preserve"> 2018.</w:t>
      </w:r>
    </w:p>
    <w:p w:rsidR="004564CC" w:rsidRPr="001D5C3E" w:rsidRDefault="004564CC" w:rsidP="007609FA">
      <w:pPr>
        <w:pStyle w:val="BodyText"/>
        <w:ind w:left="851"/>
      </w:pPr>
      <w:r w:rsidRPr="001D5C3E">
        <w:t xml:space="preserve">The </w:t>
      </w:r>
      <w:r>
        <w:t xml:space="preserve">sub-department </w:t>
      </w:r>
      <w:r w:rsidRPr="001D5C3E">
        <w:t>has adopted any applicable new and revised Australian Accounting Standards from their operative dates.</w:t>
      </w:r>
    </w:p>
    <w:p w:rsidR="004564CC" w:rsidRDefault="004564CC" w:rsidP="007609FA">
      <w:pPr>
        <w:pStyle w:val="BodyText"/>
        <w:ind w:left="851"/>
        <w:rPr>
          <w:sz w:val="14"/>
        </w:rPr>
      </w:pPr>
    </w:p>
    <w:p w:rsidR="004564CC" w:rsidRPr="00F6664B" w:rsidRDefault="004564CC" w:rsidP="007609FA">
      <w:pPr>
        <w:pStyle w:val="Heading4"/>
        <w:ind w:left="851"/>
        <w:jc w:val="both"/>
      </w:pPr>
      <w:r w:rsidRPr="00F6664B">
        <w:t>Early adoption of standards</w:t>
      </w:r>
    </w:p>
    <w:p w:rsidR="004564CC" w:rsidRDefault="004564CC" w:rsidP="007609FA">
      <w:pPr>
        <w:pStyle w:val="BodyText"/>
        <w:ind w:left="851" w:right="538"/>
        <w:rPr>
          <w:color w:val="FF0000"/>
        </w:rPr>
      </w:pPr>
      <w:r>
        <w:t xml:space="preserve">The sub-department cannot early adopt an Australian Accounting Standard unless specifically permitted by TI 1101 </w:t>
      </w:r>
      <w:r>
        <w:rPr>
          <w:i/>
          <w:iCs/>
        </w:rPr>
        <w:t xml:space="preserve">Application of Australian Accounting Standards and Other Pronouncements </w:t>
      </w:r>
      <w:r w:rsidRPr="00300DD3">
        <w:rPr>
          <w:i/>
          <w:iCs/>
        </w:rPr>
        <w:t>or by an exemption from TI 1101</w:t>
      </w:r>
      <w:r w:rsidRPr="00300DD3">
        <w:t>. There has been no early adoption of any Australian Accounting Standards that have been issued or amended (but not operative) by the sub-department for the annual reporting period ended 30 June 2018. Any Australian Accounting Standards that are operative after 30 June 2018 will not impact due to the closure of the sub-department.</w:t>
      </w:r>
    </w:p>
    <w:p w:rsidR="004564CC" w:rsidRDefault="004564CC" w:rsidP="007609FA">
      <w:pPr>
        <w:pStyle w:val="BodyText"/>
        <w:ind w:left="851"/>
        <w:rPr>
          <w:sz w:val="14"/>
        </w:rPr>
      </w:pPr>
    </w:p>
    <w:p w:rsidR="004564CC" w:rsidRDefault="004564CC" w:rsidP="007609FA">
      <w:pPr>
        <w:pStyle w:val="Heading2"/>
        <w:ind w:left="851"/>
      </w:pPr>
      <w:r w:rsidRPr="00521837">
        <w:t>Note 2. Summary of significant accounting policies</w:t>
      </w:r>
    </w:p>
    <w:p w:rsidR="004564CC" w:rsidRPr="00F6664B" w:rsidRDefault="004564CC" w:rsidP="00E661A5">
      <w:pPr>
        <w:pStyle w:val="Heading3"/>
        <w:ind w:left="851"/>
      </w:pPr>
      <w:r w:rsidRPr="00F6664B">
        <w:t>(a) General statement</w:t>
      </w:r>
    </w:p>
    <w:p w:rsidR="004564CC" w:rsidRPr="00697AB5" w:rsidRDefault="004564CC" w:rsidP="007609FA">
      <w:pPr>
        <w:pStyle w:val="BodyText"/>
        <w:ind w:left="851" w:right="680"/>
      </w:pPr>
      <w:r w:rsidRPr="00697AB5">
        <w:t xml:space="preserve">The </w:t>
      </w:r>
      <w:r>
        <w:t>sub-department</w:t>
      </w:r>
      <w:r w:rsidRPr="00697AB5">
        <w:t xml:space="preserve"> is a not-for-profit reporting entity that prepares general purpose financial statements in accordance with Australian Accounting Standards, the Framework, Statements of Accounting Concepts and other authoritative pronouncements of the AASB as applied by the Treasurer’s instructions. Several of these are modified by the Treasurer’s instructions to vary application, disclosure, format and wording.</w:t>
      </w:r>
    </w:p>
    <w:p w:rsidR="004564CC" w:rsidRPr="00697AB5" w:rsidRDefault="004564CC" w:rsidP="007609FA">
      <w:pPr>
        <w:pStyle w:val="BodyText"/>
        <w:ind w:left="851" w:right="680"/>
      </w:pPr>
      <w:r w:rsidRPr="00697AB5">
        <w:t xml:space="preserve">The </w:t>
      </w:r>
      <w:r w:rsidRPr="00697AB5">
        <w:rPr>
          <w:i/>
        </w:rPr>
        <w:t>Financial Management Act 2006</w:t>
      </w:r>
      <w:r w:rsidRPr="00697AB5">
        <w:t xml:space="preserve"> and the Treasurer’s instructions impose legislative provisions that govern the preparation of financial statements and take precedence over Australian Accounting Standards, the Framework, Statements of Accounting Concepts and other authoritative pronouncements of the AASB.</w:t>
      </w:r>
    </w:p>
    <w:p w:rsidR="004564CC" w:rsidRDefault="004564CC" w:rsidP="007609FA">
      <w:pPr>
        <w:pStyle w:val="BodyText"/>
        <w:spacing w:after="240"/>
        <w:ind w:left="851" w:right="680"/>
      </w:pPr>
      <w:r w:rsidRPr="00697AB5">
        <w:t>Where modification is required and has had a material or significant financial effect upon the reported results, details of that modification and the resulting financial effect are disclosed in the notes to the financial s</w:t>
      </w:r>
      <w:r>
        <w:t>tatements.</w:t>
      </w:r>
    </w:p>
    <w:p w:rsidR="004564CC" w:rsidRDefault="004564CC" w:rsidP="007609FA">
      <w:pPr>
        <w:pStyle w:val="Heading4"/>
        <w:ind w:left="851"/>
      </w:pPr>
      <w:r w:rsidRPr="004564CC">
        <w:t>(b) Basis of preparation</w:t>
      </w:r>
    </w:p>
    <w:p w:rsidR="004564CC" w:rsidRDefault="004564CC" w:rsidP="007609FA">
      <w:pPr>
        <w:pStyle w:val="BodyText"/>
        <w:ind w:left="851" w:right="538"/>
      </w:pPr>
      <w:r w:rsidRPr="001D5C3E">
        <w:t>The financial statements have been prepared on the accrual basis of accounting using the historical cost convention</w:t>
      </w:r>
      <w:r>
        <w:t>.</w:t>
      </w:r>
    </w:p>
    <w:p w:rsidR="004564CC" w:rsidRPr="001D5C3E" w:rsidRDefault="004564CC" w:rsidP="007609FA">
      <w:pPr>
        <w:pStyle w:val="BodyText"/>
        <w:ind w:left="851" w:right="538"/>
      </w:pPr>
      <w:r w:rsidRPr="001D5C3E">
        <w:t>The accounting policies adopted in the preparation of the financial statements have been consistently applied throughout all periods presented unless otherwise stated.</w:t>
      </w:r>
    </w:p>
    <w:p w:rsidR="004564CC" w:rsidRDefault="004564CC" w:rsidP="007609FA">
      <w:pPr>
        <w:pStyle w:val="BodyText"/>
        <w:ind w:left="851" w:right="538"/>
      </w:pPr>
      <w:r w:rsidRPr="001D5C3E">
        <w:t>The financial statements are presented in Australian dollars and all values are rounded to the nearest thousand dollars ($</w:t>
      </w:r>
      <w:r>
        <w:t>’</w:t>
      </w:r>
      <w:r w:rsidRPr="001D5C3E">
        <w:t>000).</w:t>
      </w:r>
    </w:p>
    <w:p w:rsidR="004564CC" w:rsidRPr="00157EFF" w:rsidRDefault="004564CC" w:rsidP="007609FA">
      <w:pPr>
        <w:pStyle w:val="BodyText"/>
        <w:ind w:left="851" w:right="538"/>
      </w:pPr>
      <w:r w:rsidRPr="00157EFF">
        <w:t xml:space="preserve">Note 4 ‘Judgements made by management in applying accounting policies’ discloses judgements that have been made in the process of applying the </w:t>
      </w:r>
      <w:r>
        <w:t>sub-department</w:t>
      </w:r>
      <w:r w:rsidRPr="00157EFF">
        <w:t xml:space="preserve">’s accounting policies resulting in the most significant effect on amounts </w:t>
      </w:r>
      <w:proofErr w:type="spellStart"/>
      <w:r w:rsidRPr="00157EFF">
        <w:t>recognised</w:t>
      </w:r>
      <w:proofErr w:type="spellEnd"/>
      <w:r w:rsidRPr="00157EFF">
        <w:t xml:space="preserve"> in the financial statements. </w:t>
      </w:r>
    </w:p>
    <w:p w:rsidR="004564CC" w:rsidRDefault="004564CC" w:rsidP="007609FA">
      <w:pPr>
        <w:pStyle w:val="BodyText"/>
        <w:spacing w:after="240"/>
        <w:ind w:left="851" w:right="538"/>
      </w:pPr>
      <w:r w:rsidRPr="00157EFF">
        <w:t xml:space="preserve">Note 5 ‘Key sources of estimation uncertainty’ discloses key assumptions made concerning the future, and other key sources of estimation uncertainty at the end of the reporting period, that have a significant risk of causing a material adjustment to the carrying amounts of assets and liabilities within the next </w:t>
      </w:r>
      <w:r>
        <w:t xml:space="preserve">reporting period. </w:t>
      </w:r>
    </w:p>
    <w:p w:rsidR="004564CC" w:rsidRDefault="004564CC" w:rsidP="007609FA">
      <w:pPr>
        <w:pStyle w:val="Heading4"/>
        <w:ind w:left="851"/>
      </w:pPr>
      <w:r w:rsidRPr="004564CC">
        <w:lastRenderedPageBreak/>
        <w:t>(c) Reporting entity</w:t>
      </w:r>
    </w:p>
    <w:p w:rsidR="004564CC" w:rsidRPr="004564CC" w:rsidRDefault="004564CC" w:rsidP="007609FA">
      <w:pPr>
        <w:pStyle w:val="BodyText"/>
        <w:ind w:left="851"/>
      </w:pPr>
      <w:r w:rsidRPr="004564CC">
        <w:t>The reporting entity is the Office of the Government Chief Information Officer.</w:t>
      </w:r>
    </w:p>
    <w:p w:rsidR="004564CC" w:rsidRPr="004564CC" w:rsidRDefault="004564CC" w:rsidP="007609FA">
      <w:pPr>
        <w:pStyle w:val="BodyText"/>
        <w:ind w:left="851" w:right="680"/>
      </w:pPr>
    </w:p>
    <w:p w:rsidR="004564CC" w:rsidRPr="004564CC" w:rsidRDefault="004564CC" w:rsidP="007609FA">
      <w:pPr>
        <w:pStyle w:val="BodyText"/>
        <w:ind w:left="851"/>
      </w:pPr>
      <w:r w:rsidRPr="004564CC">
        <w:t xml:space="preserve">Mission - We connect people, processes and technology to empower individuals to deliver better outcomes for government and citizens. We do this by collaborating with government agencies and industry to </w:t>
      </w:r>
      <w:proofErr w:type="spellStart"/>
      <w:r w:rsidRPr="004564CC">
        <w:t>stabilise</w:t>
      </w:r>
      <w:proofErr w:type="spellEnd"/>
      <w:r w:rsidRPr="004564CC">
        <w:t xml:space="preserve"> costs, increase value-for-money and </w:t>
      </w:r>
      <w:proofErr w:type="spellStart"/>
      <w:r w:rsidRPr="004564CC">
        <w:t>minimise</w:t>
      </w:r>
      <w:proofErr w:type="spellEnd"/>
      <w:r w:rsidRPr="004564CC">
        <w:t xml:space="preserve"> risk in Information and Communications Technology (ICT) delivery.</w:t>
      </w:r>
    </w:p>
    <w:p w:rsidR="004564CC" w:rsidRPr="004564CC" w:rsidRDefault="004564CC" w:rsidP="007609FA">
      <w:pPr>
        <w:pStyle w:val="BodyText"/>
        <w:ind w:left="851"/>
      </w:pPr>
    </w:p>
    <w:p w:rsidR="004564CC" w:rsidRPr="004564CC" w:rsidRDefault="004564CC" w:rsidP="007609FA">
      <w:pPr>
        <w:pStyle w:val="BodyText"/>
        <w:ind w:left="851"/>
        <w:rPr>
          <w:highlight w:val="yellow"/>
        </w:rPr>
      </w:pPr>
      <w:r w:rsidRPr="004564CC">
        <w:t>Services -  The sub-department provides one service in 2017-18 to Western Australia: Establishment of a platform for the delivery of better government services through efficient development of Information and Communications Technology (ICT) strategy, policies and solutions.</w:t>
      </w:r>
    </w:p>
    <w:p w:rsidR="004564CC" w:rsidRPr="004564CC" w:rsidRDefault="004564CC" w:rsidP="007609FA">
      <w:pPr>
        <w:pStyle w:val="BodyText"/>
        <w:ind w:left="851"/>
      </w:pPr>
      <w:r w:rsidRPr="004564CC">
        <w:t xml:space="preserve">The sub-department administers assets, liabilities, income and expenses on behalf of Government which are not controlled by, nor integral, to the function of the sub-department. These administered balances and transactions are not </w:t>
      </w:r>
      <w:proofErr w:type="spellStart"/>
      <w:r w:rsidRPr="004564CC">
        <w:t>recognised</w:t>
      </w:r>
      <w:proofErr w:type="spellEnd"/>
      <w:r w:rsidRPr="004564CC">
        <w:t xml:space="preserve"> in the principal financial statements of the sub-department but schedules are prepared using the same basis as the financial statements and are presented at Note 33 ‘Explanatory statement for Administered Items – Income and Expenses’ and Note 34 ‘Administered assets and liabilities’.</w:t>
      </w:r>
    </w:p>
    <w:p w:rsidR="004564CC" w:rsidRDefault="004564CC" w:rsidP="007609FA">
      <w:pPr>
        <w:pStyle w:val="Heading4"/>
        <w:ind w:left="851"/>
      </w:pPr>
    </w:p>
    <w:p w:rsidR="004564CC" w:rsidRPr="004564CC" w:rsidRDefault="004564CC" w:rsidP="007609FA">
      <w:pPr>
        <w:pStyle w:val="Heading4"/>
        <w:ind w:left="851"/>
      </w:pPr>
      <w:r w:rsidRPr="00F6664B">
        <w:t>(d) Contributed equity</w:t>
      </w:r>
    </w:p>
    <w:p w:rsidR="004564CC" w:rsidRPr="004564CC" w:rsidRDefault="004564CC" w:rsidP="007609FA">
      <w:pPr>
        <w:pStyle w:val="BodyText"/>
        <w:ind w:left="851" w:right="680"/>
      </w:pPr>
      <w:r w:rsidRPr="004564CC">
        <w:t xml:space="preserve">AASB Interpretation 1038 Contributions by Owners Made to Wholly-Owned Public Sector Entities requires transfers in the nature of equity contributions, other than as a result of a restructure of administrative arrangements, to be designated by the Government (the owner) as contributions by owners (at the time of, or prior to transfer) before such transfers can be </w:t>
      </w:r>
      <w:proofErr w:type="spellStart"/>
      <w:r w:rsidRPr="004564CC">
        <w:t>recognised</w:t>
      </w:r>
      <w:proofErr w:type="spellEnd"/>
      <w:r w:rsidRPr="004564CC">
        <w:t xml:space="preserve"> as equity contributions. Capital appropriations have been designated as contributions by owners by TI 955 Contributions by Owners made to Wholly Owned Public Sector Entities and have been credited directly to Contributed Equity.</w:t>
      </w:r>
    </w:p>
    <w:p w:rsidR="004564CC" w:rsidRPr="004564CC" w:rsidRDefault="004564CC" w:rsidP="007609FA">
      <w:pPr>
        <w:pStyle w:val="BodyText"/>
        <w:ind w:left="851" w:right="680"/>
      </w:pPr>
      <w:r w:rsidRPr="004564CC">
        <w:t>The transfers of net assets to/from other agencies, other than as a result of a restructure of administrative arrangements, are designated as contributions by owners where the transfers are non-discretionary and non-reciprocal.</w:t>
      </w:r>
    </w:p>
    <w:p w:rsidR="004564CC" w:rsidRDefault="004564CC" w:rsidP="007609FA">
      <w:pPr>
        <w:pStyle w:val="Heading4"/>
        <w:ind w:left="851"/>
      </w:pPr>
    </w:p>
    <w:p w:rsidR="004564CC" w:rsidRDefault="004564CC" w:rsidP="007609FA">
      <w:pPr>
        <w:pStyle w:val="Heading4"/>
        <w:ind w:left="851"/>
      </w:pPr>
      <w:r w:rsidRPr="00F6664B">
        <w:t>(e) Income</w:t>
      </w:r>
    </w:p>
    <w:p w:rsidR="00767ADA" w:rsidRPr="00697AB5" w:rsidRDefault="004564CC" w:rsidP="007609FA">
      <w:pPr>
        <w:pStyle w:val="BodyText"/>
        <w:ind w:left="851"/>
      </w:pPr>
      <w:r>
        <w:t xml:space="preserve">Revenue recognition - </w:t>
      </w:r>
      <w:r w:rsidR="00767ADA" w:rsidRPr="00697AB5">
        <w:t xml:space="preserve">Revenue is </w:t>
      </w:r>
      <w:proofErr w:type="spellStart"/>
      <w:r w:rsidR="00767ADA" w:rsidRPr="00697AB5">
        <w:t>recognised</w:t>
      </w:r>
      <w:proofErr w:type="spellEnd"/>
      <w:r w:rsidR="00767ADA" w:rsidRPr="00697AB5">
        <w:t xml:space="preserve"> and measured at the fair value of consideration received or receivable. </w:t>
      </w:r>
      <w:r w:rsidR="00767ADA">
        <w:t xml:space="preserve">Revenue is </w:t>
      </w:r>
      <w:proofErr w:type="spellStart"/>
      <w:r w:rsidR="00767ADA">
        <w:t>recognised</w:t>
      </w:r>
      <w:proofErr w:type="spellEnd"/>
      <w:r w:rsidR="00767ADA">
        <w:t xml:space="preserve"> for the major business activities as follows:</w:t>
      </w:r>
    </w:p>
    <w:p w:rsidR="00767ADA" w:rsidRDefault="00767ADA" w:rsidP="007609FA">
      <w:pPr>
        <w:pStyle w:val="BodyText"/>
        <w:ind w:left="851"/>
      </w:pPr>
      <w:r>
        <w:t xml:space="preserve">Service appropriations - </w:t>
      </w:r>
      <w:r w:rsidRPr="00697AB5">
        <w:t xml:space="preserve">Service </w:t>
      </w:r>
      <w:r>
        <w:t>A</w:t>
      </w:r>
      <w:r w:rsidRPr="00697AB5">
        <w:t xml:space="preserve">ppropriations are </w:t>
      </w:r>
      <w:proofErr w:type="spellStart"/>
      <w:r w:rsidRPr="00697AB5">
        <w:t>recognised</w:t>
      </w:r>
      <w:proofErr w:type="spellEnd"/>
      <w:r w:rsidRPr="00697AB5">
        <w:t xml:space="preserve"> as revenues at fair value in the period in which the </w:t>
      </w:r>
      <w:r>
        <w:t xml:space="preserve">sub-department </w:t>
      </w:r>
      <w:r w:rsidRPr="00697AB5">
        <w:t xml:space="preserve">gains control of the appropriated funds. The </w:t>
      </w:r>
      <w:r>
        <w:t xml:space="preserve">sub-department </w:t>
      </w:r>
      <w:r w:rsidRPr="00697AB5">
        <w:t>gains control of appropriated funds at the time those funds are deposited to the</w:t>
      </w:r>
      <w:r>
        <w:t xml:space="preserve"> </w:t>
      </w:r>
      <w:r w:rsidRPr="00697AB5">
        <w:t>bank account.</w:t>
      </w:r>
    </w:p>
    <w:p w:rsidR="00767ADA" w:rsidRDefault="00767ADA" w:rsidP="007609FA">
      <w:pPr>
        <w:pStyle w:val="BodyText"/>
        <w:ind w:left="851"/>
      </w:pPr>
      <w:r>
        <w:t xml:space="preserve">Net Appropriation Determination - The Treasurer may make a determination providing for a prescribed receipt to be retained for services under the control of the sub-department. In accordance with the most recent determination, as quantified in the 2017-18 Budget Statements, the sub-department </w:t>
      </w:r>
      <w:r w:rsidRPr="00936C97">
        <w:t>retained $</w:t>
      </w:r>
      <w:r>
        <w:t xml:space="preserve">5.425 </w:t>
      </w:r>
      <w:r w:rsidRPr="00936C97">
        <w:t>million</w:t>
      </w:r>
      <w:r>
        <w:t xml:space="preserve"> in 2018 ($4.045 million in 2017) from the following:</w:t>
      </w:r>
    </w:p>
    <w:p w:rsidR="00767ADA" w:rsidRPr="00767ADA" w:rsidRDefault="00767ADA" w:rsidP="004151B8">
      <w:pPr>
        <w:pStyle w:val="ListParagraph"/>
        <w:numPr>
          <w:ilvl w:val="0"/>
          <w:numId w:val="22"/>
        </w:numPr>
        <w:ind w:left="851"/>
      </w:pPr>
      <w:r w:rsidRPr="00767ADA">
        <w:t>Grants and subsidies</w:t>
      </w:r>
    </w:p>
    <w:p w:rsidR="00767ADA" w:rsidRDefault="00767ADA" w:rsidP="004151B8">
      <w:pPr>
        <w:pStyle w:val="ListParagraph"/>
        <w:numPr>
          <w:ilvl w:val="0"/>
          <w:numId w:val="22"/>
        </w:numPr>
        <w:ind w:left="851"/>
      </w:pPr>
      <w:r w:rsidRPr="00767ADA">
        <w:t>Other revenue</w:t>
      </w:r>
    </w:p>
    <w:p w:rsidR="00767ADA" w:rsidRDefault="00767ADA" w:rsidP="007609FA">
      <w:pPr>
        <w:pStyle w:val="BodyText"/>
        <w:ind w:left="851"/>
      </w:pPr>
      <w:r w:rsidRPr="00767ADA">
        <w:t>Grants, donations, gifts and other non-reciprocal contributions</w:t>
      </w:r>
      <w:r>
        <w:t xml:space="preserve"> - </w:t>
      </w:r>
      <w:r w:rsidRPr="007C2762">
        <w:t xml:space="preserve">Revenue is </w:t>
      </w:r>
      <w:proofErr w:type="spellStart"/>
      <w:r w:rsidRPr="007C2762">
        <w:t>recognised</w:t>
      </w:r>
      <w:proofErr w:type="spellEnd"/>
      <w:r w:rsidRPr="007C2762">
        <w:t xml:space="preserve"> at fair value when the sub-department obtains control over the assets comprising the contributions, usually when cash is received.</w:t>
      </w:r>
    </w:p>
    <w:p w:rsidR="00767ADA" w:rsidRDefault="00767ADA" w:rsidP="007609FA">
      <w:pPr>
        <w:pStyle w:val="Heading4"/>
        <w:ind w:left="851"/>
      </w:pPr>
      <w:r w:rsidRPr="00767ADA">
        <w:t>(f) Intangible assets</w:t>
      </w:r>
    </w:p>
    <w:p w:rsidR="008F7163" w:rsidRPr="00CB1A47" w:rsidRDefault="00767ADA" w:rsidP="007609FA">
      <w:pPr>
        <w:pStyle w:val="BodyText"/>
        <w:ind w:left="851"/>
      </w:pPr>
      <w:proofErr w:type="spellStart"/>
      <w:r w:rsidRPr="00CB1A47">
        <w:t>Capitalisation</w:t>
      </w:r>
      <w:proofErr w:type="spellEnd"/>
      <w:r w:rsidRPr="00CB1A47">
        <w:t xml:space="preserve">/expensing of assets - </w:t>
      </w:r>
      <w:r w:rsidR="008F7163" w:rsidRPr="00CB1A47">
        <w:t xml:space="preserve">Acquisitions of intangible assets costing $5,000 or more and internally generated intangible assets costing $50,000 </w:t>
      </w:r>
      <w:r w:rsidR="008F7163" w:rsidRPr="00CB1A47">
        <w:lastRenderedPageBreak/>
        <w:t xml:space="preserve">or more are </w:t>
      </w:r>
      <w:proofErr w:type="spellStart"/>
      <w:r w:rsidR="008F7163" w:rsidRPr="00CB1A47">
        <w:t>capitalised</w:t>
      </w:r>
      <w:proofErr w:type="spellEnd"/>
      <w:r w:rsidR="008F7163" w:rsidRPr="00CB1A47">
        <w:t xml:space="preserve">. The cost of </w:t>
      </w:r>
      <w:proofErr w:type="spellStart"/>
      <w:r w:rsidR="008F7163" w:rsidRPr="00CB1A47">
        <w:t>utilising</w:t>
      </w:r>
      <w:proofErr w:type="spellEnd"/>
      <w:r w:rsidR="008F7163" w:rsidRPr="00CB1A47">
        <w:t xml:space="preserve"> the assets is expensed (</w:t>
      </w:r>
      <w:proofErr w:type="spellStart"/>
      <w:r w:rsidR="008F7163" w:rsidRPr="00CB1A47">
        <w:t>amortised</w:t>
      </w:r>
      <w:proofErr w:type="spellEnd"/>
      <w:r w:rsidR="008F7163" w:rsidRPr="00CB1A47">
        <w:t>) over their useful lives. Costs incurred below these thresholds are immediately expensed directly to the Statement of Comprehensive Income.</w:t>
      </w:r>
    </w:p>
    <w:p w:rsidR="008F7163" w:rsidRPr="008F233F" w:rsidRDefault="008F7163" w:rsidP="007609FA">
      <w:pPr>
        <w:pStyle w:val="BodyText"/>
        <w:ind w:left="851"/>
      </w:pPr>
      <w:r w:rsidRPr="008F233F">
        <w:t xml:space="preserve">Intangible assets are initially </w:t>
      </w:r>
      <w:proofErr w:type="spellStart"/>
      <w:r w:rsidRPr="008F233F">
        <w:t>recognised</w:t>
      </w:r>
      <w:proofErr w:type="spellEnd"/>
      <w:r w:rsidRPr="008F233F">
        <w:t xml:space="preserve"> at cost. For assets acquired at no cost or for nominal cost, the cost is their fair value at the date of acquisition.</w:t>
      </w:r>
    </w:p>
    <w:p w:rsidR="008F7163" w:rsidRPr="008F233F" w:rsidRDefault="008F7163" w:rsidP="007609FA">
      <w:pPr>
        <w:pStyle w:val="BodyText"/>
        <w:ind w:left="851"/>
      </w:pPr>
      <w:r w:rsidRPr="008F233F">
        <w:t xml:space="preserve">The cost model is applied for subsequent measurement requiring the asset to be carried at cost less any accumulated </w:t>
      </w:r>
      <w:proofErr w:type="spellStart"/>
      <w:r w:rsidRPr="008F233F">
        <w:t>amortisation</w:t>
      </w:r>
      <w:proofErr w:type="spellEnd"/>
      <w:r w:rsidRPr="008F233F">
        <w:t xml:space="preserve"> and accumulated impairment losses.</w:t>
      </w:r>
    </w:p>
    <w:p w:rsidR="008F7163" w:rsidRPr="008F233F" w:rsidRDefault="008F7163" w:rsidP="007609FA">
      <w:pPr>
        <w:pStyle w:val="BodyText"/>
        <w:ind w:left="851"/>
      </w:pPr>
      <w:proofErr w:type="spellStart"/>
      <w:r w:rsidRPr="008F233F">
        <w:t>Amortisation</w:t>
      </w:r>
      <w:proofErr w:type="spellEnd"/>
      <w:r w:rsidRPr="008F233F">
        <w:t xml:space="preserve"> for intangible assets with finite useful lives is calculated for the period of the expected benefit (estimated useful life which is reviewed annually) on the straight line basis. All intangible assets controlled by the </w:t>
      </w:r>
      <w:r>
        <w:t>sub-d</w:t>
      </w:r>
      <w:r w:rsidRPr="008F233F">
        <w:t>epartment have a finite useful life and zero residual value.</w:t>
      </w:r>
    </w:p>
    <w:p w:rsidR="008F7163" w:rsidRPr="008F233F" w:rsidRDefault="008F7163" w:rsidP="007609FA">
      <w:pPr>
        <w:pStyle w:val="BodyText"/>
        <w:ind w:left="851"/>
        <w:rPr>
          <w:lang w:val="x-none"/>
        </w:rPr>
      </w:pPr>
      <w:r w:rsidRPr="008F233F">
        <w:rPr>
          <w:lang w:val="x-none"/>
        </w:rPr>
        <w:t>The expected useful lives for each class of intangible asset are:</w:t>
      </w:r>
    </w:p>
    <w:p w:rsidR="008F7163" w:rsidRPr="008F233F" w:rsidRDefault="008F7163" w:rsidP="007609FA">
      <w:pPr>
        <w:pStyle w:val="BodyText"/>
        <w:ind w:left="851"/>
        <w:rPr>
          <w:lang w:val="x-none"/>
        </w:rPr>
      </w:pPr>
      <w:r>
        <w:t>Website costs</w:t>
      </w:r>
      <w:r w:rsidRPr="008F233F">
        <w:rPr>
          <w:lang w:val="x-none"/>
        </w:rPr>
        <w:tab/>
      </w:r>
      <w:r w:rsidRPr="008F233F">
        <w:rPr>
          <w:lang w:val="x-none"/>
        </w:rPr>
        <w:tab/>
      </w:r>
      <w:r w:rsidRPr="008F233F">
        <w:rPr>
          <w:lang w:val="x-none"/>
        </w:rPr>
        <w:tab/>
      </w:r>
      <w:r>
        <w:t>5</w:t>
      </w:r>
      <w:r w:rsidRPr="008F233F">
        <w:rPr>
          <w:lang w:val="x-none"/>
        </w:rPr>
        <w:t xml:space="preserve"> years</w:t>
      </w:r>
    </w:p>
    <w:p w:rsidR="008F7163" w:rsidRPr="00DF0C56" w:rsidRDefault="008F7163" w:rsidP="007609FA">
      <w:pPr>
        <w:pStyle w:val="BodyText"/>
        <w:ind w:left="851"/>
        <w:rPr>
          <w:bCs/>
          <w:i/>
          <w:iCs/>
        </w:rPr>
      </w:pPr>
      <w:r>
        <w:rPr>
          <w:bCs/>
          <w:i/>
          <w:iCs/>
        </w:rPr>
        <w:t>Website Costs</w:t>
      </w:r>
    </w:p>
    <w:p w:rsidR="008F7163" w:rsidRDefault="008F7163" w:rsidP="007609FA">
      <w:pPr>
        <w:pStyle w:val="BodyText"/>
        <w:spacing w:after="240"/>
        <w:ind w:left="851"/>
        <w:rPr>
          <w:bCs/>
          <w:iCs/>
        </w:rPr>
      </w:pPr>
      <w:r w:rsidRPr="00E36582">
        <w:t xml:space="preserve">Website costs are charged as expenses when they are incurred unless they relate to the acquisition or development of an asset when they may be </w:t>
      </w:r>
      <w:proofErr w:type="spellStart"/>
      <w:r w:rsidRPr="00E36582">
        <w:t>capitalised</w:t>
      </w:r>
      <w:proofErr w:type="spellEnd"/>
      <w:r w:rsidRPr="00E36582">
        <w:t xml:space="preserve"> and </w:t>
      </w:r>
      <w:proofErr w:type="spellStart"/>
      <w:r w:rsidRPr="00E36582">
        <w:t>amortised</w:t>
      </w:r>
      <w:proofErr w:type="spellEnd"/>
      <w:r w:rsidRPr="00E36582">
        <w:t>. Generally, costs in relation to feasibility studies during the planning phase of a website, and ongoing costs of maintenance during the operating phase are expensed. Costs incurred in building</w:t>
      </w:r>
      <w:r w:rsidRPr="00EC4510">
        <w:rPr>
          <w:bCs/>
          <w:iCs/>
        </w:rPr>
        <w:t xml:space="preserve"> or enhancing a website that can be reliably measured, are </w:t>
      </w:r>
      <w:proofErr w:type="spellStart"/>
      <w:r w:rsidRPr="00EC4510">
        <w:rPr>
          <w:bCs/>
          <w:iCs/>
        </w:rPr>
        <w:t>capitalised</w:t>
      </w:r>
      <w:proofErr w:type="spellEnd"/>
      <w:r w:rsidRPr="00EC4510">
        <w:rPr>
          <w:bCs/>
          <w:iCs/>
        </w:rPr>
        <w:t xml:space="preserve"> to the extent that they represent probable further economic benefits.</w:t>
      </w:r>
    </w:p>
    <w:p w:rsidR="008F7163" w:rsidRPr="00F6664B" w:rsidRDefault="008F7163" w:rsidP="007609FA">
      <w:pPr>
        <w:pStyle w:val="Heading4"/>
        <w:ind w:left="851"/>
      </w:pPr>
      <w:r>
        <w:t>(g) Impairment of assets</w:t>
      </w:r>
    </w:p>
    <w:p w:rsidR="008F7163" w:rsidRPr="00E36582" w:rsidRDefault="008F7163" w:rsidP="007609FA">
      <w:pPr>
        <w:pStyle w:val="BodyText"/>
        <w:ind w:left="851"/>
      </w:pPr>
      <w:r w:rsidRPr="00E36582">
        <w:t xml:space="preserve">Intangible assets are tested for any indication of impairment at the end of each reporting period. Where there is an indication of impairment, the recoverable amount is estimated. Where the recoverable amount is less than the carrying amount, the asset is considered impaired and is written down to the recoverable amount and an impairment loss is </w:t>
      </w:r>
      <w:proofErr w:type="spellStart"/>
      <w:r w:rsidRPr="00E36582">
        <w:t>recognised</w:t>
      </w:r>
      <w:proofErr w:type="spellEnd"/>
      <w:r w:rsidRPr="00E36582">
        <w:t xml:space="preserve">. Where an asset measured at cost is written down to recoverable amount, an impairment loss is </w:t>
      </w:r>
      <w:proofErr w:type="spellStart"/>
      <w:r w:rsidRPr="00E36582">
        <w:t>recognised</w:t>
      </w:r>
      <w:proofErr w:type="spellEnd"/>
      <w:r w:rsidRPr="00E36582">
        <w:t xml:space="preserve"> in profit or loss. As the sub-department is a not-for-profit entity, unless a </w:t>
      </w:r>
      <w:proofErr w:type="spellStart"/>
      <w:r w:rsidRPr="00E36582">
        <w:t>specialised</w:t>
      </w:r>
      <w:proofErr w:type="spellEnd"/>
      <w:r w:rsidRPr="00E36582">
        <w:t xml:space="preserve"> asset has been identified as a surplus asset, the recoverable amount is the higher of an asset’s fair value less costs to sell and current replacement cost.</w:t>
      </w:r>
    </w:p>
    <w:p w:rsidR="008F7163" w:rsidRPr="00E36582" w:rsidRDefault="008F7163" w:rsidP="007609FA">
      <w:pPr>
        <w:pStyle w:val="BodyText"/>
        <w:ind w:left="851"/>
      </w:pPr>
      <w:r w:rsidRPr="00E36582">
        <w:t xml:space="preserve">The risk of impairment is generally limited to circumstances where an asset’s </w:t>
      </w:r>
      <w:proofErr w:type="spellStart"/>
      <w:r w:rsidRPr="00E36582">
        <w:t>amortisation</w:t>
      </w:r>
      <w:proofErr w:type="spellEnd"/>
      <w:r w:rsidRPr="00E36582">
        <w:t xml:space="preserve"> is materially understated, where the replacement cost is falling or where there is a significant change in useful life. Each relevant class of assets is reviewed annually to verify that the accumulated </w:t>
      </w:r>
      <w:proofErr w:type="spellStart"/>
      <w:r w:rsidRPr="00E36582">
        <w:t>amortisation</w:t>
      </w:r>
      <w:proofErr w:type="spellEnd"/>
      <w:r w:rsidRPr="00E36582">
        <w:t xml:space="preserve"> reflects the level of consumption or expiration of the assets’ future economic benefits and to evaluate any impairment risk from falling replacement costs.</w:t>
      </w:r>
    </w:p>
    <w:p w:rsidR="008F7163" w:rsidRPr="00E36582" w:rsidRDefault="008F7163" w:rsidP="007609FA">
      <w:pPr>
        <w:pStyle w:val="BodyText"/>
        <w:ind w:left="851"/>
      </w:pPr>
      <w:r w:rsidRPr="00E36582">
        <w:t>Intangible assets with an indefinite useful life and intangible assets not yet available for use are tested for impairment at the end of each reporting period irrespective of whether there is any indication of impairment.</w:t>
      </w:r>
    </w:p>
    <w:p w:rsidR="008F7163" w:rsidRPr="00E36582" w:rsidRDefault="008F7163" w:rsidP="007609FA">
      <w:pPr>
        <w:pStyle w:val="BodyText"/>
        <w:ind w:left="851"/>
      </w:pPr>
      <w:r w:rsidRPr="00E36582">
        <w:t>The recoverable amount of assets identified as surplus assets is the higher of fair value less costs to sell and the present value of future cash flows expected to be derived from the asset. Surplus assets carried at fair value have no risk of material impairment where fair value is determined by reference to market-based evidence. Where fair value is determined by reference to current replacement cost, surplus assets are at risk of impairment and the recoverable amount is measured. Surplus assets at cost are tested for indications of impairment at the end of each reporting period.</w:t>
      </w:r>
    </w:p>
    <w:p w:rsidR="008F7163" w:rsidRPr="00E36582" w:rsidRDefault="008F7163" w:rsidP="007609FA">
      <w:pPr>
        <w:pStyle w:val="BodyText"/>
        <w:spacing w:after="240"/>
        <w:ind w:left="851"/>
      </w:pPr>
      <w:r w:rsidRPr="00E36582">
        <w:t>See Note 17 ‘Impairment of assets’ for the outcome of impairment reviews and testing.</w:t>
      </w:r>
    </w:p>
    <w:p w:rsidR="00CB1A47" w:rsidRPr="00F6664B" w:rsidRDefault="00CB1A47" w:rsidP="007609FA">
      <w:pPr>
        <w:pStyle w:val="Heading4"/>
        <w:ind w:left="851"/>
        <w:jc w:val="both"/>
      </w:pPr>
      <w:r w:rsidRPr="00F6664B">
        <w:t>(</w:t>
      </w:r>
      <w:r>
        <w:t>h</w:t>
      </w:r>
      <w:r w:rsidRPr="00F6664B">
        <w:t>) Leases</w:t>
      </w:r>
    </w:p>
    <w:p w:rsidR="00CB1A47" w:rsidRPr="00F6664B" w:rsidRDefault="00CB1A47" w:rsidP="007609FA">
      <w:pPr>
        <w:pStyle w:val="BodyText"/>
        <w:ind w:left="851"/>
      </w:pPr>
      <w:r w:rsidRPr="00F6664B">
        <w:t xml:space="preserve">The </w:t>
      </w:r>
      <w:r>
        <w:t xml:space="preserve">sub-department </w:t>
      </w:r>
      <w:r w:rsidRPr="00F6664B">
        <w:t>has entered into an operating lease arrangement for the rent of the office building where the lessor effectively retains the entire risks and benefits incidental to ownership of the items held under the operating lease.</w:t>
      </w:r>
    </w:p>
    <w:p w:rsidR="00CB1A47" w:rsidRDefault="00CB1A47" w:rsidP="007609FA">
      <w:pPr>
        <w:pStyle w:val="BodyText"/>
        <w:spacing w:after="240"/>
        <w:ind w:left="851"/>
      </w:pPr>
      <w:r w:rsidRPr="00F6664B">
        <w:t>Operating le</w:t>
      </w:r>
      <w:r>
        <w:t xml:space="preserve">ases are expensed on a straight </w:t>
      </w:r>
      <w:r w:rsidRPr="00F6664B">
        <w:t>line basis over the lease term as this represents the pattern of benefits derived from the leased properties.</w:t>
      </w:r>
    </w:p>
    <w:p w:rsidR="00CB1A47" w:rsidRPr="00F6664B" w:rsidRDefault="00CB1A47" w:rsidP="007609FA">
      <w:pPr>
        <w:pStyle w:val="Heading4"/>
        <w:ind w:left="851"/>
        <w:jc w:val="both"/>
      </w:pPr>
      <w:r w:rsidRPr="00F6664B">
        <w:lastRenderedPageBreak/>
        <w:t>(</w:t>
      </w:r>
      <w:proofErr w:type="spellStart"/>
      <w:r>
        <w:t>i</w:t>
      </w:r>
      <w:proofErr w:type="spellEnd"/>
      <w:r w:rsidRPr="00F6664B">
        <w:t>) Financial instruments</w:t>
      </w:r>
    </w:p>
    <w:p w:rsidR="00CB1A47" w:rsidRPr="00CB1A47" w:rsidRDefault="00CB1A47" w:rsidP="007609FA">
      <w:pPr>
        <w:pStyle w:val="BodyText"/>
        <w:ind w:left="1134"/>
      </w:pPr>
      <w:r w:rsidRPr="00CB1A47">
        <w:t>In addition to cash, the sub-department has two categories of financial instruments:</w:t>
      </w:r>
    </w:p>
    <w:p w:rsidR="00CB1A47" w:rsidRPr="00CB1A47" w:rsidRDefault="00CB1A47" w:rsidP="004151B8">
      <w:pPr>
        <w:pStyle w:val="ListParagraph"/>
        <w:numPr>
          <w:ilvl w:val="0"/>
          <w:numId w:val="23"/>
        </w:numPr>
        <w:ind w:left="1134"/>
      </w:pPr>
      <w:r w:rsidRPr="00CB1A47">
        <w:t>Receivables</w:t>
      </w:r>
    </w:p>
    <w:p w:rsidR="00CB1A47" w:rsidRDefault="00CB1A47" w:rsidP="004151B8">
      <w:pPr>
        <w:pStyle w:val="ListParagraph"/>
        <w:numPr>
          <w:ilvl w:val="0"/>
          <w:numId w:val="23"/>
        </w:numPr>
        <w:ind w:left="1134"/>
      </w:pPr>
      <w:r w:rsidRPr="00CB1A47">
        <w:t xml:space="preserve">Financial liabilities measured at </w:t>
      </w:r>
      <w:proofErr w:type="spellStart"/>
      <w:r w:rsidRPr="00CB1A47">
        <w:t>amortised</w:t>
      </w:r>
      <w:proofErr w:type="spellEnd"/>
      <w:r w:rsidRPr="00CB1A47">
        <w:t xml:space="preserve"> cost.</w:t>
      </w:r>
    </w:p>
    <w:p w:rsidR="00CB1A47" w:rsidRDefault="00CB1A47" w:rsidP="007609FA">
      <w:pPr>
        <w:pStyle w:val="BodyText"/>
        <w:ind w:left="1134"/>
      </w:pPr>
      <w:r w:rsidRPr="00CB1A47">
        <w:t>Financial instruments have been disaggregated into the following classes:</w:t>
      </w:r>
    </w:p>
    <w:p w:rsidR="00CB1A47" w:rsidRPr="00E36582" w:rsidRDefault="00CB1A47" w:rsidP="004151B8">
      <w:pPr>
        <w:pStyle w:val="ListParagraph"/>
        <w:widowControl/>
        <w:numPr>
          <w:ilvl w:val="0"/>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Financial Assets</w:t>
      </w:r>
    </w:p>
    <w:p w:rsidR="00CB1A47" w:rsidRPr="00E36582" w:rsidRDefault="00CB1A47" w:rsidP="004151B8">
      <w:pPr>
        <w:pStyle w:val="ListParagraph"/>
        <w:widowControl/>
        <w:numPr>
          <w:ilvl w:val="1"/>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Cash and cash equivalents</w:t>
      </w:r>
    </w:p>
    <w:p w:rsidR="00CB1A47" w:rsidRPr="00E36582" w:rsidRDefault="00CB1A47" w:rsidP="004151B8">
      <w:pPr>
        <w:pStyle w:val="ListParagraph"/>
        <w:widowControl/>
        <w:numPr>
          <w:ilvl w:val="1"/>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Receivables</w:t>
      </w:r>
    </w:p>
    <w:p w:rsidR="00CB1A47" w:rsidRPr="00E36582" w:rsidRDefault="00CB1A47" w:rsidP="004151B8">
      <w:pPr>
        <w:pStyle w:val="ListParagraph"/>
        <w:widowControl/>
        <w:numPr>
          <w:ilvl w:val="0"/>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Financial Liabilities</w:t>
      </w:r>
    </w:p>
    <w:p w:rsidR="00CB1A47" w:rsidRPr="00E36582" w:rsidRDefault="00CB1A47" w:rsidP="004151B8">
      <w:pPr>
        <w:pStyle w:val="ListParagraph"/>
        <w:widowControl/>
        <w:numPr>
          <w:ilvl w:val="1"/>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Payables</w:t>
      </w:r>
    </w:p>
    <w:p w:rsidR="00CB1A47" w:rsidRPr="00E36582" w:rsidRDefault="00CB1A47" w:rsidP="004151B8">
      <w:pPr>
        <w:pStyle w:val="ListParagraph"/>
        <w:widowControl/>
        <w:numPr>
          <w:ilvl w:val="1"/>
          <w:numId w:val="24"/>
        </w:numPr>
        <w:autoSpaceDE/>
        <w:autoSpaceDN/>
        <w:spacing w:after="200" w:line="276" w:lineRule="auto"/>
        <w:ind w:left="1134"/>
        <w:contextualSpacing/>
        <w:jc w:val="both"/>
        <w:rPr>
          <w:rFonts w:asciiTheme="minorHAnsi" w:hAnsiTheme="minorHAnsi" w:cstheme="minorHAnsi"/>
          <w:szCs w:val="24"/>
        </w:rPr>
      </w:pPr>
      <w:r w:rsidRPr="00E36582">
        <w:rPr>
          <w:rFonts w:asciiTheme="minorHAnsi" w:hAnsiTheme="minorHAnsi" w:cstheme="minorHAnsi"/>
          <w:szCs w:val="24"/>
        </w:rPr>
        <w:t>Other current liabilities</w:t>
      </w:r>
    </w:p>
    <w:p w:rsidR="00CB1A47" w:rsidRPr="00CB1A47" w:rsidRDefault="00CB1A47" w:rsidP="007609FA">
      <w:pPr>
        <w:pStyle w:val="BodyText"/>
        <w:ind w:left="709" w:right="283"/>
      </w:pPr>
      <w:r w:rsidRPr="00CB1A47">
        <w:t xml:space="preserve">Initial recognition and measurement of financial instruments is at fair value which normally equates to the transaction cost or the face value. Subsequent measurement is at </w:t>
      </w:r>
      <w:proofErr w:type="spellStart"/>
      <w:r w:rsidRPr="00CB1A47">
        <w:t>amortised</w:t>
      </w:r>
      <w:proofErr w:type="spellEnd"/>
      <w:r w:rsidRPr="00CB1A47">
        <w:t xml:space="preserve"> cost using the effective interest method.</w:t>
      </w:r>
    </w:p>
    <w:p w:rsidR="00CB1A47" w:rsidRPr="00CB1A47" w:rsidRDefault="00CB1A47" w:rsidP="007609FA">
      <w:pPr>
        <w:pStyle w:val="BodyText"/>
        <w:spacing w:after="240"/>
        <w:ind w:left="709" w:right="283"/>
      </w:pPr>
      <w:r w:rsidRPr="00CB1A47">
        <w:t>The fair value of short-term receivables and payables is the transaction cost or the face value because there is no interest rate applicable and subsequent measurement is not required as the effect of discounting is not material.</w:t>
      </w:r>
    </w:p>
    <w:p w:rsidR="00CB1A47" w:rsidRPr="00CB1A47" w:rsidRDefault="00CB1A47" w:rsidP="007609FA">
      <w:pPr>
        <w:pStyle w:val="Heading4"/>
        <w:ind w:left="709" w:right="283"/>
      </w:pPr>
      <w:r w:rsidRPr="00CB1A47">
        <w:t>(j) Cash and cash equivalents</w:t>
      </w:r>
    </w:p>
    <w:p w:rsidR="00CB1A47" w:rsidRDefault="00CB1A47" w:rsidP="007609FA">
      <w:pPr>
        <w:pStyle w:val="BodyText"/>
        <w:spacing w:after="240"/>
        <w:ind w:left="709" w:right="283"/>
        <w:rPr>
          <w:rFonts w:cs="Arial"/>
        </w:rPr>
      </w:pPr>
      <w:r w:rsidRPr="009B1011">
        <w:rPr>
          <w:rFonts w:cs="Arial"/>
        </w:rPr>
        <w:t>For the purpose of the Statement of Cash Flows, cash and cash equivalent assets comprise cash on hand and short-term deposits with original maturities of three months or less that are readily convertible to a known amount of cash and which are subject to insignificant risk of changes in value.</w:t>
      </w:r>
    </w:p>
    <w:p w:rsidR="00CB1A47" w:rsidRPr="00960032" w:rsidRDefault="00CB1A47" w:rsidP="007609FA">
      <w:pPr>
        <w:pStyle w:val="Heading4"/>
        <w:ind w:left="709" w:right="283"/>
        <w:jc w:val="both"/>
      </w:pPr>
      <w:r>
        <w:t>(k</w:t>
      </w:r>
      <w:r w:rsidRPr="00960032">
        <w:t>) Accrued salaries</w:t>
      </w:r>
    </w:p>
    <w:p w:rsidR="00CB1A47" w:rsidRDefault="00CB1A47" w:rsidP="007609FA">
      <w:pPr>
        <w:pStyle w:val="BodyText"/>
        <w:spacing w:after="240"/>
        <w:ind w:left="709" w:right="283"/>
      </w:pPr>
      <w:r>
        <w:t xml:space="preserve">Accrued salaries (see Note 18 ‘Payables’) represent the amount due to staff but unpaid at the end of the financial year. Accrued salaries are settled within a fortnight of the financial year end. The sub-department considers the carrying amount of accrued salaries to be equivalent to its fair value. </w:t>
      </w:r>
    </w:p>
    <w:p w:rsidR="00CB1A47" w:rsidRPr="00F6664B" w:rsidRDefault="00CB1A47" w:rsidP="007609FA">
      <w:pPr>
        <w:pStyle w:val="Heading4"/>
        <w:ind w:left="709" w:right="283"/>
        <w:jc w:val="both"/>
      </w:pPr>
      <w:r w:rsidRPr="00F6664B">
        <w:t>(</w:t>
      </w:r>
      <w:r>
        <w:t>l</w:t>
      </w:r>
      <w:r w:rsidRPr="00F6664B">
        <w:t>) Receivables</w:t>
      </w:r>
    </w:p>
    <w:p w:rsidR="00CB1A47" w:rsidRPr="009B1011" w:rsidRDefault="00CB1A47" w:rsidP="007609FA">
      <w:pPr>
        <w:pStyle w:val="BodyText"/>
        <w:spacing w:after="240"/>
        <w:ind w:left="709" w:right="283"/>
      </w:pPr>
      <w:r w:rsidRPr="009B1011">
        <w:t xml:space="preserve">Receivables are </w:t>
      </w:r>
      <w:proofErr w:type="spellStart"/>
      <w:r w:rsidRPr="009B1011">
        <w:t>recognised</w:t>
      </w:r>
      <w:proofErr w:type="spellEnd"/>
      <w:r w:rsidRPr="009B1011">
        <w:t xml:space="preserve"> at original invoice amount less an allowance for any uncollectible amounts (</w:t>
      </w:r>
      <w:r>
        <w:t>i.e.</w:t>
      </w:r>
      <w:r w:rsidRPr="009B1011">
        <w:t xml:space="preserve"> impairment). The collectability of receivables is reviewed on an ongoing basis and any receivables identified as uncollectible are written-off against the allowance account. The allowance for uncollectible amounts (doubtful debts) is raised when there is objective evidence that the </w:t>
      </w:r>
      <w:r>
        <w:t>sub-department</w:t>
      </w:r>
      <w:r w:rsidRPr="009B1011">
        <w:t xml:space="preserve"> will not be able to collect the debts. The carrying amount is equivalent to fair value as it is due for settlement within 30 days.</w:t>
      </w:r>
    </w:p>
    <w:p w:rsidR="00CB1A47" w:rsidRPr="00F6664B" w:rsidRDefault="00CB1A47" w:rsidP="007609FA">
      <w:pPr>
        <w:pStyle w:val="Heading4"/>
        <w:ind w:left="709" w:right="283"/>
        <w:jc w:val="both"/>
      </w:pPr>
      <w:r>
        <w:t>(m</w:t>
      </w:r>
      <w:r w:rsidRPr="00F6664B">
        <w:t>) Payables</w:t>
      </w:r>
    </w:p>
    <w:p w:rsidR="00CB1A47" w:rsidRPr="00F6664B" w:rsidRDefault="00CB1A47" w:rsidP="007609FA">
      <w:pPr>
        <w:pStyle w:val="BodyText"/>
        <w:spacing w:after="240"/>
        <w:ind w:left="709" w:right="283"/>
        <w:jc w:val="both"/>
      </w:pPr>
      <w:r w:rsidRPr="009B1011">
        <w:rPr>
          <w:rFonts w:cs="Arial"/>
        </w:rPr>
        <w:t xml:space="preserve">Payables are </w:t>
      </w:r>
      <w:proofErr w:type="spellStart"/>
      <w:r w:rsidRPr="009B1011">
        <w:rPr>
          <w:rFonts w:cs="Arial"/>
        </w:rPr>
        <w:t>recognised</w:t>
      </w:r>
      <w:proofErr w:type="spellEnd"/>
      <w:r w:rsidRPr="009B1011">
        <w:rPr>
          <w:rFonts w:cs="Arial"/>
        </w:rPr>
        <w:t xml:space="preserve"> at the amounts payable when the </w:t>
      </w:r>
      <w:r>
        <w:rPr>
          <w:rFonts w:cs="Arial"/>
        </w:rPr>
        <w:t>sub-department</w:t>
      </w:r>
      <w:r w:rsidRPr="009B1011">
        <w:rPr>
          <w:rFonts w:cs="Arial"/>
        </w:rPr>
        <w:t xml:space="preserve"> becomes obliged to make future payments as a result of a purchase of assets or services. The carrying amount is equivalent to fair value, as settlement is generally within 30 days</w:t>
      </w:r>
      <w:r w:rsidRPr="00F6664B">
        <w:t>.</w:t>
      </w:r>
    </w:p>
    <w:p w:rsidR="00CB1A47" w:rsidRPr="00F6664B" w:rsidRDefault="00CB1A47" w:rsidP="007609FA">
      <w:pPr>
        <w:pStyle w:val="Heading4"/>
        <w:ind w:left="709" w:right="283"/>
        <w:jc w:val="both"/>
      </w:pPr>
      <w:r w:rsidRPr="00F6664B">
        <w:t>(</w:t>
      </w:r>
      <w:r>
        <w:t>n</w:t>
      </w:r>
      <w:r w:rsidRPr="00F6664B">
        <w:t>) Borrowings</w:t>
      </w:r>
    </w:p>
    <w:p w:rsidR="00CB1A47" w:rsidRPr="00E27457" w:rsidRDefault="00CB1A47" w:rsidP="007609FA">
      <w:pPr>
        <w:pStyle w:val="BodyText"/>
        <w:spacing w:after="240"/>
        <w:ind w:left="709" w:right="283"/>
      </w:pPr>
      <w:r w:rsidRPr="00E27457">
        <w:lastRenderedPageBreak/>
        <w:t xml:space="preserve">All loans payable </w:t>
      </w:r>
      <w:proofErr w:type="gramStart"/>
      <w:r w:rsidRPr="00E27457">
        <w:t>are</w:t>
      </w:r>
      <w:proofErr w:type="gramEnd"/>
      <w:r w:rsidRPr="00E27457">
        <w:t xml:space="preserve"> initially </w:t>
      </w:r>
      <w:proofErr w:type="spellStart"/>
      <w:r w:rsidRPr="00E27457">
        <w:t>recognised</w:t>
      </w:r>
      <w:proofErr w:type="spellEnd"/>
      <w:r w:rsidRPr="00E27457">
        <w:t xml:space="preserve"> at fair value, being the net proceeds received. Subsequent measurement is at </w:t>
      </w:r>
      <w:proofErr w:type="spellStart"/>
      <w:r w:rsidRPr="00E27457">
        <w:t>amortised</w:t>
      </w:r>
      <w:proofErr w:type="spellEnd"/>
      <w:r w:rsidRPr="00E27457">
        <w:t xml:space="preserve"> cost using the effective interest rate method. </w:t>
      </w:r>
    </w:p>
    <w:p w:rsidR="00CB1A47" w:rsidRPr="00F6664B" w:rsidRDefault="00CB1A47" w:rsidP="007609FA">
      <w:pPr>
        <w:pStyle w:val="Heading4"/>
        <w:ind w:left="709" w:right="283"/>
        <w:jc w:val="both"/>
      </w:pPr>
      <w:r w:rsidRPr="00F6664B">
        <w:t>(</w:t>
      </w:r>
      <w:r>
        <w:t>o</w:t>
      </w:r>
      <w:r w:rsidRPr="00F6664B">
        <w:t>) Provisions</w:t>
      </w:r>
    </w:p>
    <w:p w:rsidR="00CB1A47" w:rsidRPr="005D7435" w:rsidRDefault="00CB1A47" w:rsidP="007609FA">
      <w:pPr>
        <w:pStyle w:val="BodyText"/>
        <w:ind w:left="709" w:right="283"/>
      </w:pPr>
      <w:r w:rsidRPr="009B1011">
        <w:t xml:space="preserve">Provisions are liabilities of uncertain timing or amount and are </w:t>
      </w:r>
      <w:proofErr w:type="spellStart"/>
      <w:r w:rsidRPr="009B1011">
        <w:t>recognised</w:t>
      </w:r>
      <w:proofErr w:type="spellEnd"/>
      <w:r w:rsidRPr="009B1011">
        <w:t xml:space="preserve"> where there is a present legal or constructive obligation as a result of a past event and when the outflow of resources embodying economic benefits is probable and a reliable estimate can be made of the amount of the obligation. Provisions are reviewed at the end of each reporting period.</w:t>
      </w:r>
      <w:r>
        <w:t xml:space="preserve"> </w:t>
      </w:r>
      <w:r w:rsidRPr="00C23248">
        <w:t>(</w:t>
      </w:r>
      <w:r>
        <w:t>see also Note 20 ‘Provisions’</w:t>
      </w:r>
      <w:r w:rsidRPr="00C23248">
        <w:t>)</w:t>
      </w:r>
    </w:p>
    <w:p w:rsidR="00CB1A47" w:rsidRPr="00E27457" w:rsidRDefault="00CB1A47" w:rsidP="007609FA">
      <w:pPr>
        <w:pStyle w:val="BodyText"/>
        <w:ind w:left="709" w:right="283"/>
      </w:pPr>
      <w:r w:rsidRPr="00D94623">
        <w:t>Provisions</w:t>
      </w:r>
      <w:r>
        <w:rPr>
          <w:rFonts w:ascii="MS Gothic" w:eastAsia="MS Gothic" w:hAnsi="MS Gothic" w:cs="MS Gothic"/>
        </w:rPr>
        <w:t xml:space="preserve"> </w:t>
      </w:r>
      <w:r w:rsidRPr="00182211">
        <w:rPr>
          <w:rFonts w:ascii="MS Gothic" w:eastAsia="MS Gothic" w:hAnsi="MS Gothic" w:cs="MS Gothic"/>
          <w:i/>
        </w:rPr>
        <w:t>-</w:t>
      </w:r>
      <w:r>
        <w:rPr>
          <w:rFonts w:ascii="MS Gothic" w:eastAsia="MS Gothic" w:hAnsi="MS Gothic" w:cs="MS Gothic"/>
          <w:i/>
        </w:rPr>
        <w:t xml:space="preserve"> </w:t>
      </w:r>
      <w:r w:rsidRPr="00D94623">
        <w:t>employee benefits</w:t>
      </w:r>
      <w:r>
        <w:t xml:space="preserve"> - </w:t>
      </w:r>
      <w:r w:rsidRPr="00E27457">
        <w:t>All annual leave and long service leave provisions are in respect of employees’ services up to the end of the reporting period.</w:t>
      </w:r>
    </w:p>
    <w:p w:rsidR="00CB1A47" w:rsidRPr="00DC2731" w:rsidRDefault="00CB1A47" w:rsidP="007609FA">
      <w:pPr>
        <w:pStyle w:val="BodyText"/>
        <w:ind w:left="709" w:right="283"/>
      </w:pPr>
      <w:r w:rsidRPr="00DC2731">
        <w:t xml:space="preserve">Annual leave is not expected to be settled wholly within 12 months after the end of the reporting period and is therefore considered to be ‘other long-term employee benefits’. The annual leave liability is </w:t>
      </w:r>
      <w:proofErr w:type="spellStart"/>
      <w:r w:rsidRPr="00DC2731">
        <w:t>recognised</w:t>
      </w:r>
      <w:proofErr w:type="spellEnd"/>
      <w:r w:rsidRPr="00DC2731">
        <w:t xml:space="preserve"> and measured at the present value of amounts expected to be paid when the liabilities are settled using the remuneration rate expected to apply at the time of settlement.</w:t>
      </w:r>
    </w:p>
    <w:p w:rsidR="00CB1A47" w:rsidRPr="00DC2731" w:rsidRDefault="00CB1A47" w:rsidP="007609FA">
      <w:pPr>
        <w:pStyle w:val="BodyText"/>
        <w:ind w:left="709" w:right="283"/>
      </w:pPr>
      <w:r w:rsidRPr="00DC2731">
        <w:t>When assessing expected future payments consideration is given to expected future wage and salary levels including non-salary components such as employer superannuation contributions, as well as the experience of employee departures and periods of service. The expected future payments are discounted using market yields at the end of the reporting period on national government bonds with terms to maturity that match, as closely as possible, the estimated future cash outflows.</w:t>
      </w:r>
    </w:p>
    <w:p w:rsidR="00CB1A47" w:rsidRDefault="00CB1A47" w:rsidP="007609FA">
      <w:pPr>
        <w:pStyle w:val="BodyText"/>
        <w:ind w:left="709" w:right="283"/>
      </w:pPr>
      <w:r w:rsidRPr="00DC2731">
        <w:t xml:space="preserve">The provision for annual leave is classified as a current liability as the </w:t>
      </w:r>
      <w:r>
        <w:t>sub-department</w:t>
      </w:r>
      <w:r w:rsidRPr="00DC2731">
        <w:t xml:space="preserve"> does not have an unconditional right to defer settlement of the liability for at least 12 months after the end of the reporting period.</w:t>
      </w:r>
    </w:p>
    <w:p w:rsidR="00CB1A47" w:rsidRPr="00DC2731" w:rsidRDefault="00CB1A47" w:rsidP="007609FA">
      <w:pPr>
        <w:pStyle w:val="BodyText"/>
        <w:ind w:left="709" w:right="283"/>
      </w:pPr>
      <w:r w:rsidRPr="00F6664B">
        <w:t xml:space="preserve">Long service </w:t>
      </w:r>
      <w:proofErr w:type="gramStart"/>
      <w:r w:rsidRPr="00F6664B">
        <w:t>leave</w:t>
      </w:r>
      <w:proofErr w:type="gramEnd"/>
      <w:r>
        <w:t xml:space="preserve"> - </w:t>
      </w:r>
      <w:r w:rsidRPr="00DC2731">
        <w:t xml:space="preserve">Long service leave is not expected to be settled wholly within 12 months after the end of the reporting period and is therefore </w:t>
      </w:r>
      <w:proofErr w:type="spellStart"/>
      <w:r w:rsidRPr="00DC2731">
        <w:t>recognised</w:t>
      </w:r>
      <w:proofErr w:type="spellEnd"/>
      <w:r w:rsidRPr="00DC2731">
        <w:t xml:space="preserve"> and measured at the present value of amounts expected to be paid when the liabilities are settled using the remuneration rate expected to apply at the time of settlement.</w:t>
      </w:r>
    </w:p>
    <w:p w:rsidR="00CB1A47" w:rsidRPr="00DC2731" w:rsidRDefault="00CB1A47" w:rsidP="007609FA">
      <w:pPr>
        <w:pStyle w:val="BodyText"/>
        <w:ind w:left="709" w:right="283"/>
      </w:pPr>
      <w:r w:rsidRPr="00DC2731">
        <w:t>When assessing expected future payments consideration is given to expected future wage and salary levels including non-salary components such as employer superannuation contributions, as well as the experience of employee departures and periods of service. The expected future payments are discounted using market yields at the end of the reporting period on national government bonds with terms to maturity that match, as closely as possible, the estimated future cash outflows.</w:t>
      </w:r>
    </w:p>
    <w:p w:rsidR="00CB1A47" w:rsidRDefault="00CB1A47" w:rsidP="007609FA">
      <w:pPr>
        <w:pStyle w:val="BodyText"/>
        <w:ind w:left="709" w:right="283"/>
      </w:pPr>
      <w:r w:rsidRPr="00DC2731">
        <w:t xml:space="preserve">Unconditional long service leave provisions are classified as current liabilities as the </w:t>
      </w:r>
      <w:r>
        <w:t xml:space="preserve">sub-department </w:t>
      </w:r>
      <w:r w:rsidRPr="00DC2731">
        <w:t xml:space="preserve">does not have an unconditional right to defer settlement of the liability for at least 12 months after the end of the reporting period. Pre-conditional and conditional long service leave provisions are classified as non-current liabilities because the </w:t>
      </w:r>
      <w:r>
        <w:t xml:space="preserve">sub-department </w:t>
      </w:r>
      <w:r w:rsidRPr="00DC2731">
        <w:t>has an unconditional right to defer the settlement of the liability until the employee has completed the requisite years of service.</w:t>
      </w:r>
    </w:p>
    <w:p w:rsidR="00CB1A47" w:rsidRPr="00DC2731" w:rsidRDefault="00CB1A47" w:rsidP="007609FA">
      <w:pPr>
        <w:pStyle w:val="BodyText"/>
        <w:ind w:left="709" w:right="283"/>
      </w:pPr>
      <w:r w:rsidRPr="00F6664B">
        <w:t>Superannuation</w:t>
      </w:r>
      <w:r>
        <w:t xml:space="preserve"> - </w:t>
      </w:r>
      <w:r w:rsidRPr="00DC2731">
        <w:t>The Government Employees Superannuation Board (GESB) and other fund providers administer public sector superannuation arrangements in Western Australia in accordance with legislative requirements. Eligibility criteria for membership in particular schemes for public sector employees vary according to commencement and implementation dates.</w:t>
      </w:r>
    </w:p>
    <w:p w:rsidR="00CB1A47" w:rsidRPr="00DC2731" w:rsidRDefault="00CB1A47" w:rsidP="007609FA">
      <w:pPr>
        <w:pStyle w:val="BodyText"/>
        <w:ind w:left="709" w:right="283"/>
      </w:pPr>
      <w:r w:rsidRPr="00DC2731">
        <w:t>Eligible employees contribute to the Pension Scheme, a defined benefit pension scheme closed to new members since 1987, or the Gold State Superannuation Scheme (GSS), a defined benefit lump sum scheme closed to new members since 1995.</w:t>
      </w:r>
    </w:p>
    <w:p w:rsidR="00CB1A47" w:rsidRPr="00DC2731" w:rsidRDefault="00CB1A47" w:rsidP="007609FA">
      <w:pPr>
        <w:pStyle w:val="BodyText"/>
        <w:ind w:left="709" w:right="283"/>
      </w:pPr>
      <w:r w:rsidRPr="00DC2731">
        <w:t xml:space="preserve">Employees commencing employment prior to 16 April 2007 who were not members of either the Pension Scheme or the GSS became non-contributory members of the West State Superannuation Scheme (WSS). Employees commencing employment on or after 16 April 2007 became members of the GESB Super Scheme (GESBS). From 30 March 2012, existing members of the WSS or GESBS and new employees have been able to </w:t>
      </w:r>
      <w:r w:rsidRPr="00DC2731">
        <w:lastRenderedPageBreak/>
        <w:t>choose their preferred superannuation fund provider. The sub</w:t>
      </w:r>
      <w:r>
        <w:t xml:space="preserve">-department </w:t>
      </w:r>
      <w:r w:rsidRPr="00DC2731">
        <w:t xml:space="preserve">makes contributions to GESB or other fund providers on behalf of employees in compliance with the </w:t>
      </w:r>
      <w:r w:rsidRPr="00D94623">
        <w:rPr>
          <w:i/>
        </w:rPr>
        <w:t>Commonwealth Government’s Superannuation Guarantee (Administration) Act 1992</w:t>
      </w:r>
      <w:r w:rsidRPr="00DC2731">
        <w:t xml:space="preserve">. Contributions to these accumulation schemes extinguish the </w:t>
      </w:r>
      <w:r>
        <w:t>sub-department’s</w:t>
      </w:r>
      <w:r w:rsidRPr="00DC2731">
        <w:t xml:space="preserve"> liability for superannuation charges in respect of employees who are not members of the Pension Scheme or GSS.</w:t>
      </w:r>
    </w:p>
    <w:p w:rsidR="00CB1A47" w:rsidRPr="00DC2731" w:rsidRDefault="00CB1A47" w:rsidP="007609FA">
      <w:pPr>
        <w:pStyle w:val="BodyText"/>
        <w:ind w:left="709" w:right="283"/>
      </w:pPr>
      <w:r w:rsidRPr="00DC2731">
        <w:t xml:space="preserve">The GSS is a defined benefit scheme for the purposes of employees and whole-of-government reporting. However, it is a defined contribution plan for agency purposes because the concurrent contributions (defined contributions) made by the </w:t>
      </w:r>
      <w:r>
        <w:t xml:space="preserve">sub-department </w:t>
      </w:r>
      <w:r w:rsidRPr="00DC2731">
        <w:t>to GESB extinguishes the agency’s obligations to the related superannuation liability.</w:t>
      </w:r>
    </w:p>
    <w:p w:rsidR="00CB1A47" w:rsidRPr="00DC2731" w:rsidRDefault="00CB1A47" w:rsidP="007609FA">
      <w:pPr>
        <w:pStyle w:val="BodyText"/>
        <w:ind w:left="709" w:right="283"/>
      </w:pPr>
      <w:r w:rsidRPr="00DC2731">
        <w:t xml:space="preserve">The </w:t>
      </w:r>
      <w:r>
        <w:t>sub-department</w:t>
      </w:r>
      <w:r w:rsidRPr="00DC2731">
        <w:t xml:space="preserve"> has no liabilities under the Pension Scheme or the GSS. The liabilities for the unfunded Pension Scheme and the unfunded GSS transfer benefits attributable to members who transferred from the Pension Scheme, are assumed by the Treasurer. All other GSS obligations are funded by concurrent contributions made by the </w:t>
      </w:r>
      <w:r>
        <w:t xml:space="preserve">sub-department </w:t>
      </w:r>
      <w:r w:rsidRPr="00DC2731">
        <w:t>to the GESB.</w:t>
      </w:r>
    </w:p>
    <w:p w:rsidR="00CB1A47" w:rsidRDefault="00CB1A47" w:rsidP="007609FA">
      <w:pPr>
        <w:pStyle w:val="BodyText"/>
        <w:ind w:left="709" w:right="283"/>
      </w:pPr>
      <w:r w:rsidRPr="00DC2731">
        <w:t>The GESB makes all benefit payments in respect of the Pension Scheme and GSS, and is recouped from the Treasurer for the employer’s share.</w:t>
      </w:r>
      <w:r>
        <w:t xml:space="preserve"> </w:t>
      </w:r>
    </w:p>
    <w:p w:rsidR="00CB1A47" w:rsidRPr="005C1598" w:rsidRDefault="00CB1A47" w:rsidP="007609FA">
      <w:pPr>
        <w:pStyle w:val="BodyText"/>
        <w:spacing w:after="240"/>
        <w:ind w:left="709" w:right="283"/>
      </w:pPr>
      <w:r>
        <w:t>See also Note 2(p) ‘Superannuation expense’.</w:t>
      </w:r>
    </w:p>
    <w:p w:rsidR="00CB1A47" w:rsidRPr="00D94623" w:rsidRDefault="00CB1A47" w:rsidP="007609FA">
      <w:pPr>
        <w:pStyle w:val="Heading4"/>
        <w:ind w:left="709" w:right="283"/>
      </w:pPr>
      <w:r w:rsidRPr="00D94623">
        <w:t xml:space="preserve">Provisions </w:t>
      </w:r>
      <w:r w:rsidRPr="003A3E34">
        <w:rPr>
          <w:rFonts w:ascii="MS Gothic" w:eastAsia="MS Gothic" w:hAnsi="MS Gothic" w:cs="MS Gothic"/>
          <w:i/>
        </w:rPr>
        <w:t xml:space="preserve">- </w:t>
      </w:r>
      <w:r w:rsidRPr="00D94623">
        <w:t>other</w:t>
      </w:r>
    </w:p>
    <w:p w:rsidR="00CB1A47" w:rsidRPr="00DC2731" w:rsidRDefault="00CB1A47" w:rsidP="007609FA">
      <w:pPr>
        <w:pStyle w:val="BodyText"/>
        <w:spacing w:after="240"/>
        <w:ind w:left="709" w:right="283"/>
      </w:pPr>
      <w:r w:rsidRPr="00F6664B">
        <w:t>Employment on-costs</w:t>
      </w:r>
      <w:r>
        <w:t xml:space="preserve"> - </w:t>
      </w:r>
      <w:r w:rsidRPr="00DC2731">
        <w:t xml:space="preserve">Employment on-costs, including workers’ compensation insurance, are not employee benefits and are </w:t>
      </w:r>
      <w:proofErr w:type="spellStart"/>
      <w:r w:rsidRPr="00DC2731">
        <w:t>recognised</w:t>
      </w:r>
      <w:proofErr w:type="spellEnd"/>
      <w:r w:rsidRPr="00DC2731">
        <w:t xml:space="preserve"> separately as liabilities and expenses when the employment to which they relate has occurred. Employment on-costs are included as part of ‘Other expenses’ and are not included as part of the </w:t>
      </w:r>
      <w:r>
        <w:t xml:space="preserve">sub-department’s </w:t>
      </w:r>
      <w:r w:rsidRPr="00DC2731">
        <w:t>‘Employee benefits expense’. The related liability is included in ‘Employment on-costs provision’.</w:t>
      </w:r>
    </w:p>
    <w:p w:rsidR="00E36582" w:rsidRPr="00F6664B" w:rsidRDefault="00E36582" w:rsidP="007609FA">
      <w:pPr>
        <w:pStyle w:val="Heading4"/>
        <w:ind w:left="709"/>
        <w:jc w:val="both"/>
      </w:pPr>
      <w:r>
        <w:t>(p</w:t>
      </w:r>
      <w:r w:rsidRPr="00F6664B">
        <w:t>) Superannuation expense</w:t>
      </w:r>
    </w:p>
    <w:p w:rsidR="00E36582" w:rsidRPr="00DC2731" w:rsidRDefault="00E36582" w:rsidP="007609FA">
      <w:pPr>
        <w:pStyle w:val="BodyText"/>
        <w:spacing w:after="240"/>
        <w:ind w:left="709" w:right="141"/>
      </w:pPr>
      <w:r w:rsidRPr="00DC2731">
        <w:t xml:space="preserve">Superannuation expense is </w:t>
      </w:r>
      <w:proofErr w:type="spellStart"/>
      <w:r w:rsidRPr="00DC2731">
        <w:t>recognised</w:t>
      </w:r>
      <w:proofErr w:type="spellEnd"/>
      <w:r w:rsidRPr="00DC2731">
        <w:t xml:space="preserve"> in the profit or loss of the Statement of Comprehensive Income and comprises employer contributions paid to the GSS (concurrent contributions), the WSS, the GESBS, or other superannuation fund</w:t>
      </w:r>
      <w:r>
        <w:t>s</w:t>
      </w:r>
      <w:r w:rsidRPr="00DC2731">
        <w:t>. The employer contribution paid to the GESB in respect of the GSS is paid back into the Consolidated Account by the GESB.</w:t>
      </w:r>
    </w:p>
    <w:p w:rsidR="00E36582" w:rsidRPr="00F6664B" w:rsidRDefault="00E36582" w:rsidP="007609FA">
      <w:pPr>
        <w:pStyle w:val="Heading4"/>
        <w:ind w:left="709"/>
        <w:jc w:val="both"/>
      </w:pPr>
      <w:r w:rsidRPr="00F6664B">
        <w:t>(</w:t>
      </w:r>
      <w:r>
        <w:t>q</w:t>
      </w:r>
      <w:r w:rsidRPr="00F6664B">
        <w:t>) Assets and services received free of charge or for nominal cost</w:t>
      </w:r>
    </w:p>
    <w:p w:rsidR="00E36582" w:rsidRPr="00E36582" w:rsidRDefault="00E36582" w:rsidP="007609FA">
      <w:pPr>
        <w:pStyle w:val="BodyText"/>
        <w:ind w:left="709" w:right="425"/>
      </w:pPr>
      <w:r w:rsidRPr="00E36582">
        <w:t xml:space="preserve">Assets or services received free of charge or for nominal cost that the sub-department would otherwise purchase if not donated, are </w:t>
      </w:r>
      <w:proofErr w:type="spellStart"/>
      <w:r w:rsidRPr="00E36582">
        <w:t>recognised</w:t>
      </w:r>
      <w:proofErr w:type="spellEnd"/>
      <w:r w:rsidRPr="00E36582">
        <w:t xml:space="preserve"> as income at the fair value of the assets or services where they can be reliably measured. A corresponding expense is </w:t>
      </w:r>
      <w:proofErr w:type="spellStart"/>
      <w:r w:rsidRPr="00E36582">
        <w:t>recognised</w:t>
      </w:r>
      <w:proofErr w:type="spellEnd"/>
      <w:r w:rsidRPr="00E36582">
        <w:t xml:space="preserve"> for services received. Receipts of assets are </w:t>
      </w:r>
      <w:proofErr w:type="spellStart"/>
      <w:r w:rsidRPr="00E36582">
        <w:t>recognised</w:t>
      </w:r>
      <w:proofErr w:type="spellEnd"/>
      <w:r w:rsidRPr="00E36582">
        <w:t xml:space="preserve"> in the Statement of Financial Position. </w:t>
      </w:r>
    </w:p>
    <w:p w:rsidR="00E36582" w:rsidRPr="00E36582" w:rsidRDefault="00E36582" w:rsidP="007609FA">
      <w:pPr>
        <w:pStyle w:val="BodyText"/>
        <w:spacing w:after="240"/>
        <w:ind w:left="709" w:right="425"/>
      </w:pPr>
      <w:r w:rsidRPr="00E36582">
        <w:t>Assets or services received from other State Government agencies are separately disclosed under Income from State Government in the Statement of Comprehensive Income.</w:t>
      </w:r>
    </w:p>
    <w:p w:rsidR="00E36582" w:rsidRDefault="00E36582" w:rsidP="007609FA">
      <w:pPr>
        <w:pStyle w:val="Heading2"/>
        <w:ind w:left="709"/>
      </w:pPr>
      <w:r w:rsidRPr="00E27457">
        <w:t>Note 3. Comparative figures</w:t>
      </w:r>
    </w:p>
    <w:p w:rsidR="00E36582" w:rsidRDefault="00E36582" w:rsidP="007609FA">
      <w:pPr>
        <w:pStyle w:val="BodyText"/>
        <w:spacing w:after="240"/>
        <w:ind w:left="709"/>
      </w:pPr>
      <w:r w:rsidRPr="00E27457">
        <w:t>Comparative figures are, where appropriate, reclassified to be comparable with the figures presented in the current reporting period.</w:t>
      </w:r>
    </w:p>
    <w:p w:rsidR="00E36582" w:rsidRPr="00E27457" w:rsidRDefault="00E36582" w:rsidP="007609FA">
      <w:pPr>
        <w:pStyle w:val="Heading2"/>
        <w:ind w:left="709"/>
      </w:pPr>
      <w:r w:rsidRPr="00E27457">
        <w:t>Note 4. Judgements made by management in applying accounting policies</w:t>
      </w:r>
    </w:p>
    <w:p w:rsidR="00E36582" w:rsidRDefault="00E36582" w:rsidP="007609FA">
      <w:pPr>
        <w:pStyle w:val="BodyText"/>
        <w:spacing w:after="240"/>
        <w:ind w:left="709"/>
      </w:pPr>
      <w:r w:rsidRPr="00DC2731">
        <w:t xml:space="preserve">The preparation of financial statements requires management to make judgements about the application of accounting policies that have a significant effect on the amounts </w:t>
      </w:r>
      <w:proofErr w:type="spellStart"/>
      <w:r w:rsidRPr="00DC2731">
        <w:t>recognised</w:t>
      </w:r>
      <w:proofErr w:type="spellEnd"/>
      <w:r w:rsidRPr="00DC2731">
        <w:t xml:space="preserve"> in the financial statements. The </w:t>
      </w:r>
      <w:r>
        <w:t xml:space="preserve">sub-department </w:t>
      </w:r>
      <w:r w:rsidRPr="00DC2731">
        <w:t>evaluates these judgements regularly.</w:t>
      </w:r>
    </w:p>
    <w:p w:rsidR="00E36582" w:rsidRDefault="00E36582" w:rsidP="00E661A5">
      <w:pPr>
        <w:pStyle w:val="Heading3"/>
        <w:ind w:left="709"/>
      </w:pPr>
      <w:r w:rsidRPr="0067051F">
        <w:lastRenderedPageBreak/>
        <w:t>Operating lease commitments</w:t>
      </w:r>
    </w:p>
    <w:p w:rsidR="00E36582" w:rsidRPr="0067051F" w:rsidRDefault="00E36582" w:rsidP="007609FA">
      <w:pPr>
        <w:pStyle w:val="BodyText"/>
        <w:spacing w:after="240"/>
        <w:ind w:left="709"/>
      </w:pPr>
      <w:r w:rsidRPr="0067051F">
        <w:t xml:space="preserve">The sub-department has entered </w:t>
      </w:r>
      <w:r w:rsidRPr="00724002">
        <w:t xml:space="preserve">into </w:t>
      </w:r>
      <w:r>
        <w:t>a</w:t>
      </w:r>
      <w:r w:rsidRPr="00724002">
        <w:t xml:space="preserve"> lease </w:t>
      </w:r>
      <w:r w:rsidRPr="0067051F">
        <w:t xml:space="preserve">for office accommodation. </w:t>
      </w:r>
      <w:r>
        <w:t>This lease</w:t>
      </w:r>
      <w:r w:rsidRPr="0067051F">
        <w:t xml:space="preserve"> </w:t>
      </w:r>
      <w:r>
        <w:t>is</w:t>
      </w:r>
      <w:r w:rsidRPr="0067051F">
        <w:t xml:space="preserve"> of a temporary nature and it has been determined that the lessor retains substantially all the risks and rewards incidental to ownership. Accordingly, </w:t>
      </w:r>
      <w:r>
        <w:t>this lease has</w:t>
      </w:r>
      <w:r w:rsidRPr="0067051F">
        <w:t xml:space="preserve"> bee</w:t>
      </w:r>
      <w:r>
        <w:t>n classified as operating lease</w:t>
      </w:r>
      <w:r w:rsidRPr="0067051F">
        <w:t>.</w:t>
      </w:r>
    </w:p>
    <w:p w:rsidR="00E36582" w:rsidRDefault="00E36582" w:rsidP="007609FA">
      <w:pPr>
        <w:pStyle w:val="Heading2"/>
        <w:ind w:left="709"/>
      </w:pPr>
      <w:r w:rsidRPr="00B44AE2">
        <w:t>Note 5. Key sources of estimation uncertainty</w:t>
      </w:r>
    </w:p>
    <w:p w:rsidR="00E36582" w:rsidRPr="00E36582" w:rsidRDefault="00E36582" w:rsidP="007609FA">
      <w:pPr>
        <w:pStyle w:val="BodyText"/>
        <w:spacing w:after="240"/>
        <w:ind w:left="709"/>
      </w:pPr>
      <w:r w:rsidRPr="00DC2731">
        <w:t xml:space="preserve">Key estimates and assumptions concerning the future are based on historical experience and various other factors that have a significant risk of causing a material adjustment to the carrying amount of assets and liabilities within the next </w:t>
      </w:r>
      <w:r>
        <w:t>reporting period.</w:t>
      </w:r>
    </w:p>
    <w:p w:rsidR="00E36582" w:rsidRPr="00F6664B" w:rsidRDefault="00E36582" w:rsidP="00A47797">
      <w:pPr>
        <w:pStyle w:val="Heading3"/>
        <w:ind w:left="709"/>
      </w:pPr>
      <w:r w:rsidRPr="00F6664B">
        <w:t>Long service leave</w:t>
      </w:r>
    </w:p>
    <w:p w:rsidR="00E36582" w:rsidRPr="00F6664B" w:rsidRDefault="00E36582" w:rsidP="007609FA">
      <w:pPr>
        <w:pStyle w:val="BodyText"/>
        <w:spacing w:after="240"/>
        <w:ind w:left="709"/>
      </w:pPr>
      <w:r w:rsidRPr="00DC2731">
        <w:t xml:space="preserve">Several estimations and assumptions used in calculating the </w:t>
      </w:r>
      <w:r>
        <w:t xml:space="preserve">sub-department’s </w:t>
      </w:r>
      <w:r w:rsidRPr="00DC2731">
        <w:t>long service leave provision include expected future salary rates, discount rates, employee retention rates and expected future payments. Changes in these estimations and assumptions may impact on the carrying amounts of the long service leave provision</w:t>
      </w:r>
      <w:r w:rsidRPr="00F6664B">
        <w:t>.</w:t>
      </w:r>
    </w:p>
    <w:p w:rsidR="00E36582" w:rsidRDefault="00E36582" w:rsidP="007609FA">
      <w:pPr>
        <w:pStyle w:val="Heading2"/>
        <w:ind w:left="709"/>
      </w:pPr>
      <w:r w:rsidRPr="00B44AE2">
        <w:t>Note 6. Disclosure of changes in accounting policy and estimates</w:t>
      </w:r>
    </w:p>
    <w:p w:rsidR="00E36582" w:rsidRDefault="00E36582" w:rsidP="00A47797">
      <w:pPr>
        <w:pStyle w:val="Heading3"/>
        <w:ind w:left="709"/>
      </w:pPr>
      <w:r w:rsidRPr="005B42C0">
        <w:t>Voluntary changes in accounting policy</w:t>
      </w:r>
    </w:p>
    <w:p w:rsidR="00E36582" w:rsidRDefault="00E36582" w:rsidP="007609FA">
      <w:pPr>
        <w:pStyle w:val="BodyText"/>
        <w:spacing w:after="240"/>
        <w:ind w:left="709"/>
      </w:pPr>
      <w:r w:rsidRPr="005B42C0">
        <w:t>There are no voluntary changes in accounting policies during the</w:t>
      </w:r>
      <w:r>
        <w:t xml:space="preserve"> reporting period</w:t>
      </w:r>
      <w:r w:rsidRPr="005B42C0">
        <w:t>.</w:t>
      </w:r>
    </w:p>
    <w:p w:rsidR="00E36582" w:rsidRPr="00D94623" w:rsidRDefault="00E36582" w:rsidP="007609FA">
      <w:pPr>
        <w:pStyle w:val="Heading4"/>
        <w:ind w:left="709"/>
      </w:pPr>
      <w:r w:rsidRPr="00D94623">
        <w:t>Changes in accounting estimates</w:t>
      </w:r>
    </w:p>
    <w:p w:rsidR="00E36582" w:rsidRDefault="00E36582" w:rsidP="007609FA">
      <w:pPr>
        <w:pStyle w:val="BodyText"/>
        <w:ind w:left="709"/>
      </w:pPr>
      <w:r w:rsidRPr="005B42C0">
        <w:rPr>
          <w:lang w:eastAsia="en-AU"/>
        </w:rPr>
        <w:t>There have been no changes in accounting estimates during the year.</w:t>
      </w:r>
    </w:p>
    <w:p w:rsidR="00E36582" w:rsidRPr="005B42C0" w:rsidRDefault="00E36582" w:rsidP="00E36582">
      <w:pPr>
        <w:pStyle w:val="BodyText"/>
        <w:ind w:left="567"/>
      </w:pPr>
    </w:p>
    <w:p w:rsidR="000E2D78" w:rsidRDefault="000E2D78" w:rsidP="000E2D78">
      <w:pPr>
        <w:pStyle w:val="Heading2"/>
        <w:spacing w:before="35"/>
        <w:ind w:left="637"/>
        <w:jc w:val="both"/>
      </w:pPr>
      <w:r>
        <w:rPr>
          <w:color w:val="353434"/>
        </w:rPr>
        <w:t>Note 7. Employee benefits expense</w:t>
      </w:r>
    </w:p>
    <w:tbl>
      <w:tblPr>
        <w:tblW w:w="73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472"/>
        <w:gridCol w:w="1472"/>
      </w:tblGrid>
      <w:tr w:rsidR="00D40680" w:rsidRPr="000E2D78" w:rsidTr="00484092">
        <w:trPr>
          <w:trHeight w:val="510"/>
        </w:trPr>
        <w:tc>
          <w:tcPr>
            <w:tcW w:w="4360" w:type="dxa"/>
            <w:shd w:val="clear" w:color="auto" w:fill="auto"/>
            <w:noWrap/>
            <w:vAlign w:val="bottom"/>
            <w:hideMark/>
          </w:tcPr>
          <w:p w:rsidR="00D40680" w:rsidRPr="00C0547C" w:rsidRDefault="00C0547C" w:rsidP="00484092">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 </w:t>
            </w:r>
            <w:r w:rsidR="002F21CB" w:rsidRPr="00C0547C">
              <w:rPr>
                <w:rFonts w:ascii="Arial" w:eastAsia="Times New Roman" w:hAnsi="Arial" w:cs="Arial"/>
                <w:sz w:val="20"/>
                <w:szCs w:val="20"/>
                <w:lang w:val="en-AU" w:eastAsia="en-AU" w:bidi="ar-SA"/>
              </w:rPr>
              <w:t>Expense</w:t>
            </w:r>
          </w:p>
        </w:tc>
        <w:tc>
          <w:tcPr>
            <w:tcW w:w="1472" w:type="dxa"/>
            <w:shd w:val="clear" w:color="auto" w:fill="auto"/>
            <w:vAlign w:val="bottom"/>
            <w:hideMark/>
          </w:tcPr>
          <w:p w:rsidR="00D40680" w:rsidRPr="00C0547C" w:rsidRDefault="00C0547C" w:rsidP="00C0547C">
            <w:pPr>
              <w:widowControl/>
              <w:autoSpaceDE/>
              <w:autoSpaceDN/>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2018 </w:t>
            </w:r>
            <w:r w:rsidR="00D40680" w:rsidRPr="00C0547C">
              <w:rPr>
                <w:rFonts w:ascii="Arial" w:eastAsia="Times New Roman" w:hAnsi="Arial" w:cs="Arial"/>
                <w:bCs/>
                <w:sz w:val="20"/>
                <w:szCs w:val="20"/>
                <w:lang w:val="en-AU" w:eastAsia="en-AU" w:bidi="ar-SA"/>
              </w:rPr>
              <w:t>$000</w:t>
            </w:r>
          </w:p>
        </w:tc>
        <w:tc>
          <w:tcPr>
            <w:tcW w:w="1472" w:type="dxa"/>
            <w:shd w:val="clear" w:color="auto" w:fill="auto"/>
            <w:vAlign w:val="bottom"/>
            <w:hideMark/>
          </w:tcPr>
          <w:p w:rsidR="00D40680" w:rsidRPr="00C0547C" w:rsidRDefault="00C0547C" w:rsidP="00C0547C">
            <w:pPr>
              <w:widowControl/>
              <w:autoSpaceDE/>
              <w:autoSpaceDN/>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2017 </w:t>
            </w:r>
            <w:r w:rsidR="00D40680" w:rsidRPr="00C0547C">
              <w:rPr>
                <w:rFonts w:ascii="Arial" w:eastAsia="Times New Roman" w:hAnsi="Arial" w:cs="Arial"/>
                <w:bCs/>
                <w:sz w:val="20"/>
                <w:szCs w:val="20"/>
                <w:lang w:val="en-AU" w:eastAsia="en-AU" w:bidi="ar-SA"/>
              </w:rPr>
              <w:t>$000</w:t>
            </w:r>
          </w:p>
        </w:tc>
      </w:tr>
      <w:tr w:rsidR="000E2D78" w:rsidRPr="000E2D78" w:rsidTr="00D40680">
        <w:trPr>
          <w:trHeight w:val="25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Wages and salaries </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3,245</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3,634</w:t>
            </w:r>
          </w:p>
        </w:tc>
      </w:tr>
      <w:tr w:rsidR="000E2D78" w:rsidRPr="000E2D78" w:rsidTr="00D40680">
        <w:trPr>
          <w:trHeight w:val="28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Superannuation </w:t>
            </w:r>
            <w:r w:rsidRPr="000E2D78">
              <w:rPr>
                <w:rFonts w:ascii="Arial" w:eastAsia="Times New Roman" w:hAnsi="Arial" w:cs="Arial"/>
                <w:sz w:val="20"/>
                <w:szCs w:val="20"/>
                <w:vertAlign w:val="superscript"/>
                <w:lang w:val="en-AU" w:eastAsia="en-AU" w:bidi="ar-SA"/>
              </w:rPr>
              <w:t>(a)</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450</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272</w:t>
            </w:r>
          </w:p>
        </w:tc>
      </w:tr>
      <w:tr w:rsidR="000E2D78" w:rsidRPr="000E2D78" w:rsidTr="00D40680">
        <w:trPr>
          <w:trHeight w:val="28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Long service leave </w:t>
            </w:r>
            <w:r w:rsidRPr="000E2D78">
              <w:rPr>
                <w:rFonts w:ascii="Arial" w:eastAsia="Times New Roman" w:hAnsi="Arial" w:cs="Arial"/>
                <w:sz w:val="20"/>
                <w:szCs w:val="20"/>
                <w:vertAlign w:val="superscript"/>
                <w:lang w:val="en-AU" w:eastAsia="en-AU" w:bidi="ar-SA"/>
              </w:rPr>
              <w:t>(b)</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138</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137</w:t>
            </w:r>
          </w:p>
        </w:tc>
      </w:tr>
      <w:tr w:rsidR="000E2D78" w:rsidRPr="000E2D78" w:rsidTr="00D40680">
        <w:trPr>
          <w:trHeight w:val="28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Annual leave </w:t>
            </w:r>
            <w:r w:rsidRPr="000E2D78">
              <w:rPr>
                <w:rFonts w:ascii="Arial" w:eastAsia="Times New Roman" w:hAnsi="Arial" w:cs="Arial"/>
                <w:sz w:val="20"/>
                <w:szCs w:val="20"/>
                <w:vertAlign w:val="superscript"/>
                <w:lang w:val="en-AU" w:eastAsia="en-AU" w:bidi="ar-SA"/>
              </w:rPr>
              <w:t>(b)</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578</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358</w:t>
            </w:r>
          </w:p>
        </w:tc>
      </w:tr>
      <w:tr w:rsidR="000E2D78" w:rsidRPr="000E2D78" w:rsidTr="00D40680">
        <w:trPr>
          <w:trHeight w:val="28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Severance Payment </w:t>
            </w:r>
            <w:r w:rsidRPr="000E2D78">
              <w:rPr>
                <w:rFonts w:ascii="Arial" w:eastAsia="Times New Roman" w:hAnsi="Arial" w:cs="Arial"/>
                <w:sz w:val="20"/>
                <w:szCs w:val="20"/>
                <w:vertAlign w:val="superscript"/>
                <w:lang w:val="en-AU" w:eastAsia="en-AU" w:bidi="ar-SA"/>
              </w:rPr>
              <w:t>(c)</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102</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0</w:t>
            </w:r>
          </w:p>
        </w:tc>
      </w:tr>
      <w:tr w:rsidR="000E2D78" w:rsidRPr="000E2D78" w:rsidTr="00D40680">
        <w:trPr>
          <w:trHeight w:val="255"/>
        </w:trPr>
        <w:tc>
          <w:tcPr>
            <w:tcW w:w="4360" w:type="dxa"/>
            <w:shd w:val="clear" w:color="auto" w:fill="auto"/>
            <w:noWrap/>
            <w:vAlign w:val="bottom"/>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Other related expenses</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6</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7</w:t>
            </w:r>
          </w:p>
        </w:tc>
      </w:tr>
      <w:tr w:rsidR="00D40680" w:rsidRPr="00C0547C" w:rsidTr="003526BB">
        <w:trPr>
          <w:trHeight w:val="240"/>
        </w:trPr>
        <w:tc>
          <w:tcPr>
            <w:tcW w:w="4360" w:type="dxa"/>
            <w:shd w:val="clear" w:color="auto" w:fill="auto"/>
            <w:noWrap/>
            <w:hideMark/>
          </w:tcPr>
          <w:p w:rsidR="00D40680" w:rsidRPr="00C0547C" w:rsidRDefault="00C0547C" w:rsidP="000E2D78">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Total</w:t>
            </w:r>
          </w:p>
        </w:tc>
        <w:tc>
          <w:tcPr>
            <w:tcW w:w="1472" w:type="dxa"/>
            <w:shd w:val="clear" w:color="auto" w:fill="auto"/>
            <w:noWrap/>
            <w:hideMark/>
          </w:tcPr>
          <w:p w:rsidR="00D40680" w:rsidRPr="00C0547C" w:rsidRDefault="00D40680" w:rsidP="00C0547C">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4,519</w:t>
            </w:r>
          </w:p>
        </w:tc>
        <w:tc>
          <w:tcPr>
            <w:tcW w:w="1472" w:type="dxa"/>
            <w:shd w:val="clear" w:color="auto" w:fill="auto"/>
            <w:noWrap/>
            <w:hideMark/>
          </w:tcPr>
          <w:p w:rsidR="00D40680" w:rsidRPr="00C0547C" w:rsidRDefault="00D40680" w:rsidP="00C0547C">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4,408</w:t>
            </w:r>
          </w:p>
        </w:tc>
      </w:tr>
    </w:tbl>
    <w:p w:rsidR="00767ADA" w:rsidRPr="00C0547C" w:rsidRDefault="00767ADA" w:rsidP="00C0547C">
      <w:pPr>
        <w:widowControl/>
        <w:autoSpaceDE/>
        <w:autoSpaceDN/>
        <w:rPr>
          <w:rFonts w:ascii="Arial" w:eastAsia="Times New Roman" w:hAnsi="Arial" w:cs="Arial"/>
          <w:sz w:val="20"/>
          <w:szCs w:val="20"/>
          <w:lang w:val="en-AU" w:eastAsia="en-AU" w:bidi="ar-SA"/>
        </w:rPr>
      </w:pPr>
    </w:p>
    <w:p w:rsidR="000E2D78" w:rsidRDefault="000E2D78" w:rsidP="004151B8">
      <w:pPr>
        <w:pStyle w:val="ListParagraph"/>
        <w:numPr>
          <w:ilvl w:val="0"/>
          <w:numId w:val="16"/>
        </w:numPr>
        <w:tabs>
          <w:tab w:val="left" w:pos="909"/>
        </w:tabs>
        <w:spacing w:before="168"/>
        <w:ind w:left="908" w:hanging="271"/>
        <w:rPr>
          <w:sz w:val="20"/>
        </w:rPr>
      </w:pPr>
      <w:r>
        <w:rPr>
          <w:sz w:val="20"/>
        </w:rPr>
        <w:t>Includes a superannuation contribution</w:t>
      </w:r>
      <w:r>
        <w:rPr>
          <w:spacing w:val="-8"/>
          <w:sz w:val="20"/>
        </w:rPr>
        <w:t xml:space="preserve"> </w:t>
      </w:r>
      <w:r>
        <w:rPr>
          <w:sz w:val="20"/>
        </w:rPr>
        <w:t>component.</w:t>
      </w:r>
    </w:p>
    <w:p w:rsidR="000E2D78" w:rsidRDefault="000E2D78" w:rsidP="004151B8">
      <w:pPr>
        <w:pStyle w:val="ListParagraph"/>
        <w:numPr>
          <w:ilvl w:val="0"/>
          <w:numId w:val="16"/>
        </w:numPr>
        <w:tabs>
          <w:tab w:val="left" w:pos="973"/>
        </w:tabs>
        <w:spacing w:before="165" w:line="242" w:lineRule="exact"/>
        <w:ind w:left="972"/>
        <w:rPr>
          <w:sz w:val="20"/>
        </w:rPr>
      </w:pPr>
      <w:r>
        <w:rPr>
          <w:sz w:val="20"/>
        </w:rPr>
        <w:t>The total severance gross payout for 2018</w:t>
      </w:r>
      <w:r>
        <w:rPr>
          <w:spacing w:val="22"/>
          <w:sz w:val="20"/>
        </w:rPr>
        <w:t xml:space="preserve"> </w:t>
      </w:r>
      <w:r>
        <w:rPr>
          <w:sz w:val="20"/>
        </w:rPr>
        <w:t>was</w:t>
      </w:r>
    </w:p>
    <w:p w:rsidR="000E2D78" w:rsidRDefault="000E2D78" w:rsidP="000E2D78">
      <w:pPr>
        <w:spacing w:before="2" w:line="235" w:lineRule="auto"/>
        <w:ind w:left="637" w:right="680"/>
        <w:jc w:val="both"/>
        <w:rPr>
          <w:sz w:val="20"/>
        </w:rPr>
      </w:pPr>
      <w:r>
        <w:rPr>
          <w:sz w:val="20"/>
        </w:rPr>
        <w:t>$120,679, with $18,290 related to leave entitlements (Refer to Note 20).</w:t>
      </w:r>
    </w:p>
    <w:p w:rsidR="000E2D78" w:rsidRDefault="000E2D78" w:rsidP="000E2D78">
      <w:pPr>
        <w:pStyle w:val="BodyText"/>
        <w:spacing w:before="7"/>
        <w:rPr>
          <w:sz w:val="19"/>
        </w:rPr>
      </w:pPr>
    </w:p>
    <w:p w:rsidR="000E2D78" w:rsidRDefault="000E2D78" w:rsidP="000E2D78">
      <w:pPr>
        <w:pStyle w:val="BodyText"/>
        <w:spacing w:line="235" w:lineRule="auto"/>
        <w:ind w:left="637" w:right="684"/>
        <w:jc w:val="both"/>
      </w:pPr>
      <w:r>
        <w:t>Employment</w:t>
      </w:r>
      <w:r>
        <w:rPr>
          <w:spacing w:val="-20"/>
        </w:rPr>
        <w:t xml:space="preserve"> </w:t>
      </w:r>
      <w:r>
        <w:t>on-costs</w:t>
      </w:r>
      <w:r>
        <w:rPr>
          <w:spacing w:val="-20"/>
        </w:rPr>
        <w:t xml:space="preserve"> </w:t>
      </w:r>
      <w:r>
        <w:t>expenses,</w:t>
      </w:r>
      <w:r>
        <w:rPr>
          <w:spacing w:val="-20"/>
        </w:rPr>
        <w:t xml:space="preserve"> </w:t>
      </w:r>
      <w:r>
        <w:t>such</w:t>
      </w:r>
      <w:r>
        <w:rPr>
          <w:spacing w:val="-20"/>
        </w:rPr>
        <w:t xml:space="preserve"> </w:t>
      </w:r>
      <w:r>
        <w:t>as</w:t>
      </w:r>
      <w:r>
        <w:rPr>
          <w:spacing w:val="-20"/>
        </w:rPr>
        <w:t xml:space="preserve"> </w:t>
      </w:r>
      <w:r>
        <w:rPr>
          <w:spacing w:val="-3"/>
        </w:rPr>
        <w:t xml:space="preserve">workers’ </w:t>
      </w:r>
      <w:r>
        <w:t>compensation</w:t>
      </w:r>
      <w:r>
        <w:rPr>
          <w:spacing w:val="-19"/>
        </w:rPr>
        <w:t xml:space="preserve"> </w:t>
      </w:r>
      <w:r>
        <w:t>insurance,</w:t>
      </w:r>
      <w:r>
        <w:rPr>
          <w:spacing w:val="-20"/>
        </w:rPr>
        <w:t xml:space="preserve"> </w:t>
      </w:r>
      <w:r>
        <w:t>are</w:t>
      </w:r>
      <w:r>
        <w:rPr>
          <w:spacing w:val="-19"/>
        </w:rPr>
        <w:t xml:space="preserve"> </w:t>
      </w:r>
      <w:r>
        <w:t>included</w:t>
      </w:r>
      <w:r>
        <w:rPr>
          <w:spacing w:val="-19"/>
        </w:rPr>
        <w:t xml:space="preserve"> </w:t>
      </w:r>
      <w:r>
        <w:t>at</w:t>
      </w:r>
      <w:r>
        <w:rPr>
          <w:spacing w:val="-19"/>
        </w:rPr>
        <w:t xml:space="preserve"> </w:t>
      </w:r>
      <w:r>
        <w:t>Note</w:t>
      </w:r>
      <w:r>
        <w:rPr>
          <w:spacing w:val="-19"/>
        </w:rPr>
        <w:t xml:space="preserve"> </w:t>
      </w:r>
      <w:r>
        <w:t xml:space="preserve">12 ‘Other </w:t>
      </w:r>
      <w:r>
        <w:rPr>
          <w:spacing w:val="-3"/>
        </w:rPr>
        <w:t xml:space="preserve">expenses’. Employment </w:t>
      </w:r>
      <w:r>
        <w:t xml:space="preserve">on-costs liability is </w:t>
      </w:r>
      <w:r>
        <w:lastRenderedPageBreak/>
        <w:t>included at Note 20</w:t>
      </w:r>
      <w:r>
        <w:rPr>
          <w:spacing w:val="-3"/>
        </w:rPr>
        <w:t xml:space="preserve"> ‘Provisions’.</w:t>
      </w:r>
    </w:p>
    <w:p w:rsidR="000E2D78" w:rsidRDefault="000E2D78" w:rsidP="000E2D78">
      <w:pPr>
        <w:pStyle w:val="BodyText"/>
        <w:spacing w:before="174" w:line="235" w:lineRule="auto"/>
        <w:ind w:left="637" w:right="684"/>
        <w:jc w:val="both"/>
      </w:pPr>
      <w:r>
        <w:t>Employment</w:t>
      </w:r>
      <w:r>
        <w:rPr>
          <w:spacing w:val="-20"/>
        </w:rPr>
        <w:t xml:space="preserve"> </w:t>
      </w:r>
      <w:r>
        <w:t>on-costs</w:t>
      </w:r>
      <w:r>
        <w:rPr>
          <w:spacing w:val="-20"/>
        </w:rPr>
        <w:t xml:space="preserve"> </w:t>
      </w:r>
      <w:r>
        <w:t>expenses,</w:t>
      </w:r>
      <w:r>
        <w:rPr>
          <w:spacing w:val="-20"/>
        </w:rPr>
        <w:t xml:space="preserve"> </w:t>
      </w:r>
      <w:r>
        <w:t>such</w:t>
      </w:r>
      <w:r>
        <w:rPr>
          <w:spacing w:val="-20"/>
        </w:rPr>
        <w:t xml:space="preserve"> </w:t>
      </w:r>
      <w:r>
        <w:t>as</w:t>
      </w:r>
      <w:r>
        <w:rPr>
          <w:spacing w:val="-20"/>
        </w:rPr>
        <w:t xml:space="preserve"> </w:t>
      </w:r>
      <w:r>
        <w:rPr>
          <w:spacing w:val="-3"/>
        </w:rPr>
        <w:t xml:space="preserve">workers’ </w:t>
      </w:r>
      <w:r>
        <w:t>compensation</w:t>
      </w:r>
      <w:r>
        <w:rPr>
          <w:spacing w:val="-19"/>
        </w:rPr>
        <w:t xml:space="preserve"> </w:t>
      </w:r>
      <w:r>
        <w:t>insurance,</w:t>
      </w:r>
      <w:r>
        <w:rPr>
          <w:spacing w:val="-20"/>
        </w:rPr>
        <w:t xml:space="preserve"> </w:t>
      </w:r>
      <w:r>
        <w:t>are</w:t>
      </w:r>
      <w:r>
        <w:rPr>
          <w:spacing w:val="-19"/>
        </w:rPr>
        <w:t xml:space="preserve"> </w:t>
      </w:r>
      <w:r>
        <w:t>included</w:t>
      </w:r>
      <w:r>
        <w:rPr>
          <w:spacing w:val="-19"/>
        </w:rPr>
        <w:t xml:space="preserve"> </w:t>
      </w:r>
      <w:r>
        <w:t>at</w:t>
      </w:r>
      <w:r>
        <w:rPr>
          <w:spacing w:val="-19"/>
        </w:rPr>
        <w:t xml:space="preserve"> </w:t>
      </w:r>
      <w:r>
        <w:t>Note</w:t>
      </w:r>
      <w:r>
        <w:rPr>
          <w:spacing w:val="-19"/>
        </w:rPr>
        <w:t xml:space="preserve"> </w:t>
      </w:r>
      <w:r>
        <w:t xml:space="preserve">12 ‘Other </w:t>
      </w:r>
      <w:r>
        <w:rPr>
          <w:spacing w:val="-4"/>
        </w:rPr>
        <w:t xml:space="preserve">expenses’. </w:t>
      </w:r>
      <w:r>
        <w:t>Employment on-costs liability is included at Note 20</w:t>
      </w:r>
      <w:r>
        <w:rPr>
          <w:spacing w:val="-3"/>
        </w:rPr>
        <w:t xml:space="preserve"> ‘Provisions’.</w:t>
      </w:r>
    </w:p>
    <w:p w:rsidR="004564CC" w:rsidRDefault="000E2D78" w:rsidP="000E2D78">
      <w:pPr>
        <w:pStyle w:val="Heading2"/>
      </w:pPr>
      <w:r>
        <w:t>Note 8. Supplies</w:t>
      </w:r>
      <w:r>
        <w:rPr>
          <w:spacing w:val="1"/>
        </w:rPr>
        <w:t xml:space="preserve"> </w:t>
      </w:r>
      <w:r>
        <w:rPr>
          <w:spacing w:val="-2"/>
        </w:rPr>
        <w:t>and</w:t>
      </w:r>
      <w:r>
        <w:rPr>
          <w:spacing w:val="-1"/>
        </w:rPr>
        <w:t xml:space="preserve"> </w:t>
      </w:r>
      <w:r>
        <w:t>services</w:t>
      </w:r>
    </w:p>
    <w:tbl>
      <w:tblPr>
        <w:tblW w:w="709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1472"/>
        <w:gridCol w:w="1472"/>
      </w:tblGrid>
      <w:tr w:rsidR="002D3E19" w:rsidRPr="000E2D78" w:rsidTr="00484092">
        <w:trPr>
          <w:trHeight w:val="510"/>
        </w:trPr>
        <w:tc>
          <w:tcPr>
            <w:tcW w:w="4148" w:type="dxa"/>
            <w:shd w:val="clear" w:color="auto" w:fill="auto"/>
            <w:noWrap/>
            <w:vAlign w:val="bottom"/>
            <w:hideMark/>
          </w:tcPr>
          <w:p w:rsidR="002D3E19" w:rsidRPr="000E2D78" w:rsidRDefault="002F21CB" w:rsidP="00484092">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Expense</w:t>
            </w:r>
          </w:p>
        </w:tc>
        <w:tc>
          <w:tcPr>
            <w:tcW w:w="1472" w:type="dxa"/>
            <w:shd w:val="clear" w:color="auto" w:fill="auto"/>
            <w:vAlign w:val="bottom"/>
            <w:hideMark/>
          </w:tcPr>
          <w:p w:rsidR="002D3E19" w:rsidRPr="00C0547C" w:rsidRDefault="002D3E19" w:rsidP="000E2D78">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2018</w:t>
            </w:r>
            <w:r w:rsidRPr="00C0547C">
              <w:rPr>
                <w:rFonts w:ascii="Arial" w:eastAsia="Times New Roman" w:hAnsi="Arial" w:cs="Arial"/>
                <w:bCs/>
                <w:sz w:val="20"/>
                <w:szCs w:val="20"/>
                <w:lang w:val="en-AU" w:eastAsia="en-AU" w:bidi="ar-SA"/>
              </w:rPr>
              <w:br/>
              <w:t>$000</w:t>
            </w:r>
          </w:p>
        </w:tc>
        <w:tc>
          <w:tcPr>
            <w:tcW w:w="1472" w:type="dxa"/>
            <w:shd w:val="clear" w:color="auto" w:fill="auto"/>
            <w:vAlign w:val="bottom"/>
            <w:hideMark/>
          </w:tcPr>
          <w:p w:rsidR="002D3E19" w:rsidRPr="00C0547C" w:rsidRDefault="002D3E19" w:rsidP="000E2D78">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2017</w:t>
            </w:r>
            <w:r w:rsidRPr="00C0547C">
              <w:rPr>
                <w:rFonts w:ascii="Arial" w:eastAsia="Times New Roman" w:hAnsi="Arial" w:cs="Arial"/>
                <w:bCs/>
                <w:sz w:val="20"/>
                <w:szCs w:val="20"/>
                <w:lang w:val="en-AU" w:eastAsia="en-AU" w:bidi="ar-SA"/>
              </w:rPr>
              <w:br/>
              <w:t>$000</w:t>
            </w:r>
          </w:p>
        </w:tc>
      </w:tr>
      <w:tr w:rsidR="000E2D78" w:rsidRPr="000E2D78" w:rsidTr="002D3E19">
        <w:trPr>
          <w:trHeight w:val="255"/>
        </w:trPr>
        <w:tc>
          <w:tcPr>
            <w:tcW w:w="4148" w:type="dxa"/>
            <w:shd w:val="clear" w:color="auto" w:fill="auto"/>
            <w:noWrap/>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Communications</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13</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12</w:t>
            </w:r>
          </w:p>
        </w:tc>
      </w:tr>
      <w:tr w:rsidR="000E2D78" w:rsidRPr="000E2D78" w:rsidTr="002D3E19">
        <w:trPr>
          <w:trHeight w:val="285"/>
        </w:trPr>
        <w:tc>
          <w:tcPr>
            <w:tcW w:w="4148" w:type="dxa"/>
            <w:shd w:val="clear" w:color="auto" w:fill="auto"/>
            <w:noWrap/>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Contractors and professional services </w:t>
            </w:r>
            <w:r w:rsidRPr="000E2D78">
              <w:rPr>
                <w:rFonts w:ascii="Arial" w:eastAsia="Times New Roman" w:hAnsi="Arial" w:cs="Arial"/>
                <w:sz w:val="20"/>
                <w:szCs w:val="20"/>
                <w:vertAlign w:val="superscript"/>
                <w:lang w:val="en-AU" w:eastAsia="en-AU" w:bidi="ar-SA"/>
              </w:rPr>
              <w:t>(a)</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1,113</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2,451</w:t>
            </w:r>
          </w:p>
        </w:tc>
      </w:tr>
      <w:tr w:rsidR="000E2D78" w:rsidRPr="000E2D78" w:rsidTr="002D3E19">
        <w:trPr>
          <w:trHeight w:val="255"/>
        </w:trPr>
        <w:tc>
          <w:tcPr>
            <w:tcW w:w="4148" w:type="dxa"/>
            <w:shd w:val="clear" w:color="auto" w:fill="auto"/>
            <w:noWrap/>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Consumables</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18</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22</w:t>
            </w:r>
          </w:p>
        </w:tc>
      </w:tr>
      <w:tr w:rsidR="000E2D78" w:rsidRPr="000E2D78" w:rsidTr="002D3E19">
        <w:trPr>
          <w:trHeight w:val="252"/>
        </w:trPr>
        <w:tc>
          <w:tcPr>
            <w:tcW w:w="4148" w:type="dxa"/>
            <w:shd w:val="clear" w:color="auto" w:fill="auto"/>
            <w:noWrap/>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Repairs and Maintenance</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0</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4</w:t>
            </w:r>
          </w:p>
        </w:tc>
      </w:tr>
      <w:tr w:rsidR="002D3E19" w:rsidRPr="000E2D78" w:rsidTr="00CB598C">
        <w:trPr>
          <w:trHeight w:val="218"/>
        </w:trPr>
        <w:tc>
          <w:tcPr>
            <w:tcW w:w="4148" w:type="dxa"/>
            <w:shd w:val="clear" w:color="auto" w:fill="auto"/>
            <w:noWrap/>
            <w:hideMark/>
          </w:tcPr>
          <w:p w:rsidR="002D3E19" w:rsidRPr="000E2D78" w:rsidRDefault="002D3E19"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Travel</w:t>
            </w:r>
          </w:p>
        </w:tc>
        <w:tc>
          <w:tcPr>
            <w:tcW w:w="1472" w:type="dxa"/>
            <w:shd w:val="clear" w:color="auto" w:fill="auto"/>
            <w:noWrap/>
            <w:hideMark/>
          </w:tcPr>
          <w:p w:rsidR="002D3E19" w:rsidRPr="000E2D78" w:rsidRDefault="002D3E19"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8</w:t>
            </w:r>
          </w:p>
        </w:tc>
        <w:tc>
          <w:tcPr>
            <w:tcW w:w="1472" w:type="dxa"/>
            <w:shd w:val="clear" w:color="auto" w:fill="auto"/>
            <w:noWrap/>
            <w:hideMark/>
          </w:tcPr>
          <w:p w:rsidR="002D3E19" w:rsidRPr="000E2D78" w:rsidRDefault="002D3E19"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34</w:t>
            </w:r>
          </w:p>
        </w:tc>
      </w:tr>
      <w:tr w:rsidR="000E2D78" w:rsidRPr="000E2D78" w:rsidTr="002D3E19">
        <w:trPr>
          <w:trHeight w:val="312"/>
        </w:trPr>
        <w:tc>
          <w:tcPr>
            <w:tcW w:w="4148" w:type="dxa"/>
            <w:shd w:val="clear" w:color="auto" w:fill="auto"/>
            <w:noWrap/>
            <w:hideMark/>
          </w:tcPr>
          <w:p w:rsidR="000E2D78" w:rsidRPr="000E2D78" w:rsidRDefault="000E2D78"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Legal costs </w:t>
            </w:r>
            <w:r w:rsidRPr="000E2D78">
              <w:rPr>
                <w:rFonts w:ascii="Arial" w:eastAsia="Times New Roman" w:hAnsi="Arial" w:cs="Arial"/>
                <w:sz w:val="20"/>
                <w:szCs w:val="20"/>
                <w:vertAlign w:val="superscript"/>
                <w:lang w:val="en-AU" w:eastAsia="en-AU" w:bidi="ar-SA"/>
              </w:rPr>
              <w:t>(b)</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131</w:t>
            </w:r>
          </w:p>
        </w:tc>
        <w:tc>
          <w:tcPr>
            <w:tcW w:w="1472" w:type="dxa"/>
            <w:shd w:val="clear" w:color="auto" w:fill="auto"/>
            <w:noWrap/>
            <w:hideMark/>
          </w:tcPr>
          <w:p w:rsidR="000E2D78" w:rsidRPr="000E2D78" w:rsidRDefault="000E2D78"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1,331</w:t>
            </w:r>
          </w:p>
        </w:tc>
      </w:tr>
      <w:tr w:rsidR="002D3E19" w:rsidRPr="000E2D78" w:rsidTr="00CB598C">
        <w:trPr>
          <w:trHeight w:val="289"/>
        </w:trPr>
        <w:tc>
          <w:tcPr>
            <w:tcW w:w="4148" w:type="dxa"/>
            <w:shd w:val="clear" w:color="auto" w:fill="auto"/>
            <w:noWrap/>
            <w:hideMark/>
          </w:tcPr>
          <w:p w:rsidR="002D3E19" w:rsidRPr="000E2D78" w:rsidRDefault="002D3E19" w:rsidP="000E2D78">
            <w:pPr>
              <w:widowControl/>
              <w:autoSpaceDE/>
              <w:autoSpaceDN/>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 xml:space="preserve">Other </w:t>
            </w:r>
            <w:r w:rsidRPr="000E2D78">
              <w:rPr>
                <w:rFonts w:ascii="Arial" w:eastAsia="Times New Roman" w:hAnsi="Arial" w:cs="Arial"/>
                <w:sz w:val="20"/>
                <w:szCs w:val="20"/>
                <w:vertAlign w:val="superscript"/>
                <w:lang w:val="en-AU" w:eastAsia="en-AU" w:bidi="ar-SA"/>
              </w:rPr>
              <w:t>(c)</w:t>
            </w:r>
          </w:p>
        </w:tc>
        <w:tc>
          <w:tcPr>
            <w:tcW w:w="1472" w:type="dxa"/>
            <w:shd w:val="clear" w:color="auto" w:fill="auto"/>
            <w:noWrap/>
            <w:hideMark/>
          </w:tcPr>
          <w:p w:rsidR="002D3E19" w:rsidRPr="000E2D78" w:rsidRDefault="002D3E19"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89</w:t>
            </w:r>
          </w:p>
        </w:tc>
        <w:tc>
          <w:tcPr>
            <w:tcW w:w="1472" w:type="dxa"/>
            <w:shd w:val="clear" w:color="auto" w:fill="auto"/>
            <w:noWrap/>
            <w:hideMark/>
          </w:tcPr>
          <w:p w:rsidR="002D3E19" w:rsidRPr="000E2D78" w:rsidRDefault="002D3E19" w:rsidP="000E2D78">
            <w:pPr>
              <w:widowControl/>
              <w:autoSpaceDE/>
              <w:autoSpaceDN/>
              <w:jc w:val="right"/>
              <w:rPr>
                <w:rFonts w:ascii="Arial" w:eastAsia="Times New Roman" w:hAnsi="Arial" w:cs="Arial"/>
                <w:sz w:val="20"/>
                <w:szCs w:val="20"/>
                <w:lang w:val="en-AU" w:eastAsia="en-AU" w:bidi="ar-SA"/>
              </w:rPr>
            </w:pPr>
            <w:r w:rsidRPr="000E2D78">
              <w:rPr>
                <w:rFonts w:ascii="Arial" w:eastAsia="Times New Roman" w:hAnsi="Arial" w:cs="Arial"/>
                <w:sz w:val="20"/>
                <w:szCs w:val="20"/>
                <w:lang w:val="en-AU" w:eastAsia="en-AU" w:bidi="ar-SA"/>
              </w:rPr>
              <w:t>392</w:t>
            </w:r>
          </w:p>
        </w:tc>
      </w:tr>
      <w:tr w:rsidR="002D3E19" w:rsidRPr="000E2D78" w:rsidTr="00CB598C">
        <w:trPr>
          <w:trHeight w:val="285"/>
        </w:trPr>
        <w:tc>
          <w:tcPr>
            <w:tcW w:w="4148" w:type="dxa"/>
            <w:shd w:val="clear" w:color="auto" w:fill="auto"/>
            <w:noWrap/>
            <w:hideMark/>
          </w:tcPr>
          <w:p w:rsidR="002D3E19" w:rsidRPr="000E2D78" w:rsidRDefault="002D3E19" w:rsidP="000E2D78">
            <w:pPr>
              <w:widowControl/>
              <w:autoSpaceDE/>
              <w:autoSpaceDN/>
              <w:rPr>
                <w:rFonts w:ascii="Times New Roman" w:eastAsia="Times New Roman" w:hAnsi="Times New Roman" w:cs="Times New Roman"/>
                <w:sz w:val="20"/>
                <w:szCs w:val="20"/>
                <w:lang w:val="en-AU" w:eastAsia="en-AU" w:bidi="ar-SA"/>
              </w:rPr>
            </w:pPr>
            <w:r w:rsidRPr="00C0547C">
              <w:rPr>
                <w:rFonts w:ascii="Arial" w:eastAsia="Times New Roman" w:hAnsi="Arial" w:cs="Arial"/>
                <w:sz w:val="20"/>
                <w:szCs w:val="20"/>
                <w:lang w:val="en-AU" w:eastAsia="en-AU" w:bidi="ar-SA"/>
              </w:rPr>
              <w:t>Total</w:t>
            </w:r>
          </w:p>
        </w:tc>
        <w:tc>
          <w:tcPr>
            <w:tcW w:w="1472" w:type="dxa"/>
            <w:shd w:val="clear" w:color="auto" w:fill="auto"/>
            <w:noWrap/>
            <w:hideMark/>
          </w:tcPr>
          <w:p w:rsidR="002D3E19" w:rsidRPr="00C0547C" w:rsidRDefault="002D3E19" w:rsidP="000E2D78">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1,372</w:t>
            </w:r>
          </w:p>
        </w:tc>
        <w:tc>
          <w:tcPr>
            <w:tcW w:w="1472" w:type="dxa"/>
            <w:shd w:val="clear" w:color="auto" w:fill="auto"/>
            <w:noWrap/>
            <w:hideMark/>
          </w:tcPr>
          <w:p w:rsidR="002D3E19" w:rsidRPr="00C0547C" w:rsidRDefault="002D3E19" w:rsidP="000E2D78">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4,246</w:t>
            </w:r>
          </w:p>
        </w:tc>
      </w:tr>
    </w:tbl>
    <w:p w:rsidR="000E2D78" w:rsidRPr="000E2D78" w:rsidRDefault="000E2D78" w:rsidP="006E62E4">
      <w:pPr>
        <w:tabs>
          <w:tab w:val="left" w:pos="973"/>
        </w:tabs>
        <w:spacing w:before="165" w:line="242" w:lineRule="exact"/>
        <w:ind w:left="851"/>
        <w:rPr>
          <w:sz w:val="20"/>
        </w:rPr>
      </w:pPr>
      <w:r>
        <w:rPr>
          <w:sz w:val="20"/>
        </w:rPr>
        <w:t>(a)</w:t>
      </w:r>
      <w:r w:rsidRPr="000E2D78">
        <w:rPr>
          <w:sz w:val="20"/>
        </w:rPr>
        <w:t>$400,000 (2017: $424,781) was relevant to payments for corporate services provided by the Department of Finance.</w:t>
      </w:r>
    </w:p>
    <w:p w:rsidR="004564CC" w:rsidRDefault="000E2D78" w:rsidP="006E62E4">
      <w:pPr>
        <w:tabs>
          <w:tab w:val="left" w:pos="973"/>
        </w:tabs>
        <w:spacing w:before="165" w:line="242" w:lineRule="exact"/>
        <w:ind w:left="851"/>
        <w:rPr>
          <w:sz w:val="20"/>
        </w:rPr>
      </w:pPr>
      <w:r>
        <w:rPr>
          <w:sz w:val="20"/>
        </w:rPr>
        <w:t>(b)</w:t>
      </w:r>
      <w:r w:rsidRPr="000E2D78">
        <w:rPr>
          <w:sz w:val="20"/>
        </w:rPr>
        <w:t>$52,965 (2017: $46,985) was relevant to payments for legal advice to State Solicitor’s Office</w:t>
      </w:r>
    </w:p>
    <w:p w:rsidR="000E2D78" w:rsidRPr="000E2D78" w:rsidRDefault="000E2D78" w:rsidP="006E62E4">
      <w:pPr>
        <w:tabs>
          <w:tab w:val="left" w:pos="973"/>
        </w:tabs>
        <w:spacing w:before="165" w:line="242" w:lineRule="exact"/>
        <w:ind w:left="851"/>
        <w:rPr>
          <w:sz w:val="20"/>
        </w:rPr>
      </w:pPr>
      <w:r>
        <w:rPr>
          <w:sz w:val="20"/>
        </w:rPr>
        <w:t xml:space="preserve">(c) </w:t>
      </w:r>
      <w:r w:rsidRPr="000E2D78">
        <w:rPr>
          <w:sz w:val="20"/>
        </w:rPr>
        <w:t>$14,110 (2017: $11,486) was relevant to payments for vehicle operating costs provided by the Department of Finance.</w:t>
      </w:r>
    </w:p>
    <w:p w:rsidR="000E2D78" w:rsidRDefault="000E2D78" w:rsidP="006E62E4">
      <w:pPr>
        <w:pStyle w:val="Heading2"/>
        <w:ind w:left="709"/>
        <w:rPr>
          <w:spacing w:val="-2"/>
        </w:rPr>
      </w:pPr>
      <w:r w:rsidRPr="000E2D78">
        <w:rPr>
          <w:spacing w:val="-2"/>
        </w:rPr>
        <w:t xml:space="preserve">Note 9.  </w:t>
      </w:r>
      <w:proofErr w:type="spellStart"/>
      <w:r w:rsidRPr="000E2D78">
        <w:rPr>
          <w:spacing w:val="-2"/>
        </w:rPr>
        <w:t>Amortisation</w:t>
      </w:r>
      <w:proofErr w:type="spellEnd"/>
      <w:r w:rsidRPr="000E2D78">
        <w:rPr>
          <w:spacing w:val="-2"/>
        </w:rPr>
        <w:t xml:space="preserve"> expense</w:t>
      </w:r>
    </w:p>
    <w:tbl>
      <w:tblPr>
        <w:tblW w:w="708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gridCol w:w="1418"/>
      </w:tblGrid>
      <w:tr w:rsidR="002D3E19" w:rsidRPr="00C0547C" w:rsidTr="00C37450">
        <w:trPr>
          <w:trHeight w:val="348"/>
        </w:trPr>
        <w:tc>
          <w:tcPr>
            <w:tcW w:w="4248" w:type="dxa"/>
            <w:shd w:val="clear" w:color="auto" w:fill="auto"/>
            <w:noWrap/>
            <w:vAlign w:val="bottom"/>
            <w:hideMark/>
          </w:tcPr>
          <w:p w:rsidR="002D3E19" w:rsidRPr="00C0547C" w:rsidRDefault="002F21CB" w:rsidP="00484092">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Amortisation</w:t>
            </w:r>
          </w:p>
        </w:tc>
        <w:tc>
          <w:tcPr>
            <w:tcW w:w="1417" w:type="dxa"/>
            <w:shd w:val="clear" w:color="auto" w:fill="auto"/>
            <w:vAlign w:val="bottom"/>
            <w:hideMark/>
          </w:tcPr>
          <w:p w:rsidR="002D3E19" w:rsidRPr="00C0547C" w:rsidRDefault="00C37450" w:rsidP="002D3E19">
            <w:pPr>
              <w:widowControl/>
              <w:autoSpaceDE/>
              <w:autoSpaceDN/>
              <w:jc w:val="right"/>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2018 </w:t>
            </w:r>
            <w:r w:rsidR="002D3E19" w:rsidRPr="00C0547C">
              <w:rPr>
                <w:rFonts w:ascii="Arial" w:eastAsia="Times New Roman" w:hAnsi="Arial" w:cs="Arial"/>
                <w:bCs/>
                <w:sz w:val="20"/>
                <w:szCs w:val="20"/>
                <w:lang w:val="en-AU" w:eastAsia="en-AU" w:bidi="ar-SA"/>
              </w:rPr>
              <w:t>$000</w:t>
            </w:r>
          </w:p>
        </w:tc>
        <w:tc>
          <w:tcPr>
            <w:tcW w:w="1418" w:type="dxa"/>
            <w:shd w:val="clear" w:color="auto" w:fill="auto"/>
            <w:vAlign w:val="bottom"/>
            <w:hideMark/>
          </w:tcPr>
          <w:p w:rsidR="002D3E19" w:rsidRPr="00C0547C" w:rsidRDefault="00C37450" w:rsidP="002D3E19">
            <w:pPr>
              <w:widowControl/>
              <w:autoSpaceDE/>
              <w:autoSpaceDN/>
              <w:jc w:val="right"/>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2017 </w:t>
            </w:r>
            <w:r w:rsidR="002D3E19" w:rsidRPr="00C0547C">
              <w:rPr>
                <w:rFonts w:ascii="Arial" w:eastAsia="Times New Roman" w:hAnsi="Arial" w:cs="Arial"/>
                <w:bCs/>
                <w:sz w:val="20"/>
                <w:szCs w:val="20"/>
                <w:lang w:val="en-AU" w:eastAsia="en-AU" w:bidi="ar-SA"/>
              </w:rPr>
              <w:t>$000</w:t>
            </w:r>
          </w:p>
        </w:tc>
      </w:tr>
      <w:tr w:rsidR="002D3E19" w:rsidRPr="00C0547C" w:rsidTr="00D40680">
        <w:trPr>
          <w:trHeight w:val="285"/>
        </w:trPr>
        <w:tc>
          <w:tcPr>
            <w:tcW w:w="4248" w:type="dxa"/>
            <w:shd w:val="clear" w:color="000000" w:fill="FFFFFF"/>
            <w:vAlign w:val="bottom"/>
            <w:hideMark/>
          </w:tcPr>
          <w:p w:rsidR="002D3E19" w:rsidRPr="00C0547C" w:rsidRDefault="002D3E19" w:rsidP="002D3E19">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Website costs</w:t>
            </w:r>
          </w:p>
        </w:tc>
        <w:tc>
          <w:tcPr>
            <w:tcW w:w="1417" w:type="dxa"/>
            <w:shd w:val="clear" w:color="auto" w:fill="auto"/>
            <w:noWrap/>
            <w:hideMark/>
          </w:tcPr>
          <w:p w:rsidR="002D3E19" w:rsidRPr="00C0547C" w:rsidRDefault="002D3E19" w:rsidP="002D3E19">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82</w:t>
            </w:r>
          </w:p>
        </w:tc>
        <w:tc>
          <w:tcPr>
            <w:tcW w:w="1418" w:type="dxa"/>
            <w:shd w:val="clear" w:color="auto" w:fill="auto"/>
            <w:noWrap/>
            <w:hideMark/>
          </w:tcPr>
          <w:p w:rsidR="002D3E19" w:rsidRPr="00C0547C" w:rsidRDefault="002D3E19" w:rsidP="002D3E19">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0</w:t>
            </w:r>
          </w:p>
        </w:tc>
      </w:tr>
      <w:tr w:rsidR="002D3E19" w:rsidRPr="00C0547C" w:rsidTr="00D40680">
        <w:trPr>
          <w:trHeight w:val="285"/>
        </w:trPr>
        <w:tc>
          <w:tcPr>
            <w:tcW w:w="4248" w:type="dxa"/>
            <w:shd w:val="clear" w:color="000000" w:fill="FFFFFF"/>
            <w:vAlign w:val="bottom"/>
            <w:hideMark/>
          </w:tcPr>
          <w:p w:rsidR="002D3E19" w:rsidRPr="00C0547C" w:rsidRDefault="002D3E19" w:rsidP="002D3E19">
            <w:pPr>
              <w:widowControl/>
              <w:autoSpaceDE/>
              <w:autoSpaceDN/>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Total amortisation</w:t>
            </w:r>
          </w:p>
        </w:tc>
        <w:tc>
          <w:tcPr>
            <w:tcW w:w="1417" w:type="dxa"/>
            <w:shd w:val="clear" w:color="auto" w:fill="auto"/>
            <w:noWrap/>
            <w:hideMark/>
          </w:tcPr>
          <w:p w:rsidR="002D3E19" w:rsidRPr="00C0547C" w:rsidRDefault="002D3E19" w:rsidP="002D3E19">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82</w:t>
            </w:r>
          </w:p>
        </w:tc>
        <w:tc>
          <w:tcPr>
            <w:tcW w:w="1418" w:type="dxa"/>
            <w:shd w:val="clear" w:color="auto" w:fill="auto"/>
            <w:noWrap/>
            <w:hideMark/>
          </w:tcPr>
          <w:p w:rsidR="002D3E19" w:rsidRPr="00C0547C" w:rsidRDefault="002D3E19" w:rsidP="002D3E19">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0</w:t>
            </w:r>
          </w:p>
        </w:tc>
      </w:tr>
    </w:tbl>
    <w:p w:rsidR="000E2D78" w:rsidRDefault="000E2D78" w:rsidP="002D3E19">
      <w:pPr>
        <w:pStyle w:val="Heading2"/>
        <w:ind w:left="0"/>
        <w:rPr>
          <w:spacing w:val="-2"/>
        </w:rPr>
      </w:pPr>
    </w:p>
    <w:p w:rsidR="000E2D78" w:rsidRDefault="000E2D78" w:rsidP="006E62E4">
      <w:pPr>
        <w:pStyle w:val="Heading2"/>
        <w:ind w:left="709"/>
        <w:rPr>
          <w:spacing w:val="-2"/>
        </w:rPr>
      </w:pPr>
      <w:r>
        <w:rPr>
          <w:spacing w:val="-2"/>
        </w:rPr>
        <w:t>Note 10. Accommodation expense</w:t>
      </w:r>
    </w:p>
    <w:tbl>
      <w:tblPr>
        <w:tblStyle w:val="TableGrid"/>
        <w:tblW w:w="0" w:type="auto"/>
        <w:tblInd w:w="709" w:type="dxa"/>
        <w:tblLook w:val="04A0" w:firstRow="1" w:lastRow="0" w:firstColumn="1" w:lastColumn="0" w:noHBand="0" w:noVBand="1"/>
        <w:tblCaption w:val="Note 10 table"/>
        <w:tblDescription w:val="Table showing accommodation expenses"/>
      </w:tblPr>
      <w:tblGrid>
        <w:gridCol w:w="4248"/>
        <w:gridCol w:w="1417"/>
        <w:gridCol w:w="1418"/>
      </w:tblGrid>
      <w:tr w:rsidR="002D3E19" w:rsidTr="00484092">
        <w:trPr>
          <w:tblHeader/>
        </w:trPr>
        <w:tc>
          <w:tcPr>
            <w:tcW w:w="4248" w:type="dxa"/>
            <w:vAlign w:val="bottom"/>
          </w:tcPr>
          <w:p w:rsidR="002D3E19" w:rsidRDefault="002F21CB" w:rsidP="00484092">
            <w:pPr>
              <w:widowControl/>
              <w:autoSpaceDE/>
              <w:autoSpaceDN/>
              <w:rPr>
                <w:spacing w:val="-2"/>
              </w:rPr>
            </w:pPr>
            <w:r w:rsidRPr="002F21CB">
              <w:rPr>
                <w:rFonts w:ascii="Arial" w:eastAsia="Times New Roman" w:hAnsi="Arial" w:cs="Arial"/>
                <w:sz w:val="20"/>
                <w:szCs w:val="20"/>
                <w:lang w:val="en-AU" w:eastAsia="en-AU" w:bidi="ar-SA"/>
              </w:rPr>
              <w:t>Expense</w:t>
            </w:r>
          </w:p>
        </w:tc>
        <w:tc>
          <w:tcPr>
            <w:tcW w:w="1417" w:type="dxa"/>
          </w:tcPr>
          <w:p w:rsidR="002D3E19" w:rsidRPr="00484092" w:rsidRDefault="002D3E19" w:rsidP="00D40680">
            <w:pPr>
              <w:widowControl/>
              <w:tabs>
                <w:tab w:val="left" w:pos="173"/>
              </w:tabs>
              <w:autoSpaceDE/>
              <w:autoSpaceDN/>
              <w:rPr>
                <w:rFonts w:ascii="Arial" w:eastAsia="Times New Roman" w:hAnsi="Arial" w:cs="Arial"/>
                <w:bCs/>
                <w:sz w:val="20"/>
                <w:szCs w:val="20"/>
                <w:lang w:val="en-AU" w:eastAsia="en-AU" w:bidi="ar-SA"/>
              </w:rPr>
            </w:pPr>
            <w:r w:rsidRPr="00484092">
              <w:rPr>
                <w:rFonts w:ascii="Arial" w:eastAsia="Times New Roman" w:hAnsi="Arial" w:cs="Arial"/>
                <w:bCs/>
                <w:sz w:val="20"/>
                <w:szCs w:val="20"/>
                <w:lang w:val="en-AU" w:eastAsia="en-AU" w:bidi="ar-SA"/>
              </w:rPr>
              <w:t>2018 $000</w:t>
            </w:r>
          </w:p>
        </w:tc>
        <w:tc>
          <w:tcPr>
            <w:tcW w:w="1418" w:type="dxa"/>
          </w:tcPr>
          <w:p w:rsidR="002D3E19" w:rsidRPr="00484092" w:rsidRDefault="002D3E19" w:rsidP="002D3E19">
            <w:pPr>
              <w:widowControl/>
              <w:autoSpaceDE/>
              <w:autoSpaceDN/>
              <w:jc w:val="right"/>
              <w:rPr>
                <w:rFonts w:ascii="Arial" w:eastAsia="Times New Roman" w:hAnsi="Arial" w:cs="Arial"/>
                <w:bCs/>
                <w:sz w:val="20"/>
                <w:szCs w:val="20"/>
                <w:lang w:val="en-AU" w:eastAsia="en-AU" w:bidi="ar-SA"/>
              </w:rPr>
            </w:pPr>
            <w:r w:rsidRPr="00484092">
              <w:rPr>
                <w:rFonts w:ascii="Arial" w:eastAsia="Times New Roman" w:hAnsi="Arial" w:cs="Arial"/>
                <w:bCs/>
                <w:sz w:val="20"/>
                <w:szCs w:val="20"/>
                <w:lang w:val="en-AU" w:eastAsia="en-AU" w:bidi="ar-SA"/>
              </w:rPr>
              <w:t>2017 $000</w:t>
            </w:r>
          </w:p>
        </w:tc>
      </w:tr>
      <w:tr w:rsidR="002D3E19" w:rsidTr="00484092">
        <w:tc>
          <w:tcPr>
            <w:tcW w:w="424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Cleaning</w:t>
            </w:r>
          </w:p>
        </w:tc>
        <w:tc>
          <w:tcPr>
            <w:tcW w:w="1417"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132</w:t>
            </w:r>
          </w:p>
        </w:tc>
        <w:tc>
          <w:tcPr>
            <w:tcW w:w="141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75</w:t>
            </w:r>
          </w:p>
        </w:tc>
      </w:tr>
      <w:tr w:rsidR="002D3E19" w:rsidTr="00484092">
        <w:tc>
          <w:tcPr>
            <w:tcW w:w="424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 xml:space="preserve">Lease rentals (a) </w:t>
            </w:r>
          </w:p>
        </w:tc>
        <w:tc>
          <w:tcPr>
            <w:tcW w:w="1417"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403</w:t>
            </w:r>
          </w:p>
        </w:tc>
        <w:tc>
          <w:tcPr>
            <w:tcW w:w="141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238</w:t>
            </w:r>
          </w:p>
        </w:tc>
      </w:tr>
      <w:tr w:rsidR="002D3E19" w:rsidTr="00484092">
        <w:tc>
          <w:tcPr>
            <w:tcW w:w="424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w:t>
            </w:r>
          </w:p>
        </w:tc>
        <w:tc>
          <w:tcPr>
            <w:tcW w:w="1417"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535</w:t>
            </w:r>
          </w:p>
        </w:tc>
        <w:tc>
          <w:tcPr>
            <w:tcW w:w="1418"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sidRPr="002D3E19">
              <w:rPr>
                <w:rFonts w:ascii="Arial" w:eastAsia="Times New Roman" w:hAnsi="Arial" w:cs="Arial"/>
                <w:sz w:val="20"/>
                <w:szCs w:val="20"/>
                <w:lang w:val="en-AU" w:eastAsia="en-AU" w:bidi="ar-SA"/>
              </w:rPr>
              <w:t>313</w:t>
            </w:r>
          </w:p>
        </w:tc>
      </w:tr>
    </w:tbl>
    <w:p w:rsidR="000E2D78" w:rsidRDefault="000E2D78" w:rsidP="002D3E19">
      <w:pPr>
        <w:pStyle w:val="Heading2"/>
        <w:ind w:left="567"/>
        <w:rPr>
          <w:sz w:val="20"/>
        </w:rPr>
      </w:pPr>
      <w:r>
        <w:rPr>
          <w:sz w:val="20"/>
        </w:rPr>
        <w:t>(a)</w:t>
      </w:r>
      <w:r>
        <w:rPr>
          <w:spacing w:val="-13"/>
          <w:sz w:val="20"/>
        </w:rPr>
        <w:t xml:space="preserve"> </w:t>
      </w:r>
      <w:r>
        <w:rPr>
          <w:sz w:val="20"/>
        </w:rPr>
        <w:t>$400,714</w:t>
      </w:r>
      <w:r>
        <w:rPr>
          <w:spacing w:val="-14"/>
          <w:sz w:val="20"/>
        </w:rPr>
        <w:t xml:space="preserve"> </w:t>
      </w:r>
      <w:r>
        <w:rPr>
          <w:sz w:val="20"/>
        </w:rPr>
        <w:t>(2017: $234,776)</w:t>
      </w:r>
      <w:r>
        <w:rPr>
          <w:spacing w:val="-14"/>
          <w:sz w:val="20"/>
        </w:rPr>
        <w:t xml:space="preserve"> </w:t>
      </w:r>
      <w:r>
        <w:rPr>
          <w:sz w:val="20"/>
        </w:rPr>
        <w:t>was</w:t>
      </w:r>
      <w:r>
        <w:rPr>
          <w:spacing w:val="-14"/>
          <w:sz w:val="20"/>
        </w:rPr>
        <w:t xml:space="preserve"> </w:t>
      </w:r>
      <w:r>
        <w:rPr>
          <w:sz w:val="20"/>
        </w:rPr>
        <w:t>relevant</w:t>
      </w:r>
      <w:r>
        <w:rPr>
          <w:spacing w:val="-14"/>
          <w:sz w:val="20"/>
        </w:rPr>
        <w:t xml:space="preserve"> </w:t>
      </w:r>
      <w:r>
        <w:rPr>
          <w:sz w:val="20"/>
        </w:rPr>
        <w:t>to</w:t>
      </w:r>
      <w:r>
        <w:rPr>
          <w:spacing w:val="-14"/>
          <w:sz w:val="20"/>
        </w:rPr>
        <w:t xml:space="preserve"> </w:t>
      </w:r>
      <w:r>
        <w:rPr>
          <w:sz w:val="20"/>
        </w:rPr>
        <w:t>lease</w:t>
      </w:r>
      <w:r>
        <w:rPr>
          <w:spacing w:val="-14"/>
          <w:sz w:val="20"/>
        </w:rPr>
        <w:t xml:space="preserve"> </w:t>
      </w:r>
      <w:r>
        <w:rPr>
          <w:sz w:val="20"/>
        </w:rPr>
        <w:t>rentals paid to the consolidated</w:t>
      </w:r>
      <w:r>
        <w:rPr>
          <w:spacing w:val="-5"/>
          <w:sz w:val="20"/>
        </w:rPr>
        <w:t xml:space="preserve"> </w:t>
      </w:r>
      <w:r>
        <w:rPr>
          <w:sz w:val="20"/>
        </w:rPr>
        <w:t>account</w:t>
      </w:r>
    </w:p>
    <w:p w:rsidR="000E2D78" w:rsidRDefault="000E2D78">
      <w:pPr>
        <w:rPr>
          <w:sz w:val="20"/>
          <w:szCs w:val="32"/>
        </w:rPr>
      </w:pPr>
      <w:r>
        <w:rPr>
          <w:sz w:val="20"/>
        </w:rPr>
        <w:br w:type="page"/>
      </w:r>
    </w:p>
    <w:p w:rsidR="000E2D78" w:rsidRDefault="000E2D78" w:rsidP="00475DD0">
      <w:pPr>
        <w:pStyle w:val="Heading2"/>
        <w:spacing w:before="0"/>
        <w:ind w:left="709"/>
        <w:rPr>
          <w:color w:val="353434"/>
        </w:rPr>
      </w:pPr>
      <w:r>
        <w:rPr>
          <w:color w:val="353434"/>
        </w:rPr>
        <w:lastRenderedPageBreak/>
        <w:t>Note 11. Grants and subsidies</w:t>
      </w:r>
    </w:p>
    <w:tbl>
      <w:tblPr>
        <w:tblStyle w:val="TableGrid"/>
        <w:tblW w:w="0" w:type="auto"/>
        <w:tblInd w:w="709" w:type="dxa"/>
        <w:tblLook w:val="04A0" w:firstRow="1" w:lastRow="0" w:firstColumn="1" w:lastColumn="0" w:noHBand="0" w:noVBand="1"/>
        <w:tblCaption w:val="Note 11"/>
        <w:tblDescription w:val="table showing note 11 grants and subsidies"/>
      </w:tblPr>
      <w:tblGrid>
        <w:gridCol w:w="3822"/>
        <w:gridCol w:w="1560"/>
        <w:gridCol w:w="1417"/>
      </w:tblGrid>
      <w:tr w:rsidR="002D3E19" w:rsidTr="00484092">
        <w:trPr>
          <w:tblHeader/>
        </w:trPr>
        <w:tc>
          <w:tcPr>
            <w:tcW w:w="3822" w:type="dxa"/>
            <w:vAlign w:val="bottom"/>
          </w:tcPr>
          <w:p w:rsidR="002D3E19" w:rsidRPr="00484092" w:rsidRDefault="00484092" w:rsidP="00484092">
            <w:pPr>
              <w:widowControl/>
              <w:autoSpaceDE/>
              <w:autoSpaceDN/>
            </w:pPr>
            <w:r w:rsidRPr="00484092">
              <w:rPr>
                <w:rFonts w:ascii="Arial" w:eastAsia="Times New Roman" w:hAnsi="Arial" w:cs="Arial"/>
                <w:sz w:val="20"/>
                <w:szCs w:val="20"/>
                <w:lang w:val="en-AU" w:eastAsia="en-AU" w:bidi="ar-SA"/>
              </w:rPr>
              <w:t>Grant type</w:t>
            </w:r>
          </w:p>
        </w:tc>
        <w:tc>
          <w:tcPr>
            <w:tcW w:w="1560" w:type="dxa"/>
            <w:vAlign w:val="bottom"/>
          </w:tcPr>
          <w:p w:rsidR="002D3E19" w:rsidRPr="00484092" w:rsidRDefault="002D3E19" w:rsidP="00484092">
            <w:pPr>
              <w:widowControl/>
              <w:autoSpaceDE/>
              <w:autoSpaceDN/>
              <w:rPr>
                <w:rFonts w:ascii="Arial" w:eastAsia="Times New Roman" w:hAnsi="Arial" w:cs="Arial"/>
                <w:bCs/>
                <w:sz w:val="20"/>
                <w:szCs w:val="20"/>
                <w:lang w:val="en-AU" w:eastAsia="en-AU" w:bidi="ar-SA"/>
              </w:rPr>
            </w:pPr>
            <w:r w:rsidRPr="00484092">
              <w:rPr>
                <w:rFonts w:ascii="Arial" w:eastAsia="Times New Roman" w:hAnsi="Arial" w:cs="Arial"/>
                <w:bCs/>
                <w:sz w:val="20"/>
                <w:szCs w:val="20"/>
                <w:lang w:val="en-AU" w:eastAsia="en-AU" w:bidi="ar-SA"/>
              </w:rPr>
              <w:t>2018 $000</w:t>
            </w:r>
          </w:p>
        </w:tc>
        <w:tc>
          <w:tcPr>
            <w:tcW w:w="1417" w:type="dxa"/>
            <w:vAlign w:val="bottom"/>
          </w:tcPr>
          <w:p w:rsidR="002D3E19" w:rsidRPr="00484092" w:rsidRDefault="002D3E19" w:rsidP="00484092">
            <w:pPr>
              <w:widowControl/>
              <w:autoSpaceDE/>
              <w:autoSpaceDN/>
              <w:rPr>
                <w:rFonts w:ascii="Arial" w:eastAsia="Times New Roman" w:hAnsi="Arial" w:cs="Arial"/>
                <w:bCs/>
                <w:sz w:val="20"/>
                <w:szCs w:val="20"/>
                <w:lang w:val="en-AU" w:eastAsia="en-AU" w:bidi="ar-SA"/>
              </w:rPr>
            </w:pPr>
            <w:r w:rsidRPr="00484092">
              <w:rPr>
                <w:rFonts w:ascii="Arial" w:eastAsia="Times New Roman" w:hAnsi="Arial" w:cs="Arial"/>
                <w:bCs/>
                <w:sz w:val="20"/>
                <w:szCs w:val="20"/>
                <w:lang w:val="en-AU" w:eastAsia="en-AU" w:bidi="ar-SA"/>
              </w:rPr>
              <w:t>2017 $000</w:t>
            </w:r>
          </w:p>
        </w:tc>
      </w:tr>
      <w:tr w:rsidR="002D3E19" w:rsidTr="00484092">
        <w:tc>
          <w:tcPr>
            <w:tcW w:w="3822"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Grants - recurrent</w:t>
            </w:r>
          </w:p>
        </w:tc>
        <w:tc>
          <w:tcPr>
            <w:tcW w:w="1560"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180</w:t>
            </w:r>
          </w:p>
        </w:tc>
        <w:tc>
          <w:tcPr>
            <w:tcW w:w="1417" w:type="dxa"/>
          </w:tcPr>
          <w:p w:rsidR="002D3E19" w:rsidRP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369</w:t>
            </w:r>
          </w:p>
        </w:tc>
      </w:tr>
      <w:tr w:rsidR="002D3E19" w:rsidTr="00484092">
        <w:tc>
          <w:tcPr>
            <w:tcW w:w="3822" w:type="dxa"/>
          </w:tcPr>
          <w:p w:rsidR="002D3E19" w:rsidRPr="002D3E19" w:rsidRDefault="00484092"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w:t>
            </w:r>
          </w:p>
        </w:tc>
        <w:tc>
          <w:tcPr>
            <w:tcW w:w="1560" w:type="dxa"/>
          </w:tcPr>
          <w:p w:rsid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180</w:t>
            </w:r>
          </w:p>
        </w:tc>
        <w:tc>
          <w:tcPr>
            <w:tcW w:w="1417" w:type="dxa"/>
          </w:tcPr>
          <w:p w:rsidR="002D3E19" w:rsidRDefault="002D3E19" w:rsidP="002D3E1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369</w:t>
            </w:r>
          </w:p>
        </w:tc>
      </w:tr>
    </w:tbl>
    <w:p w:rsidR="00475DD0" w:rsidRDefault="00475DD0" w:rsidP="00484092">
      <w:pPr>
        <w:pStyle w:val="Heading2"/>
        <w:ind w:left="709"/>
        <w:rPr>
          <w:color w:val="353434"/>
        </w:rPr>
      </w:pPr>
      <w:r>
        <w:rPr>
          <w:color w:val="353434"/>
        </w:rPr>
        <w:t>Note 12. Other expense</w:t>
      </w:r>
      <w:r w:rsidR="00484092">
        <w:rPr>
          <w:color w:val="353434"/>
        </w:rPr>
        <w:t>s</w:t>
      </w:r>
    </w:p>
    <w:tbl>
      <w:tblPr>
        <w:tblW w:w="68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72"/>
        <w:gridCol w:w="1472"/>
      </w:tblGrid>
      <w:tr w:rsidR="002D3E19" w:rsidRPr="00C0547C" w:rsidTr="00484092">
        <w:trPr>
          <w:trHeight w:val="510"/>
        </w:trPr>
        <w:tc>
          <w:tcPr>
            <w:tcW w:w="3870" w:type="dxa"/>
            <w:shd w:val="clear" w:color="auto" w:fill="auto"/>
            <w:noWrap/>
            <w:vAlign w:val="bottom"/>
            <w:hideMark/>
          </w:tcPr>
          <w:p w:rsidR="002D3E19" w:rsidRPr="00C0547C" w:rsidRDefault="002F21CB" w:rsidP="00484092">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Expense</w:t>
            </w:r>
          </w:p>
        </w:tc>
        <w:tc>
          <w:tcPr>
            <w:tcW w:w="1472" w:type="dxa"/>
            <w:shd w:val="clear" w:color="auto" w:fill="auto"/>
            <w:vAlign w:val="bottom"/>
            <w:hideMark/>
          </w:tcPr>
          <w:p w:rsidR="002D3E19" w:rsidRPr="00C0547C" w:rsidRDefault="002D3E19" w:rsidP="00475DD0">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2018</w:t>
            </w:r>
            <w:r w:rsidRPr="00C0547C">
              <w:rPr>
                <w:rFonts w:ascii="Arial" w:eastAsia="Times New Roman" w:hAnsi="Arial" w:cs="Arial"/>
                <w:bCs/>
                <w:sz w:val="20"/>
                <w:szCs w:val="20"/>
                <w:lang w:val="en-AU" w:eastAsia="en-AU" w:bidi="ar-SA"/>
              </w:rPr>
              <w:br/>
              <w:t>$000</w:t>
            </w:r>
          </w:p>
        </w:tc>
        <w:tc>
          <w:tcPr>
            <w:tcW w:w="1472" w:type="dxa"/>
            <w:shd w:val="clear" w:color="auto" w:fill="auto"/>
            <w:vAlign w:val="bottom"/>
            <w:hideMark/>
          </w:tcPr>
          <w:p w:rsidR="002D3E19" w:rsidRPr="00C0547C" w:rsidRDefault="002D3E19" w:rsidP="00475DD0">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2017</w:t>
            </w:r>
            <w:r w:rsidRPr="00C0547C">
              <w:rPr>
                <w:rFonts w:ascii="Arial" w:eastAsia="Times New Roman" w:hAnsi="Arial" w:cs="Arial"/>
                <w:bCs/>
                <w:sz w:val="20"/>
                <w:szCs w:val="20"/>
                <w:lang w:val="en-AU" w:eastAsia="en-AU" w:bidi="ar-SA"/>
              </w:rPr>
              <w:br/>
              <w:t>$000</w:t>
            </w:r>
          </w:p>
        </w:tc>
      </w:tr>
      <w:tr w:rsidR="00475DD0" w:rsidRPr="00C0547C" w:rsidTr="002D3E19">
        <w:trPr>
          <w:trHeight w:val="255"/>
        </w:trPr>
        <w:tc>
          <w:tcPr>
            <w:tcW w:w="3870" w:type="dxa"/>
            <w:shd w:val="clear" w:color="auto" w:fill="auto"/>
            <w:noWrap/>
            <w:hideMark/>
          </w:tcPr>
          <w:p w:rsidR="00475DD0" w:rsidRPr="00C0547C" w:rsidRDefault="00475DD0" w:rsidP="00475DD0">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Minor equipment</w:t>
            </w:r>
          </w:p>
        </w:tc>
        <w:tc>
          <w:tcPr>
            <w:tcW w:w="1472" w:type="dxa"/>
            <w:shd w:val="clear" w:color="auto" w:fill="auto"/>
            <w:noWrap/>
            <w:hideMark/>
          </w:tcPr>
          <w:p w:rsidR="00475DD0" w:rsidRPr="00C0547C" w:rsidRDefault="00475DD0"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9</w:t>
            </w:r>
          </w:p>
        </w:tc>
        <w:tc>
          <w:tcPr>
            <w:tcW w:w="1472" w:type="dxa"/>
            <w:shd w:val="clear" w:color="auto" w:fill="auto"/>
            <w:noWrap/>
            <w:hideMark/>
          </w:tcPr>
          <w:p w:rsidR="00475DD0" w:rsidRPr="00C0547C" w:rsidRDefault="00475DD0"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72</w:t>
            </w:r>
          </w:p>
        </w:tc>
      </w:tr>
      <w:tr w:rsidR="00475DD0" w:rsidRPr="00C0547C" w:rsidTr="002D3E19">
        <w:trPr>
          <w:trHeight w:val="255"/>
        </w:trPr>
        <w:tc>
          <w:tcPr>
            <w:tcW w:w="3870" w:type="dxa"/>
            <w:shd w:val="clear" w:color="auto" w:fill="auto"/>
            <w:noWrap/>
            <w:hideMark/>
          </w:tcPr>
          <w:p w:rsidR="00475DD0" w:rsidRPr="00C0547C" w:rsidRDefault="00475DD0" w:rsidP="00475DD0">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Employment on-costs</w:t>
            </w:r>
          </w:p>
        </w:tc>
        <w:tc>
          <w:tcPr>
            <w:tcW w:w="1472" w:type="dxa"/>
            <w:shd w:val="clear" w:color="auto" w:fill="auto"/>
            <w:noWrap/>
            <w:hideMark/>
          </w:tcPr>
          <w:p w:rsidR="00475DD0" w:rsidRPr="00C0547C" w:rsidRDefault="00475DD0"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22</w:t>
            </w:r>
          </w:p>
        </w:tc>
        <w:tc>
          <w:tcPr>
            <w:tcW w:w="1472" w:type="dxa"/>
            <w:shd w:val="clear" w:color="auto" w:fill="auto"/>
            <w:noWrap/>
            <w:hideMark/>
          </w:tcPr>
          <w:p w:rsidR="00475DD0" w:rsidRPr="00C0547C" w:rsidRDefault="00475DD0"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1</w:t>
            </w:r>
          </w:p>
        </w:tc>
      </w:tr>
      <w:tr w:rsidR="002D3E19" w:rsidRPr="00C0547C" w:rsidTr="002D3E19">
        <w:trPr>
          <w:trHeight w:val="255"/>
        </w:trPr>
        <w:tc>
          <w:tcPr>
            <w:tcW w:w="3870" w:type="dxa"/>
            <w:shd w:val="clear" w:color="auto" w:fill="auto"/>
            <w:noWrap/>
            <w:hideMark/>
          </w:tcPr>
          <w:p w:rsidR="002D3E19" w:rsidRPr="00C0547C" w:rsidRDefault="002D3E19" w:rsidP="00475DD0">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Audit fees</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22</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14</w:t>
            </w:r>
          </w:p>
        </w:tc>
      </w:tr>
      <w:tr w:rsidR="002D3E19" w:rsidRPr="00C0547C" w:rsidTr="002D3E19">
        <w:trPr>
          <w:trHeight w:val="255"/>
        </w:trPr>
        <w:tc>
          <w:tcPr>
            <w:tcW w:w="3870" w:type="dxa"/>
            <w:shd w:val="clear" w:color="auto" w:fill="auto"/>
            <w:noWrap/>
            <w:hideMark/>
          </w:tcPr>
          <w:p w:rsidR="002D3E19" w:rsidRPr="00C0547C" w:rsidRDefault="002D3E19" w:rsidP="00475DD0">
            <w:pPr>
              <w:widowControl/>
              <w:autoSpaceDE/>
              <w:autoSpaceDN/>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Other</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1</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sz w:val="20"/>
                <w:szCs w:val="20"/>
                <w:lang w:val="en-AU" w:eastAsia="en-AU" w:bidi="ar-SA"/>
              </w:rPr>
            </w:pPr>
            <w:r w:rsidRPr="00C0547C">
              <w:rPr>
                <w:rFonts w:ascii="Arial" w:eastAsia="Times New Roman" w:hAnsi="Arial" w:cs="Arial"/>
                <w:sz w:val="20"/>
                <w:szCs w:val="20"/>
                <w:lang w:val="en-AU" w:eastAsia="en-AU" w:bidi="ar-SA"/>
              </w:rPr>
              <w:t>7</w:t>
            </w:r>
          </w:p>
        </w:tc>
      </w:tr>
      <w:tr w:rsidR="002D3E19" w:rsidRPr="00C0547C" w:rsidTr="002D3E19">
        <w:trPr>
          <w:trHeight w:val="270"/>
        </w:trPr>
        <w:tc>
          <w:tcPr>
            <w:tcW w:w="3870" w:type="dxa"/>
            <w:shd w:val="clear" w:color="auto" w:fill="auto"/>
            <w:noWrap/>
            <w:hideMark/>
          </w:tcPr>
          <w:p w:rsidR="002D3E19" w:rsidRPr="00C0547C" w:rsidRDefault="002D3E19" w:rsidP="00475DD0">
            <w:pPr>
              <w:widowControl/>
              <w:autoSpaceDE/>
              <w:autoSpaceDN/>
              <w:rPr>
                <w:rFonts w:ascii="Times New Roman" w:eastAsia="Times New Roman" w:hAnsi="Times New Roman" w:cs="Times New Roman"/>
                <w:sz w:val="20"/>
                <w:szCs w:val="20"/>
                <w:lang w:val="en-AU" w:eastAsia="en-AU" w:bidi="ar-SA"/>
              </w:rPr>
            </w:pPr>
            <w:r w:rsidRPr="00484092">
              <w:rPr>
                <w:rFonts w:ascii="Arial" w:eastAsia="Times New Roman" w:hAnsi="Arial" w:cs="Arial"/>
                <w:sz w:val="20"/>
                <w:szCs w:val="20"/>
                <w:lang w:val="en-AU" w:eastAsia="en-AU" w:bidi="ar-SA"/>
              </w:rPr>
              <w:t>Total</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54</w:t>
            </w:r>
          </w:p>
        </w:tc>
        <w:tc>
          <w:tcPr>
            <w:tcW w:w="1472" w:type="dxa"/>
            <w:shd w:val="clear" w:color="auto" w:fill="auto"/>
            <w:noWrap/>
            <w:hideMark/>
          </w:tcPr>
          <w:p w:rsidR="002D3E19" w:rsidRPr="00C0547C" w:rsidRDefault="002D3E19" w:rsidP="00475DD0">
            <w:pPr>
              <w:widowControl/>
              <w:autoSpaceDE/>
              <w:autoSpaceDN/>
              <w:jc w:val="right"/>
              <w:rPr>
                <w:rFonts w:ascii="Arial" w:eastAsia="Times New Roman" w:hAnsi="Arial" w:cs="Arial"/>
                <w:bCs/>
                <w:sz w:val="20"/>
                <w:szCs w:val="20"/>
                <w:lang w:val="en-AU" w:eastAsia="en-AU" w:bidi="ar-SA"/>
              </w:rPr>
            </w:pPr>
            <w:r w:rsidRPr="00C0547C">
              <w:rPr>
                <w:rFonts w:ascii="Arial" w:eastAsia="Times New Roman" w:hAnsi="Arial" w:cs="Arial"/>
                <w:bCs/>
                <w:sz w:val="20"/>
                <w:szCs w:val="20"/>
                <w:lang w:val="en-AU" w:eastAsia="en-AU" w:bidi="ar-SA"/>
              </w:rPr>
              <w:t>94</w:t>
            </w:r>
          </w:p>
        </w:tc>
      </w:tr>
    </w:tbl>
    <w:p w:rsidR="00475DD0" w:rsidRDefault="00475DD0" w:rsidP="00484092">
      <w:pPr>
        <w:pStyle w:val="Heading2"/>
        <w:ind w:left="709"/>
        <w:rPr>
          <w:color w:val="353434"/>
          <w:spacing w:val="-3"/>
        </w:rPr>
      </w:pPr>
      <w:r>
        <w:rPr>
          <w:color w:val="353434"/>
          <w:spacing w:val="-3"/>
        </w:rPr>
        <w:t>Note 13.</w:t>
      </w:r>
      <w:r>
        <w:rPr>
          <w:color w:val="353434"/>
          <w:spacing w:val="2"/>
        </w:rPr>
        <w:t xml:space="preserve"> </w:t>
      </w:r>
      <w:r>
        <w:rPr>
          <w:color w:val="353434"/>
          <w:spacing w:val="-3"/>
        </w:rPr>
        <w:t>Income</w:t>
      </w:r>
    </w:p>
    <w:p w:rsidR="00475DD0" w:rsidRPr="000E2D78" w:rsidRDefault="00475DD0" w:rsidP="00475DD0">
      <w:pPr>
        <w:pStyle w:val="Heading2"/>
        <w:ind w:left="426"/>
        <w:rPr>
          <w:spacing w:val="-2"/>
        </w:rPr>
        <w:sectPr w:rsidR="00475DD0" w:rsidRPr="000E2D78" w:rsidSect="007609FA">
          <w:pgSz w:w="16840" w:h="11910" w:orient="landscape"/>
          <w:pgMar w:top="540" w:right="1105" w:bottom="360" w:left="0" w:header="229" w:footer="145" w:gutter="0"/>
          <w:cols w:space="720"/>
        </w:sectPr>
      </w:pPr>
    </w:p>
    <w:tbl>
      <w:tblPr>
        <w:tblStyle w:val="TableGrid"/>
        <w:tblW w:w="0" w:type="auto"/>
        <w:tblInd w:w="562" w:type="dxa"/>
        <w:tblLook w:val="04A0" w:firstRow="1" w:lastRow="0" w:firstColumn="1" w:lastColumn="0" w:noHBand="0" w:noVBand="1"/>
        <w:tblCaption w:val="Note 13 income"/>
        <w:tblDescription w:val="table showing details for note 13 income "/>
      </w:tblPr>
      <w:tblGrid>
        <w:gridCol w:w="3828"/>
        <w:gridCol w:w="1559"/>
        <w:gridCol w:w="1417"/>
      </w:tblGrid>
      <w:tr w:rsidR="002D3E19" w:rsidTr="00484092">
        <w:trPr>
          <w:tblHeader/>
        </w:trPr>
        <w:tc>
          <w:tcPr>
            <w:tcW w:w="3828" w:type="dxa"/>
          </w:tcPr>
          <w:p w:rsidR="002D3E19" w:rsidRDefault="00C37450" w:rsidP="006E62E4">
            <w:pPr>
              <w:widowControl/>
              <w:autoSpaceDE/>
              <w:autoSpaceDN/>
              <w:rPr>
                <w:rFonts w:ascii="Arial" w:eastAsia="Times New Roman" w:hAnsi="Arial" w:cs="Arial"/>
                <w:sz w:val="18"/>
                <w:szCs w:val="18"/>
                <w:lang w:val="en-AU" w:eastAsia="en-AU" w:bidi="ar-SA"/>
              </w:rPr>
            </w:pPr>
            <w:r w:rsidRPr="00484092">
              <w:rPr>
                <w:rFonts w:ascii="Arial" w:eastAsia="Times New Roman" w:hAnsi="Arial" w:cs="Arial"/>
                <w:sz w:val="20"/>
                <w:szCs w:val="20"/>
                <w:lang w:val="en-AU" w:eastAsia="en-AU" w:bidi="ar-SA"/>
              </w:rPr>
              <w:t>Grants and subsidies</w:t>
            </w:r>
          </w:p>
        </w:tc>
        <w:tc>
          <w:tcPr>
            <w:tcW w:w="1559" w:type="dxa"/>
          </w:tcPr>
          <w:p w:rsidR="002D3E19" w:rsidRPr="00B14B3A" w:rsidRDefault="002D3E19" w:rsidP="006E62E4">
            <w:pPr>
              <w:widowControl/>
              <w:autoSpaceDE/>
              <w:autoSpaceDN/>
              <w:rPr>
                <w:rFonts w:ascii="Arial" w:eastAsia="Times New Roman" w:hAnsi="Arial" w:cs="Arial"/>
                <w:b/>
                <w:sz w:val="18"/>
                <w:szCs w:val="18"/>
                <w:lang w:val="en-AU" w:eastAsia="en-AU" w:bidi="ar-SA"/>
              </w:rPr>
            </w:pPr>
            <w:r w:rsidRPr="00B14B3A">
              <w:rPr>
                <w:rFonts w:ascii="Arial" w:eastAsia="Times New Roman" w:hAnsi="Arial" w:cs="Arial"/>
                <w:b/>
                <w:sz w:val="18"/>
                <w:szCs w:val="18"/>
                <w:lang w:val="en-AU" w:eastAsia="en-AU" w:bidi="ar-SA"/>
              </w:rPr>
              <w:t>2018 $000</w:t>
            </w:r>
          </w:p>
        </w:tc>
        <w:tc>
          <w:tcPr>
            <w:tcW w:w="1417" w:type="dxa"/>
          </w:tcPr>
          <w:p w:rsidR="002D3E19" w:rsidRPr="00B14B3A" w:rsidRDefault="002D3E19" w:rsidP="006E62E4">
            <w:pPr>
              <w:widowControl/>
              <w:autoSpaceDE/>
              <w:autoSpaceDN/>
              <w:rPr>
                <w:rFonts w:ascii="Arial" w:eastAsia="Times New Roman" w:hAnsi="Arial" w:cs="Arial"/>
                <w:b/>
                <w:sz w:val="18"/>
                <w:szCs w:val="18"/>
                <w:lang w:val="en-AU" w:eastAsia="en-AU" w:bidi="ar-SA"/>
              </w:rPr>
            </w:pPr>
            <w:r w:rsidRPr="00B14B3A">
              <w:rPr>
                <w:rFonts w:ascii="Arial" w:eastAsia="Times New Roman" w:hAnsi="Arial" w:cs="Arial"/>
                <w:b/>
                <w:sz w:val="18"/>
                <w:szCs w:val="18"/>
                <w:lang w:val="en-AU" w:eastAsia="en-AU" w:bidi="ar-SA"/>
              </w:rPr>
              <w:t>2017 $000</w:t>
            </w:r>
          </w:p>
        </w:tc>
      </w:tr>
      <w:tr w:rsidR="002D3E19" w:rsidTr="00484092">
        <w:tc>
          <w:tcPr>
            <w:tcW w:w="3828" w:type="dxa"/>
          </w:tcPr>
          <w:p w:rsidR="002D3E19" w:rsidRPr="00484092" w:rsidRDefault="002D3E19" w:rsidP="006E62E4">
            <w:pPr>
              <w:widowControl/>
              <w:autoSpaceDE/>
              <w:autoSpaceDN/>
              <w:rPr>
                <w:rFonts w:ascii="Arial" w:eastAsia="Times New Roman" w:hAnsi="Arial" w:cs="Arial"/>
                <w:sz w:val="20"/>
                <w:szCs w:val="20"/>
                <w:lang w:val="en-AU" w:eastAsia="en-AU" w:bidi="ar-SA"/>
              </w:rPr>
            </w:pPr>
            <w:r w:rsidRPr="00484092">
              <w:rPr>
                <w:rFonts w:ascii="Arial" w:eastAsia="Times New Roman" w:hAnsi="Arial" w:cs="Arial"/>
                <w:sz w:val="20"/>
                <w:szCs w:val="20"/>
                <w:lang w:val="en-AU" w:eastAsia="en-AU" w:bidi="ar-SA"/>
              </w:rPr>
              <w:t>Grants and subsidies (a)</w:t>
            </w:r>
          </w:p>
        </w:tc>
        <w:tc>
          <w:tcPr>
            <w:tcW w:w="1559" w:type="dxa"/>
          </w:tcPr>
          <w:p w:rsidR="002D3E19" w:rsidRDefault="002D3E19" w:rsidP="006E62E4">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5415</w:t>
            </w:r>
          </w:p>
        </w:tc>
        <w:tc>
          <w:tcPr>
            <w:tcW w:w="1417" w:type="dxa"/>
          </w:tcPr>
          <w:p w:rsidR="002D3E19" w:rsidRDefault="002D3E19" w:rsidP="006E62E4">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4030</w:t>
            </w:r>
          </w:p>
        </w:tc>
      </w:tr>
      <w:tr w:rsidR="002D3E19" w:rsidTr="00C37450">
        <w:trPr>
          <w:trHeight w:val="280"/>
        </w:trPr>
        <w:tc>
          <w:tcPr>
            <w:tcW w:w="3828" w:type="dxa"/>
          </w:tcPr>
          <w:p w:rsidR="002D3E19" w:rsidRPr="00484092" w:rsidRDefault="00C37450" w:rsidP="006E62E4">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w:t>
            </w:r>
          </w:p>
        </w:tc>
        <w:tc>
          <w:tcPr>
            <w:tcW w:w="1559" w:type="dxa"/>
          </w:tcPr>
          <w:p w:rsidR="002D3E19" w:rsidRDefault="002D3E19" w:rsidP="006E62E4">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5415</w:t>
            </w:r>
          </w:p>
        </w:tc>
        <w:tc>
          <w:tcPr>
            <w:tcW w:w="1417" w:type="dxa"/>
          </w:tcPr>
          <w:p w:rsidR="002D3E19" w:rsidRDefault="002D3E19" w:rsidP="006E62E4">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4030</w:t>
            </w:r>
          </w:p>
        </w:tc>
      </w:tr>
    </w:tbl>
    <w:p w:rsidR="00C37450" w:rsidRDefault="00C37450" w:rsidP="00C37450">
      <w:pPr>
        <w:widowControl/>
        <w:autoSpaceDE/>
        <w:autoSpaceDN/>
        <w:rPr>
          <w:rFonts w:ascii="Arial" w:eastAsia="Times New Roman" w:hAnsi="Arial" w:cs="Arial"/>
          <w:sz w:val="18"/>
          <w:szCs w:val="18"/>
          <w:lang w:val="en-AU" w:eastAsia="en-AU" w:bidi="ar-SA"/>
        </w:rPr>
      </w:pPr>
    </w:p>
    <w:tbl>
      <w:tblPr>
        <w:tblStyle w:val="TableGrid"/>
        <w:tblW w:w="0" w:type="auto"/>
        <w:tblInd w:w="562" w:type="dxa"/>
        <w:tblLook w:val="04A0" w:firstRow="1" w:lastRow="0" w:firstColumn="1" w:lastColumn="0" w:noHBand="0" w:noVBand="1"/>
        <w:tblCaption w:val="other revenue table"/>
        <w:tblDescription w:val="table showing figures for other revenue as part of note 13 income"/>
      </w:tblPr>
      <w:tblGrid>
        <w:gridCol w:w="3828"/>
        <w:gridCol w:w="1559"/>
        <w:gridCol w:w="1417"/>
      </w:tblGrid>
      <w:tr w:rsidR="00C37450" w:rsidTr="00C37450">
        <w:trPr>
          <w:tblHeader/>
        </w:trPr>
        <w:tc>
          <w:tcPr>
            <w:tcW w:w="3828" w:type="dxa"/>
          </w:tcPr>
          <w:p w:rsidR="00C37450" w:rsidRPr="00484092" w:rsidRDefault="00C37450" w:rsidP="008724B9">
            <w:pPr>
              <w:widowControl/>
              <w:autoSpaceDE/>
              <w:autoSpaceDN/>
              <w:rPr>
                <w:rFonts w:ascii="Arial" w:eastAsia="Times New Roman" w:hAnsi="Arial" w:cs="Arial"/>
                <w:sz w:val="20"/>
                <w:szCs w:val="20"/>
                <w:lang w:val="en-AU" w:eastAsia="en-AU" w:bidi="ar-SA"/>
              </w:rPr>
            </w:pPr>
            <w:r w:rsidRPr="00484092">
              <w:rPr>
                <w:rFonts w:ascii="Arial" w:eastAsia="Times New Roman" w:hAnsi="Arial" w:cs="Arial"/>
                <w:sz w:val="20"/>
                <w:szCs w:val="20"/>
                <w:lang w:val="en-AU" w:eastAsia="en-AU" w:bidi="ar-SA"/>
              </w:rPr>
              <w:t>Other revenue</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sidRPr="00B14B3A">
              <w:rPr>
                <w:rFonts w:ascii="Arial" w:eastAsia="Times New Roman" w:hAnsi="Arial" w:cs="Arial"/>
                <w:b/>
                <w:sz w:val="18"/>
                <w:szCs w:val="18"/>
                <w:lang w:val="en-AU" w:eastAsia="en-AU" w:bidi="ar-SA"/>
              </w:rPr>
              <w:t>2018 $000</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sidRPr="00B14B3A">
              <w:rPr>
                <w:rFonts w:ascii="Arial" w:eastAsia="Times New Roman" w:hAnsi="Arial" w:cs="Arial"/>
                <w:b/>
                <w:sz w:val="18"/>
                <w:szCs w:val="18"/>
                <w:lang w:val="en-AU" w:eastAsia="en-AU" w:bidi="ar-SA"/>
              </w:rPr>
              <w:t>2017 $000</w:t>
            </w:r>
          </w:p>
        </w:tc>
      </w:tr>
      <w:tr w:rsidR="00C37450" w:rsidTr="008724B9">
        <w:tc>
          <w:tcPr>
            <w:tcW w:w="3828" w:type="dxa"/>
          </w:tcPr>
          <w:p w:rsidR="00C37450" w:rsidRPr="00484092" w:rsidRDefault="00C37450" w:rsidP="008724B9">
            <w:pPr>
              <w:widowControl/>
              <w:autoSpaceDE/>
              <w:autoSpaceDN/>
              <w:rPr>
                <w:rFonts w:ascii="Arial" w:eastAsia="Times New Roman" w:hAnsi="Arial" w:cs="Arial"/>
                <w:sz w:val="20"/>
                <w:szCs w:val="20"/>
                <w:lang w:val="en-AU" w:eastAsia="en-AU" w:bidi="ar-SA"/>
              </w:rPr>
            </w:pPr>
            <w:r w:rsidRPr="00484092">
              <w:rPr>
                <w:rFonts w:ascii="Arial" w:eastAsia="Times New Roman" w:hAnsi="Arial" w:cs="Arial"/>
                <w:sz w:val="20"/>
                <w:szCs w:val="20"/>
                <w:lang w:val="en-AU" w:eastAsia="en-AU" w:bidi="ar-SA"/>
              </w:rPr>
              <w:t>Recoups</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0</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0</w:t>
            </w:r>
          </w:p>
        </w:tc>
      </w:tr>
      <w:tr w:rsidR="00C37450" w:rsidTr="008724B9">
        <w:tc>
          <w:tcPr>
            <w:tcW w:w="3828" w:type="dxa"/>
          </w:tcPr>
          <w:p w:rsidR="00C37450" w:rsidRPr="00484092" w:rsidRDefault="00C37450" w:rsidP="008724B9">
            <w:pPr>
              <w:widowControl/>
              <w:autoSpaceDE/>
              <w:autoSpaceDN/>
              <w:rPr>
                <w:rFonts w:ascii="Arial" w:eastAsia="Times New Roman" w:hAnsi="Arial" w:cs="Arial"/>
                <w:sz w:val="20"/>
                <w:szCs w:val="20"/>
                <w:lang w:val="en-AU" w:eastAsia="en-AU" w:bidi="ar-SA"/>
              </w:rPr>
            </w:pPr>
            <w:r w:rsidRPr="00484092">
              <w:rPr>
                <w:rFonts w:ascii="Arial" w:eastAsia="Times New Roman" w:hAnsi="Arial" w:cs="Arial"/>
                <w:sz w:val="20"/>
                <w:szCs w:val="20"/>
                <w:lang w:val="en-AU" w:eastAsia="en-AU" w:bidi="ar-SA"/>
              </w:rPr>
              <w:t>Government Vehicle Scheme (GVS)</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10</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8</w:t>
            </w:r>
          </w:p>
        </w:tc>
      </w:tr>
      <w:tr w:rsidR="00C37450" w:rsidTr="008724B9">
        <w:tc>
          <w:tcPr>
            <w:tcW w:w="3828" w:type="dxa"/>
          </w:tcPr>
          <w:p w:rsidR="00C37450" w:rsidRPr="00484092" w:rsidRDefault="00C37450" w:rsidP="008724B9">
            <w:pPr>
              <w:widowControl/>
              <w:autoSpaceDE/>
              <w:autoSpaceDN/>
              <w:rPr>
                <w:rFonts w:ascii="Arial" w:eastAsia="Times New Roman" w:hAnsi="Arial" w:cs="Arial"/>
                <w:sz w:val="20"/>
                <w:szCs w:val="20"/>
                <w:lang w:val="en-AU" w:eastAsia="en-AU" w:bidi="ar-SA"/>
              </w:rPr>
            </w:pPr>
            <w:r w:rsidRPr="00484092">
              <w:rPr>
                <w:rFonts w:ascii="Arial" w:eastAsia="Times New Roman" w:hAnsi="Arial" w:cs="Arial"/>
                <w:sz w:val="20"/>
                <w:szCs w:val="20"/>
                <w:lang w:val="en-AU" w:eastAsia="en-AU" w:bidi="ar-SA"/>
              </w:rPr>
              <w:t>Other</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0</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7</w:t>
            </w:r>
          </w:p>
        </w:tc>
      </w:tr>
      <w:tr w:rsidR="00C37450" w:rsidTr="008724B9">
        <w:tc>
          <w:tcPr>
            <w:tcW w:w="3828" w:type="dxa"/>
          </w:tcPr>
          <w:p w:rsidR="00C37450" w:rsidRPr="00484092" w:rsidRDefault="00C37450" w:rsidP="008724B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10</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15</w:t>
            </w:r>
          </w:p>
        </w:tc>
      </w:tr>
      <w:tr w:rsidR="00C37450" w:rsidTr="008724B9">
        <w:tc>
          <w:tcPr>
            <w:tcW w:w="3828" w:type="dxa"/>
          </w:tcPr>
          <w:p w:rsidR="00C37450" w:rsidRDefault="00C37450" w:rsidP="008724B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grants and other</w:t>
            </w:r>
          </w:p>
        </w:tc>
        <w:tc>
          <w:tcPr>
            <w:tcW w:w="1559"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5425</w:t>
            </w:r>
          </w:p>
        </w:tc>
        <w:tc>
          <w:tcPr>
            <w:tcW w:w="1417" w:type="dxa"/>
          </w:tcPr>
          <w:p w:rsidR="00C37450" w:rsidRDefault="00C37450" w:rsidP="008724B9">
            <w:pPr>
              <w:widowControl/>
              <w:autoSpaceDE/>
              <w:autoSpaceDN/>
              <w:rPr>
                <w:rFonts w:ascii="Arial" w:eastAsia="Times New Roman" w:hAnsi="Arial" w:cs="Arial"/>
                <w:sz w:val="18"/>
                <w:szCs w:val="18"/>
                <w:lang w:val="en-AU" w:eastAsia="en-AU" w:bidi="ar-SA"/>
              </w:rPr>
            </w:pPr>
            <w:r>
              <w:rPr>
                <w:rFonts w:ascii="Arial" w:eastAsia="Times New Roman" w:hAnsi="Arial" w:cs="Arial"/>
                <w:sz w:val="18"/>
                <w:szCs w:val="18"/>
                <w:lang w:val="en-AU" w:eastAsia="en-AU" w:bidi="ar-SA"/>
              </w:rPr>
              <w:t>4045</w:t>
            </w:r>
          </w:p>
        </w:tc>
      </w:tr>
    </w:tbl>
    <w:p w:rsidR="00C37450" w:rsidRDefault="00C37450" w:rsidP="00C37450">
      <w:pPr>
        <w:widowControl/>
        <w:autoSpaceDE/>
        <w:autoSpaceDN/>
        <w:rPr>
          <w:rFonts w:ascii="Arial" w:eastAsia="Times New Roman" w:hAnsi="Arial" w:cs="Arial"/>
          <w:sz w:val="18"/>
          <w:szCs w:val="18"/>
          <w:lang w:val="en-AU" w:eastAsia="en-AU" w:bidi="ar-SA"/>
        </w:rPr>
      </w:pPr>
    </w:p>
    <w:p w:rsidR="006E62E4" w:rsidRDefault="006E62E4" w:rsidP="00484092">
      <w:pPr>
        <w:widowControl/>
        <w:autoSpaceDE/>
        <w:autoSpaceDN/>
        <w:ind w:left="426"/>
        <w:rPr>
          <w:rFonts w:ascii="Arial" w:eastAsia="Times New Roman" w:hAnsi="Arial" w:cs="Arial"/>
          <w:sz w:val="18"/>
          <w:szCs w:val="18"/>
          <w:lang w:val="en-AU" w:eastAsia="en-AU" w:bidi="ar-SA"/>
        </w:rPr>
      </w:pPr>
      <w:r w:rsidRPr="006E62E4">
        <w:rPr>
          <w:rFonts w:ascii="Arial" w:eastAsia="Times New Roman" w:hAnsi="Arial" w:cs="Arial"/>
          <w:sz w:val="18"/>
          <w:szCs w:val="18"/>
          <w:lang w:val="en-AU" w:eastAsia="en-AU" w:bidi="ar-SA"/>
        </w:rPr>
        <w:t xml:space="preserve">(a) $5,115,000 (2017: $4,030,000) was relevant to grants and subsidies income received from Department of Treasury and $300,000 (2017: nil) was relevant to grants and subsidies income received from Department of Jobs, </w:t>
      </w:r>
      <w:r w:rsidR="00484092">
        <w:rPr>
          <w:rFonts w:ascii="Arial" w:eastAsia="Times New Roman" w:hAnsi="Arial" w:cs="Arial"/>
          <w:sz w:val="18"/>
          <w:szCs w:val="18"/>
          <w:lang w:val="en-AU" w:eastAsia="en-AU" w:bidi="ar-SA"/>
        </w:rPr>
        <w:t xml:space="preserve">Tourism, Science and Innovation. </w:t>
      </w:r>
      <w:r>
        <w:rPr>
          <w:rFonts w:ascii="Arial" w:eastAsia="Times New Roman" w:hAnsi="Arial" w:cs="Arial"/>
          <w:sz w:val="18"/>
          <w:szCs w:val="18"/>
          <w:lang w:val="en-AU" w:eastAsia="en-AU" w:bidi="ar-SA"/>
        </w:rPr>
        <w:br w:type="page"/>
      </w:r>
    </w:p>
    <w:p w:rsidR="006E62E4" w:rsidRDefault="006E62E4" w:rsidP="006E62E4">
      <w:pPr>
        <w:pStyle w:val="Heading2"/>
        <w:ind w:left="284"/>
        <w:rPr>
          <w:color w:val="353434"/>
          <w:spacing w:val="-3"/>
        </w:rPr>
      </w:pPr>
      <w:r>
        <w:rPr>
          <w:color w:val="353434"/>
          <w:spacing w:val="-3"/>
        </w:rPr>
        <w:lastRenderedPageBreak/>
        <w:t>Note 14.</w:t>
      </w:r>
      <w:r>
        <w:rPr>
          <w:color w:val="353434"/>
          <w:spacing w:val="2"/>
        </w:rPr>
        <w:t xml:space="preserve"> </w:t>
      </w:r>
      <w:r>
        <w:rPr>
          <w:color w:val="353434"/>
          <w:spacing w:val="-3"/>
        </w:rPr>
        <w:t>Income from State Government</w:t>
      </w:r>
    </w:p>
    <w:tbl>
      <w:tblPr>
        <w:tblStyle w:val="TableGrid"/>
        <w:tblW w:w="0" w:type="auto"/>
        <w:tblInd w:w="279" w:type="dxa"/>
        <w:tblLook w:val="04A0" w:firstRow="1" w:lastRow="0" w:firstColumn="1" w:lastColumn="0" w:noHBand="0" w:noVBand="1"/>
        <w:tblCaption w:val="note 14 table"/>
        <w:tblDescription w:val="table showing details for note 14 income from state government"/>
      </w:tblPr>
      <w:tblGrid>
        <w:gridCol w:w="9355"/>
        <w:gridCol w:w="993"/>
        <w:gridCol w:w="1134"/>
      </w:tblGrid>
      <w:tr w:rsidR="00C56423" w:rsidTr="00C0547C">
        <w:trPr>
          <w:tblHeader/>
        </w:trPr>
        <w:tc>
          <w:tcPr>
            <w:tcW w:w="9355" w:type="dxa"/>
          </w:tcPr>
          <w:p w:rsidR="00C56423" w:rsidRDefault="00C0547C" w:rsidP="00C56423">
            <w:pPr>
              <w:pStyle w:val="BodyText"/>
            </w:pPr>
            <w:r>
              <w:t>Appropriation received during the period:</w:t>
            </w:r>
          </w:p>
        </w:tc>
        <w:tc>
          <w:tcPr>
            <w:tcW w:w="993" w:type="dxa"/>
          </w:tcPr>
          <w:p w:rsidR="00C56423" w:rsidRDefault="00C56423" w:rsidP="00C56423">
            <w:pPr>
              <w:pStyle w:val="BodyText"/>
            </w:pPr>
            <w:r>
              <w:t>2018 $000</w:t>
            </w:r>
          </w:p>
        </w:tc>
        <w:tc>
          <w:tcPr>
            <w:tcW w:w="1134" w:type="dxa"/>
          </w:tcPr>
          <w:p w:rsidR="00C56423" w:rsidRDefault="00C56423" w:rsidP="00C56423">
            <w:pPr>
              <w:pStyle w:val="BodyText"/>
            </w:pPr>
            <w:r>
              <w:t>2017 $000</w:t>
            </w:r>
          </w:p>
        </w:tc>
      </w:tr>
      <w:tr w:rsidR="00C56423" w:rsidTr="00C0547C">
        <w:tc>
          <w:tcPr>
            <w:tcW w:w="9355" w:type="dxa"/>
          </w:tcPr>
          <w:p w:rsidR="00C56423" w:rsidRDefault="00484092" w:rsidP="00C56423">
            <w:pPr>
              <w:pStyle w:val="BodyText"/>
            </w:pPr>
            <w:r>
              <w:t xml:space="preserve">Service appropriation </w:t>
            </w:r>
            <w:r w:rsidR="00C56423">
              <w:t xml:space="preserve">(a) </w:t>
            </w:r>
          </w:p>
        </w:tc>
        <w:tc>
          <w:tcPr>
            <w:tcW w:w="993" w:type="dxa"/>
          </w:tcPr>
          <w:p w:rsidR="00C56423" w:rsidRDefault="00C56423" w:rsidP="00C56423">
            <w:pPr>
              <w:pStyle w:val="BodyText"/>
            </w:pPr>
            <w:r>
              <w:t>3403</w:t>
            </w:r>
          </w:p>
        </w:tc>
        <w:tc>
          <w:tcPr>
            <w:tcW w:w="1134" w:type="dxa"/>
          </w:tcPr>
          <w:p w:rsidR="00C56423" w:rsidRDefault="00C56423" w:rsidP="00C56423">
            <w:pPr>
              <w:pStyle w:val="BodyText"/>
            </w:pPr>
            <w:r>
              <w:t>7413</w:t>
            </w:r>
          </w:p>
        </w:tc>
      </w:tr>
      <w:tr w:rsidR="00C56423" w:rsidTr="00C0547C">
        <w:tc>
          <w:tcPr>
            <w:tcW w:w="9355" w:type="dxa"/>
          </w:tcPr>
          <w:p w:rsidR="00C56423" w:rsidRDefault="00C0547C" w:rsidP="00C56423">
            <w:pPr>
              <w:pStyle w:val="BodyText"/>
            </w:pPr>
            <w:r>
              <w:t>Total</w:t>
            </w:r>
          </w:p>
        </w:tc>
        <w:tc>
          <w:tcPr>
            <w:tcW w:w="993" w:type="dxa"/>
          </w:tcPr>
          <w:p w:rsidR="00C56423" w:rsidRDefault="00C56423" w:rsidP="00C56423">
            <w:pPr>
              <w:pStyle w:val="BodyText"/>
            </w:pPr>
            <w:r>
              <w:t>3403</w:t>
            </w:r>
          </w:p>
        </w:tc>
        <w:tc>
          <w:tcPr>
            <w:tcW w:w="1134" w:type="dxa"/>
          </w:tcPr>
          <w:p w:rsidR="00C56423" w:rsidRDefault="00C56423" w:rsidP="00C56423">
            <w:pPr>
              <w:pStyle w:val="BodyText"/>
            </w:pPr>
            <w:r>
              <w:t>7413</w:t>
            </w:r>
          </w:p>
        </w:tc>
      </w:tr>
    </w:tbl>
    <w:p w:rsidR="00C0547C" w:rsidRDefault="00C0547C" w:rsidP="00C56423">
      <w:pPr>
        <w:pStyle w:val="BodyText"/>
      </w:pPr>
    </w:p>
    <w:tbl>
      <w:tblPr>
        <w:tblStyle w:val="TableGrid"/>
        <w:tblW w:w="0" w:type="auto"/>
        <w:tblInd w:w="279" w:type="dxa"/>
        <w:tblLook w:val="04A0" w:firstRow="1" w:lastRow="0" w:firstColumn="1" w:lastColumn="0" w:noHBand="0" w:noVBand="1"/>
        <w:tblCaption w:val="services received free of charge from other state government agencies"/>
        <w:tblDescription w:val="table showing figures for services received free of charge from other state government agencies as part of note 14 income from state government"/>
      </w:tblPr>
      <w:tblGrid>
        <w:gridCol w:w="9355"/>
        <w:gridCol w:w="993"/>
        <w:gridCol w:w="1134"/>
      </w:tblGrid>
      <w:tr w:rsidR="00C0547C" w:rsidTr="00C0547C">
        <w:trPr>
          <w:tblHeader/>
        </w:trPr>
        <w:tc>
          <w:tcPr>
            <w:tcW w:w="9355" w:type="dxa"/>
          </w:tcPr>
          <w:p w:rsidR="00C0547C" w:rsidRDefault="00C0547C" w:rsidP="00DC3AEB">
            <w:pPr>
              <w:pStyle w:val="BodyText"/>
            </w:pPr>
            <w:r>
              <w:t>Services received free of charge from other State government agencies during the period:</w:t>
            </w:r>
          </w:p>
        </w:tc>
        <w:tc>
          <w:tcPr>
            <w:tcW w:w="993" w:type="dxa"/>
          </w:tcPr>
          <w:p w:rsidR="00C0547C" w:rsidRDefault="00C0547C" w:rsidP="00DC3AEB">
            <w:pPr>
              <w:pStyle w:val="BodyText"/>
            </w:pPr>
            <w:r>
              <w:t>2018 $000</w:t>
            </w:r>
          </w:p>
        </w:tc>
        <w:tc>
          <w:tcPr>
            <w:tcW w:w="1134" w:type="dxa"/>
          </w:tcPr>
          <w:p w:rsidR="00C0547C" w:rsidRDefault="00C0547C" w:rsidP="00DC3AEB">
            <w:pPr>
              <w:pStyle w:val="BodyText"/>
            </w:pPr>
            <w:r>
              <w:t>2017 $000</w:t>
            </w:r>
          </w:p>
        </w:tc>
      </w:tr>
      <w:tr w:rsidR="00C0547C" w:rsidTr="00DC3AEB">
        <w:tc>
          <w:tcPr>
            <w:tcW w:w="9355" w:type="dxa"/>
          </w:tcPr>
          <w:p w:rsidR="00C0547C" w:rsidRDefault="00C0547C" w:rsidP="00DC3AEB">
            <w:pPr>
              <w:pStyle w:val="BodyText"/>
            </w:pPr>
            <w:r>
              <w:t>Department of Finance</w:t>
            </w:r>
          </w:p>
        </w:tc>
        <w:tc>
          <w:tcPr>
            <w:tcW w:w="993" w:type="dxa"/>
          </w:tcPr>
          <w:p w:rsidR="00C0547C" w:rsidRDefault="00C0547C" w:rsidP="00DC3AEB">
            <w:pPr>
              <w:pStyle w:val="BodyText"/>
            </w:pPr>
            <w:r>
              <w:t>78</w:t>
            </w:r>
          </w:p>
        </w:tc>
        <w:tc>
          <w:tcPr>
            <w:tcW w:w="1134" w:type="dxa"/>
          </w:tcPr>
          <w:p w:rsidR="00C0547C" w:rsidRDefault="00C0547C" w:rsidP="00DC3AEB">
            <w:pPr>
              <w:pStyle w:val="BodyText"/>
            </w:pPr>
            <w:r>
              <w:t>51</w:t>
            </w:r>
          </w:p>
        </w:tc>
      </w:tr>
      <w:tr w:rsidR="00C0547C" w:rsidTr="00DC3AEB">
        <w:tc>
          <w:tcPr>
            <w:tcW w:w="9355" w:type="dxa"/>
          </w:tcPr>
          <w:p w:rsidR="00C0547C" w:rsidRDefault="00C0547C" w:rsidP="00DC3AEB">
            <w:pPr>
              <w:pStyle w:val="BodyText"/>
            </w:pPr>
            <w:r>
              <w:t>State Solicitor’s Office</w:t>
            </w:r>
          </w:p>
        </w:tc>
        <w:tc>
          <w:tcPr>
            <w:tcW w:w="993" w:type="dxa"/>
          </w:tcPr>
          <w:p w:rsidR="00C0547C" w:rsidRDefault="00C0547C" w:rsidP="00DC3AEB">
            <w:pPr>
              <w:pStyle w:val="BodyText"/>
            </w:pPr>
            <w:r>
              <w:t>6</w:t>
            </w:r>
          </w:p>
        </w:tc>
        <w:tc>
          <w:tcPr>
            <w:tcW w:w="1134" w:type="dxa"/>
          </w:tcPr>
          <w:p w:rsidR="00C0547C" w:rsidRDefault="00C0547C" w:rsidP="00DC3AEB">
            <w:pPr>
              <w:pStyle w:val="BodyText"/>
            </w:pPr>
            <w:r>
              <w:t>60</w:t>
            </w:r>
          </w:p>
        </w:tc>
      </w:tr>
      <w:tr w:rsidR="00C0547C" w:rsidTr="00DC3AEB">
        <w:tc>
          <w:tcPr>
            <w:tcW w:w="9355" w:type="dxa"/>
          </w:tcPr>
          <w:p w:rsidR="00C0547C" w:rsidRDefault="00C0547C" w:rsidP="00DC3AEB">
            <w:pPr>
              <w:pStyle w:val="BodyText"/>
            </w:pPr>
            <w:r>
              <w:t>Department of Training and Workforce Development</w:t>
            </w:r>
          </w:p>
        </w:tc>
        <w:tc>
          <w:tcPr>
            <w:tcW w:w="993" w:type="dxa"/>
          </w:tcPr>
          <w:p w:rsidR="00C0547C" w:rsidRDefault="00C0547C" w:rsidP="00DC3AEB">
            <w:pPr>
              <w:pStyle w:val="BodyText"/>
            </w:pPr>
            <w:r>
              <w:t>9</w:t>
            </w:r>
          </w:p>
        </w:tc>
        <w:tc>
          <w:tcPr>
            <w:tcW w:w="1134" w:type="dxa"/>
          </w:tcPr>
          <w:p w:rsidR="00C0547C" w:rsidRDefault="00C0547C" w:rsidP="00DC3AEB">
            <w:pPr>
              <w:pStyle w:val="BodyText"/>
            </w:pPr>
            <w:r>
              <w:t>0</w:t>
            </w:r>
          </w:p>
        </w:tc>
      </w:tr>
      <w:tr w:rsidR="00C0547C" w:rsidTr="00DC3AEB">
        <w:tc>
          <w:tcPr>
            <w:tcW w:w="9355" w:type="dxa"/>
          </w:tcPr>
          <w:p w:rsidR="00C0547C" w:rsidRDefault="00C0547C" w:rsidP="00DC3AEB">
            <w:pPr>
              <w:pStyle w:val="BodyText"/>
            </w:pPr>
          </w:p>
        </w:tc>
        <w:tc>
          <w:tcPr>
            <w:tcW w:w="993" w:type="dxa"/>
          </w:tcPr>
          <w:p w:rsidR="00C0547C" w:rsidRDefault="00C0547C" w:rsidP="00DC3AEB">
            <w:pPr>
              <w:pStyle w:val="BodyText"/>
            </w:pPr>
            <w:r>
              <w:t>93</w:t>
            </w:r>
          </w:p>
        </w:tc>
        <w:tc>
          <w:tcPr>
            <w:tcW w:w="1134" w:type="dxa"/>
          </w:tcPr>
          <w:p w:rsidR="00C0547C" w:rsidRDefault="00C0547C" w:rsidP="00DC3AEB">
            <w:pPr>
              <w:pStyle w:val="BodyText"/>
            </w:pPr>
            <w:r>
              <w:t>111</w:t>
            </w:r>
          </w:p>
        </w:tc>
      </w:tr>
      <w:tr w:rsidR="00C0547C" w:rsidTr="00DC3AEB">
        <w:tc>
          <w:tcPr>
            <w:tcW w:w="9355" w:type="dxa"/>
          </w:tcPr>
          <w:p w:rsidR="00C0547C" w:rsidRDefault="00C0547C" w:rsidP="00DC3AEB">
            <w:pPr>
              <w:pStyle w:val="BodyText"/>
            </w:pPr>
            <w:r>
              <w:t>Total</w:t>
            </w:r>
          </w:p>
        </w:tc>
        <w:tc>
          <w:tcPr>
            <w:tcW w:w="993" w:type="dxa"/>
          </w:tcPr>
          <w:p w:rsidR="00C0547C" w:rsidRDefault="00C0547C" w:rsidP="00DC3AEB">
            <w:pPr>
              <w:pStyle w:val="BodyText"/>
            </w:pPr>
            <w:r>
              <w:t>3496</w:t>
            </w:r>
          </w:p>
        </w:tc>
        <w:tc>
          <w:tcPr>
            <w:tcW w:w="1134" w:type="dxa"/>
          </w:tcPr>
          <w:p w:rsidR="00C0547C" w:rsidRDefault="00C0547C" w:rsidP="00DC3AEB">
            <w:pPr>
              <w:pStyle w:val="BodyText"/>
            </w:pPr>
            <w:r>
              <w:t>7524</w:t>
            </w:r>
          </w:p>
        </w:tc>
      </w:tr>
    </w:tbl>
    <w:p w:rsidR="006E62E4" w:rsidRDefault="00C56423" w:rsidP="00484092">
      <w:pPr>
        <w:pStyle w:val="BodyText"/>
        <w:ind w:left="284"/>
      </w:pPr>
      <w:r>
        <w:t xml:space="preserve">(a) </w:t>
      </w:r>
      <w:r w:rsidR="006E62E4" w:rsidRPr="006E62E4">
        <w:t>Service appropriations fund the net cost of services delivered. Appropriation revenue only comprises a cash component</w:t>
      </w:r>
    </w:p>
    <w:p w:rsidR="006E62E4" w:rsidRDefault="006E62E4" w:rsidP="006E62E4">
      <w:pPr>
        <w:pStyle w:val="BodyText"/>
        <w:ind w:left="360"/>
      </w:pPr>
    </w:p>
    <w:p w:rsidR="006E62E4" w:rsidRDefault="006E62E4" w:rsidP="006E62E4">
      <w:pPr>
        <w:pStyle w:val="Heading2"/>
        <w:ind w:left="284"/>
      </w:pPr>
      <w:r>
        <w:t>Note 15. Receivables</w:t>
      </w:r>
    </w:p>
    <w:tbl>
      <w:tblPr>
        <w:tblStyle w:val="TableGrid"/>
        <w:tblW w:w="0" w:type="auto"/>
        <w:tblInd w:w="279" w:type="dxa"/>
        <w:tblLook w:val="04A0" w:firstRow="1" w:lastRow="0" w:firstColumn="1" w:lastColumn="0" w:noHBand="0" w:noVBand="1"/>
        <w:tblCaption w:val="Note 15"/>
        <w:tblDescription w:val="table showing details for note 15 receivables"/>
      </w:tblPr>
      <w:tblGrid>
        <w:gridCol w:w="9355"/>
        <w:gridCol w:w="1179"/>
        <w:gridCol w:w="948"/>
      </w:tblGrid>
      <w:tr w:rsidR="00CB598C" w:rsidTr="00484092">
        <w:trPr>
          <w:tblHeader/>
        </w:trPr>
        <w:tc>
          <w:tcPr>
            <w:tcW w:w="9355" w:type="dxa"/>
          </w:tcPr>
          <w:p w:rsidR="00CB598C" w:rsidRDefault="00C0547C" w:rsidP="00CB598C">
            <w:pPr>
              <w:pStyle w:val="BodyText"/>
            </w:pPr>
            <w:r>
              <w:t>Current</w:t>
            </w:r>
          </w:p>
        </w:tc>
        <w:tc>
          <w:tcPr>
            <w:tcW w:w="1179" w:type="dxa"/>
          </w:tcPr>
          <w:p w:rsidR="00CB598C" w:rsidRDefault="00CB598C" w:rsidP="00CB598C">
            <w:pPr>
              <w:pStyle w:val="BodyText"/>
            </w:pPr>
            <w:r>
              <w:t>2018 $000</w:t>
            </w:r>
          </w:p>
        </w:tc>
        <w:tc>
          <w:tcPr>
            <w:tcW w:w="948" w:type="dxa"/>
          </w:tcPr>
          <w:p w:rsidR="00CB598C" w:rsidRDefault="00CB598C" w:rsidP="00CB598C">
            <w:pPr>
              <w:pStyle w:val="BodyText"/>
            </w:pPr>
            <w:r>
              <w:t>2017 $000</w:t>
            </w:r>
          </w:p>
        </w:tc>
      </w:tr>
      <w:tr w:rsidR="00CB598C" w:rsidTr="00484092">
        <w:tc>
          <w:tcPr>
            <w:tcW w:w="9355" w:type="dxa"/>
          </w:tcPr>
          <w:p w:rsidR="00CB598C" w:rsidRDefault="00CB598C" w:rsidP="00CB598C">
            <w:pPr>
              <w:pStyle w:val="BodyText"/>
            </w:pPr>
            <w:r>
              <w:t>Receivables</w:t>
            </w:r>
          </w:p>
        </w:tc>
        <w:tc>
          <w:tcPr>
            <w:tcW w:w="1179" w:type="dxa"/>
          </w:tcPr>
          <w:p w:rsidR="00CB598C" w:rsidRDefault="00CB598C" w:rsidP="00CB598C">
            <w:pPr>
              <w:pStyle w:val="BodyText"/>
            </w:pPr>
            <w:r>
              <w:t>99</w:t>
            </w:r>
          </w:p>
        </w:tc>
        <w:tc>
          <w:tcPr>
            <w:tcW w:w="948" w:type="dxa"/>
          </w:tcPr>
          <w:p w:rsidR="00CB598C" w:rsidRDefault="00CB598C" w:rsidP="00CB598C">
            <w:pPr>
              <w:pStyle w:val="BodyText"/>
            </w:pPr>
            <w:r>
              <w:t>0</w:t>
            </w:r>
          </w:p>
        </w:tc>
      </w:tr>
      <w:tr w:rsidR="00CB598C" w:rsidTr="00484092">
        <w:tc>
          <w:tcPr>
            <w:tcW w:w="9355" w:type="dxa"/>
          </w:tcPr>
          <w:p w:rsidR="00CB598C" w:rsidRDefault="00CB598C" w:rsidP="00CB598C">
            <w:pPr>
              <w:pStyle w:val="BodyText"/>
            </w:pPr>
            <w:r>
              <w:t xml:space="preserve">GST Receivable </w:t>
            </w:r>
          </w:p>
        </w:tc>
        <w:tc>
          <w:tcPr>
            <w:tcW w:w="1179" w:type="dxa"/>
          </w:tcPr>
          <w:p w:rsidR="00CB598C" w:rsidRDefault="00CB598C" w:rsidP="00CB598C">
            <w:pPr>
              <w:pStyle w:val="BodyText"/>
            </w:pPr>
            <w:r>
              <w:t>77</w:t>
            </w:r>
          </w:p>
        </w:tc>
        <w:tc>
          <w:tcPr>
            <w:tcW w:w="948" w:type="dxa"/>
          </w:tcPr>
          <w:p w:rsidR="00CB598C" w:rsidRDefault="00CB598C" w:rsidP="00CB598C">
            <w:pPr>
              <w:pStyle w:val="BodyText"/>
            </w:pPr>
            <w:r>
              <w:t>206</w:t>
            </w:r>
          </w:p>
        </w:tc>
      </w:tr>
      <w:tr w:rsidR="00CB598C" w:rsidTr="00484092">
        <w:tc>
          <w:tcPr>
            <w:tcW w:w="9355" w:type="dxa"/>
          </w:tcPr>
          <w:p w:rsidR="00CB598C" w:rsidRDefault="00CB598C" w:rsidP="00CB598C">
            <w:pPr>
              <w:pStyle w:val="BodyText"/>
            </w:pPr>
          </w:p>
        </w:tc>
        <w:tc>
          <w:tcPr>
            <w:tcW w:w="1179" w:type="dxa"/>
          </w:tcPr>
          <w:p w:rsidR="00CB598C" w:rsidRDefault="00CB598C" w:rsidP="00CB598C">
            <w:pPr>
              <w:pStyle w:val="BodyText"/>
            </w:pPr>
            <w:r>
              <w:t>176</w:t>
            </w:r>
          </w:p>
        </w:tc>
        <w:tc>
          <w:tcPr>
            <w:tcW w:w="948" w:type="dxa"/>
          </w:tcPr>
          <w:p w:rsidR="00CB598C" w:rsidRDefault="00CB598C" w:rsidP="00CB598C">
            <w:pPr>
              <w:pStyle w:val="BodyText"/>
            </w:pPr>
            <w:r>
              <w:t>206</w:t>
            </w:r>
          </w:p>
        </w:tc>
      </w:tr>
      <w:tr w:rsidR="00CB598C" w:rsidTr="00484092">
        <w:tc>
          <w:tcPr>
            <w:tcW w:w="9355" w:type="dxa"/>
          </w:tcPr>
          <w:p w:rsidR="00CB598C" w:rsidRDefault="00CB598C" w:rsidP="00CB598C">
            <w:pPr>
              <w:pStyle w:val="BodyText"/>
            </w:pPr>
            <w:r>
              <w:t>Total current</w:t>
            </w:r>
          </w:p>
        </w:tc>
        <w:tc>
          <w:tcPr>
            <w:tcW w:w="1179" w:type="dxa"/>
          </w:tcPr>
          <w:p w:rsidR="00CB598C" w:rsidRDefault="00CB598C" w:rsidP="00CB598C">
            <w:pPr>
              <w:pStyle w:val="BodyText"/>
            </w:pPr>
            <w:r>
              <w:t>176</w:t>
            </w:r>
          </w:p>
        </w:tc>
        <w:tc>
          <w:tcPr>
            <w:tcW w:w="948" w:type="dxa"/>
          </w:tcPr>
          <w:p w:rsidR="00CB598C" w:rsidRDefault="00CB598C" w:rsidP="00CB598C">
            <w:pPr>
              <w:pStyle w:val="BodyText"/>
            </w:pPr>
            <w:r>
              <w:t>206</w:t>
            </w:r>
          </w:p>
        </w:tc>
      </w:tr>
    </w:tbl>
    <w:p w:rsidR="006E62E4" w:rsidRDefault="006E62E4" w:rsidP="00484092">
      <w:pPr>
        <w:pStyle w:val="BodyText"/>
        <w:spacing w:after="240"/>
        <w:ind w:left="284"/>
      </w:pPr>
      <w:r w:rsidRPr="006E62E4">
        <w:t>The sub-department does not hold any collateral or other credit enhancements as security for receivables.</w:t>
      </w:r>
    </w:p>
    <w:p w:rsidR="006E62E4" w:rsidRPr="006E62E4" w:rsidRDefault="006E62E4" w:rsidP="006E62E4">
      <w:pPr>
        <w:rPr>
          <w:sz w:val="24"/>
          <w:szCs w:val="24"/>
        </w:rPr>
      </w:pPr>
      <w:r>
        <w:br w:type="page"/>
      </w:r>
    </w:p>
    <w:p w:rsidR="006E62E4" w:rsidRDefault="006E62E4" w:rsidP="006E62E4">
      <w:pPr>
        <w:pStyle w:val="Heading2"/>
        <w:ind w:left="284"/>
        <w:rPr>
          <w:lang w:val="en-AU" w:eastAsia="en-AU" w:bidi="ar-SA"/>
        </w:rPr>
      </w:pPr>
      <w:r>
        <w:rPr>
          <w:lang w:val="en-AU" w:eastAsia="en-AU" w:bidi="ar-SA"/>
        </w:rPr>
        <w:lastRenderedPageBreak/>
        <w:t>Note 16. Intangible assets</w:t>
      </w:r>
    </w:p>
    <w:tbl>
      <w:tblPr>
        <w:tblW w:w="11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473"/>
        <w:gridCol w:w="1471"/>
      </w:tblGrid>
      <w:tr w:rsidR="00CB598C" w:rsidRPr="007B2AB2" w:rsidTr="00C37450">
        <w:trPr>
          <w:trHeight w:val="510"/>
        </w:trPr>
        <w:tc>
          <w:tcPr>
            <w:tcW w:w="8643" w:type="dxa"/>
            <w:shd w:val="clear" w:color="auto" w:fill="auto"/>
            <w:noWrap/>
            <w:hideMark/>
          </w:tcPr>
          <w:p w:rsidR="00CB598C" w:rsidRPr="007B2AB2" w:rsidRDefault="002F21CB" w:rsidP="006E62E4">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Website costs (a)</w:t>
            </w:r>
          </w:p>
        </w:tc>
        <w:tc>
          <w:tcPr>
            <w:tcW w:w="1473" w:type="dxa"/>
            <w:shd w:val="clear" w:color="auto" w:fill="auto"/>
            <w:vAlign w:val="bottom"/>
            <w:hideMark/>
          </w:tcPr>
          <w:p w:rsidR="00CB598C" w:rsidRPr="007B2AB2" w:rsidRDefault="00CB598C" w:rsidP="006E62E4">
            <w:pPr>
              <w:widowControl/>
              <w:autoSpaceDE/>
              <w:autoSpaceDN/>
              <w:jc w:val="right"/>
              <w:rPr>
                <w:rFonts w:ascii="Arial" w:eastAsia="Times New Roman" w:hAnsi="Arial" w:cs="Arial"/>
                <w:bCs/>
                <w:sz w:val="20"/>
                <w:szCs w:val="20"/>
                <w:lang w:val="en-AU" w:eastAsia="en-AU" w:bidi="ar-SA"/>
              </w:rPr>
            </w:pPr>
            <w:r w:rsidRPr="007B2AB2">
              <w:rPr>
                <w:rFonts w:ascii="Arial" w:eastAsia="Times New Roman" w:hAnsi="Arial" w:cs="Arial"/>
                <w:bCs/>
                <w:sz w:val="20"/>
                <w:szCs w:val="20"/>
                <w:lang w:val="en-AU" w:eastAsia="en-AU" w:bidi="ar-SA"/>
              </w:rPr>
              <w:t>2018</w:t>
            </w:r>
            <w:r w:rsidRPr="007B2AB2">
              <w:rPr>
                <w:rFonts w:ascii="Arial" w:eastAsia="Times New Roman" w:hAnsi="Arial" w:cs="Arial"/>
                <w:bCs/>
                <w:sz w:val="20"/>
                <w:szCs w:val="20"/>
                <w:lang w:val="en-AU" w:eastAsia="en-AU" w:bidi="ar-SA"/>
              </w:rPr>
              <w:br/>
              <w:t>$000</w:t>
            </w:r>
          </w:p>
        </w:tc>
        <w:tc>
          <w:tcPr>
            <w:tcW w:w="1471" w:type="dxa"/>
            <w:shd w:val="clear" w:color="auto" w:fill="auto"/>
            <w:vAlign w:val="bottom"/>
            <w:hideMark/>
          </w:tcPr>
          <w:p w:rsidR="00CB598C" w:rsidRPr="007B2AB2" w:rsidRDefault="00CB598C" w:rsidP="006E62E4">
            <w:pPr>
              <w:widowControl/>
              <w:autoSpaceDE/>
              <w:autoSpaceDN/>
              <w:jc w:val="right"/>
              <w:rPr>
                <w:rFonts w:ascii="Arial" w:eastAsia="Times New Roman" w:hAnsi="Arial" w:cs="Arial"/>
                <w:bCs/>
                <w:sz w:val="20"/>
                <w:szCs w:val="20"/>
                <w:lang w:val="en-AU" w:eastAsia="en-AU" w:bidi="ar-SA"/>
              </w:rPr>
            </w:pPr>
            <w:r w:rsidRPr="007B2AB2">
              <w:rPr>
                <w:rFonts w:ascii="Arial" w:eastAsia="Times New Roman" w:hAnsi="Arial" w:cs="Arial"/>
                <w:bCs/>
                <w:sz w:val="20"/>
                <w:szCs w:val="20"/>
                <w:lang w:val="en-AU" w:eastAsia="en-AU" w:bidi="ar-SA"/>
              </w:rPr>
              <w:t>2017</w:t>
            </w:r>
            <w:r w:rsidRPr="007B2AB2">
              <w:rPr>
                <w:rFonts w:ascii="Arial" w:eastAsia="Times New Roman" w:hAnsi="Arial" w:cs="Arial"/>
                <w:bCs/>
                <w:sz w:val="20"/>
                <w:szCs w:val="20"/>
                <w:lang w:val="en-AU" w:eastAsia="en-AU" w:bidi="ar-SA"/>
              </w:rPr>
              <w:br/>
              <w:t>$000</w:t>
            </w:r>
          </w:p>
        </w:tc>
      </w:tr>
      <w:tr w:rsidR="00CB598C" w:rsidRPr="006E62E4" w:rsidTr="00C37450">
        <w:trPr>
          <w:trHeight w:val="255"/>
        </w:trPr>
        <w:tc>
          <w:tcPr>
            <w:tcW w:w="8643" w:type="dxa"/>
            <w:shd w:val="clear" w:color="000000" w:fill="FFFFFF"/>
            <w:hideMark/>
          </w:tcPr>
          <w:p w:rsidR="00CB598C" w:rsidRPr="00C37450" w:rsidRDefault="00CB598C" w:rsidP="006E62E4">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At cost</w:t>
            </w:r>
          </w:p>
        </w:tc>
        <w:tc>
          <w:tcPr>
            <w:tcW w:w="1473"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1,009</w:t>
            </w:r>
          </w:p>
        </w:tc>
        <w:tc>
          <w:tcPr>
            <w:tcW w:w="1471"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6E62E4" w:rsidRPr="006E62E4" w:rsidTr="00C37450">
        <w:trPr>
          <w:trHeight w:val="263"/>
        </w:trPr>
        <w:tc>
          <w:tcPr>
            <w:tcW w:w="8643" w:type="dxa"/>
            <w:shd w:val="clear" w:color="000000" w:fill="FFFFFF"/>
            <w:hideMark/>
          </w:tcPr>
          <w:p w:rsidR="006E62E4" w:rsidRPr="00C37450" w:rsidRDefault="006E62E4" w:rsidP="006E62E4">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Accumulated amortisation</w:t>
            </w:r>
          </w:p>
        </w:tc>
        <w:tc>
          <w:tcPr>
            <w:tcW w:w="1473" w:type="dxa"/>
            <w:shd w:val="clear" w:color="auto" w:fill="auto"/>
            <w:noWrap/>
            <w:hideMark/>
          </w:tcPr>
          <w:p w:rsidR="006E62E4" w:rsidRPr="006E62E4" w:rsidRDefault="006E62E4"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(82)</w:t>
            </w:r>
          </w:p>
        </w:tc>
        <w:tc>
          <w:tcPr>
            <w:tcW w:w="1471" w:type="dxa"/>
            <w:shd w:val="clear" w:color="auto" w:fill="auto"/>
            <w:noWrap/>
            <w:hideMark/>
          </w:tcPr>
          <w:p w:rsidR="006E62E4" w:rsidRPr="006E62E4" w:rsidRDefault="006E62E4"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CB598C" w:rsidRPr="006E62E4" w:rsidTr="00C37450">
        <w:trPr>
          <w:trHeight w:val="255"/>
        </w:trPr>
        <w:tc>
          <w:tcPr>
            <w:tcW w:w="8643" w:type="dxa"/>
            <w:shd w:val="clear" w:color="auto" w:fill="auto"/>
            <w:noWrap/>
            <w:hideMark/>
          </w:tcPr>
          <w:p w:rsidR="00CB598C" w:rsidRPr="00C37450" w:rsidRDefault="002F21CB" w:rsidP="006E62E4">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Total</w:t>
            </w:r>
          </w:p>
        </w:tc>
        <w:tc>
          <w:tcPr>
            <w:tcW w:w="1473"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927</w:t>
            </w:r>
          </w:p>
        </w:tc>
        <w:tc>
          <w:tcPr>
            <w:tcW w:w="1471"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bl>
    <w:p w:rsidR="00C37450" w:rsidRDefault="00C37450" w:rsidP="00C37450">
      <w:pPr>
        <w:pStyle w:val="BodyText"/>
        <w:ind w:left="720"/>
        <w:rPr>
          <w:lang w:val="en-AU" w:eastAsia="en-AU" w:bidi="ar-SA"/>
        </w:rPr>
      </w:pPr>
    </w:p>
    <w:tbl>
      <w:tblPr>
        <w:tblW w:w="11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473"/>
        <w:gridCol w:w="1471"/>
      </w:tblGrid>
      <w:tr w:rsidR="00C37450" w:rsidRPr="002F21CB" w:rsidTr="008724B9">
        <w:trPr>
          <w:trHeight w:val="263"/>
        </w:trPr>
        <w:tc>
          <w:tcPr>
            <w:tcW w:w="8643" w:type="dxa"/>
            <w:shd w:val="clear" w:color="000000" w:fill="FFFFFF"/>
            <w:vAlign w:val="bottom"/>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Work in Progress (a)</w:t>
            </w:r>
          </w:p>
        </w:tc>
        <w:tc>
          <w:tcPr>
            <w:tcW w:w="1473" w:type="dxa"/>
            <w:shd w:val="clear" w:color="auto" w:fill="auto"/>
            <w:noWrap/>
            <w:hideMark/>
          </w:tcPr>
          <w:p w:rsidR="00C37450" w:rsidRPr="002F21CB" w:rsidRDefault="00C37450" w:rsidP="008724B9">
            <w:pPr>
              <w:widowControl/>
              <w:autoSpaceDE/>
              <w:autoSpaceDN/>
              <w:jc w:val="right"/>
              <w:rPr>
                <w:rFonts w:ascii="Arial" w:eastAsia="Times New Roman" w:hAnsi="Arial" w:cs="Arial"/>
                <w:sz w:val="20"/>
                <w:szCs w:val="20"/>
                <w:lang w:val="en-AU" w:eastAsia="en-AU" w:bidi="ar-SA"/>
              </w:rPr>
            </w:pPr>
            <w:r w:rsidRPr="002F21CB">
              <w:rPr>
                <w:rFonts w:ascii="Arial" w:eastAsia="Times New Roman" w:hAnsi="Arial" w:cs="Arial"/>
                <w:sz w:val="20"/>
                <w:szCs w:val="20"/>
                <w:lang w:val="en-AU" w:eastAsia="en-AU" w:bidi="ar-SA"/>
              </w:rPr>
              <w:t>2018 $000</w:t>
            </w:r>
          </w:p>
        </w:tc>
        <w:tc>
          <w:tcPr>
            <w:tcW w:w="1471" w:type="dxa"/>
            <w:shd w:val="clear" w:color="auto" w:fill="auto"/>
            <w:noWrap/>
            <w:hideMark/>
          </w:tcPr>
          <w:p w:rsidR="00C37450" w:rsidRPr="002F21CB" w:rsidRDefault="00C37450" w:rsidP="008724B9">
            <w:pPr>
              <w:widowControl/>
              <w:autoSpaceDE/>
              <w:autoSpaceDN/>
              <w:jc w:val="right"/>
              <w:rPr>
                <w:rFonts w:ascii="Arial" w:eastAsia="Times New Roman" w:hAnsi="Arial" w:cs="Arial"/>
                <w:sz w:val="20"/>
                <w:szCs w:val="20"/>
                <w:lang w:val="en-AU" w:eastAsia="en-AU" w:bidi="ar-SA"/>
              </w:rPr>
            </w:pPr>
            <w:r w:rsidRPr="002F21CB">
              <w:rPr>
                <w:rFonts w:ascii="Arial" w:eastAsia="Times New Roman" w:hAnsi="Arial" w:cs="Arial"/>
                <w:sz w:val="20"/>
                <w:szCs w:val="20"/>
                <w:lang w:val="en-AU" w:eastAsia="en-AU" w:bidi="ar-SA"/>
              </w:rPr>
              <w:t>2017 $000</w:t>
            </w:r>
          </w:p>
        </w:tc>
      </w:tr>
      <w:tr w:rsidR="00C37450" w:rsidRPr="006E62E4" w:rsidTr="008724B9">
        <w:trPr>
          <w:trHeight w:val="263"/>
        </w:trPr>
        <w:tc>
          <w:tcPr>
            <w:tcW w:w="8643" w:type="dxa"/>
            <w:shd w:val="clear" w:color="000000" w:fill="FFFFFF"/>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At cost</w:t>
            </w:r>
          </w:p>
        </w:tc>
        <w:tc>
          <w:tcPr>
            <w:tcW w:w="1473"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572</w:t>
            </w:r>
          </w:p>
        </w:tc>
        <w:tc>
          <w:tcPr>
            <w:tcW w:w="1471"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p>
        </w:tc>
      </w:tr>
    </w:tbl>
    <w:p w:rsidR="00C37450" w:rsidRDefault="00C37450" w:rsidP="00C37450">
      <w:pPr>
        <w:pStyle w:val="BodyText"/>
        <w:ind w:left="720"/>
        <w:rPr>
          <w:lang w:val="en-AU" w:eastAsia="en-AU" w:bidi="ar-SA"/>
        </w:rPr>
      </w:pPr>
    </w:p>
    <w:tbl>
      <w:tblPr>
        <w:tblW w:w="11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473"/>
        <w:gridCol w:w="1471"/>
      </w:tblGrid>
      <w:tr w:rsidR="00C37450" w:rsidRPr="002F21CB" w:rsidTr="008724B9">
        <w:trPr>
          <w:trHeight w:val="255"/>
        </w:trPr>
        <w:tc>
          <w:tcPr>
            <w:tcW w:w="8643" w:type="dxa"/>
            <w:shd w:val="clear" w:color="000000" w:fill="FFFFFF"/>
            <w:vAlign w:val="bottom"/>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Total</w:t>
            </w:r>
          </w:p>
        </w:tc>
        <w:tc>
          <w:tcPr>
            <w:tcW w:w="1473" w:type="dxa"/>
            <w:shd w:val="clear" w:color="auto" w:fill="auto"/>
            <w:noWrap/>
            <w:hideMark/>
          </w:tcPr>
          <w:p w:rsidR="00C37450" w:rsidRPr="002F21CB" w:rsidRDefault="00C37450" w:rsidP="008724B9">
            <w:pPr>
              <w:widowControl/>
              <w:autoSpaceDE/>
              <w:autoSpaceDN/>
              <w:jc w:val="right"/>
              <w:rPr>
                <w:rFonts w:ascii="Arial" w:eastAsia="Times New Roman" w:hAnsi="Arial" w:cs="Arial"/>
                <w:sz w:val="20"/>
                <w:szCs w:val="20"/>
                <w:lang w:val="en-AU" w:eastAsia="en-AU" w:bidi="ar-SA"/>
              </w:rPr>
            </w:pPr>
            <w:r w:rsidRPr="002F21CB">
              <w:rPr>
                <w:rFonts w:ascii="Arial" w:eastAsia="Times New Roman" w:hAnsi="Arial" w:cs="Arial"/>
                <w:sz w:val="20"/>
                <w:szCs w:val="20"/>
                <w:lang w:val="en-AU" w:eastAsia="en-AU" w:bidi="ar-SA"/>
              </w:rPr>
              <w:t>2018 $000</w:t>
            </w:r>
          </w:p>
        </w:tc>
        <w:tc>
          <w:tcPr>
            <w:tcW w:w="1471" w:type="dxa"/>
            <w:shd w:val="clear" w:color="auto" w:fill="auto"/>
            <w:noWrap/>
            <w:hideMark/>
          </w:tcPr>
          <w:p w:rsidR="00C37450" w:rsidRPr="002F21CB" w:rsidRDefault="00C37450" w:rsidP="008724B9">
            <w:pPr>
              <w:widowControl/>
              <w:autoSpaceDE/>
              <w:autoSpaceDN/>
              <w:jc w:val="right"/>
              <w:rPr>
                <w:rFonts w:ascii="Arial" w:eastAsia="Times New Roman" w:hAnsi="Arial" w:cs="Arial"/>
                <w:sz w:val="20"/>
                <w:szCs w:val="20"/>
                <w:lang w:val="en-AU" w:eastAsia="en-AU" w:bidi="ar-SA"/>
              </w:rPr>
            </w:pPr>
            <w:r w:rsidRPr="002F21CB">
              <w:rPr>
                <w:rFonts w:ascii="Arial" w:eastAsia="Times New Roman" w:hAnsi="Arial" w:cs="Arial"/>
                <w:sz w:val="20"/>
                <w:szCs w:val="20"/>
                <w:lang w:val="en-AU" w:eastAsia="en-AU" w:bidi="ar-SA"/>
              </w:rPr>
              <w:t>2017 $000</w:t>
            </w:r>
          </w:p>
        </w:tc>
      </w:tr>
      <w:tr w:rsidR="00C37450" w:rsidRPr="006E62E4" w:rsidTr="008724B9">
        <w:trPr>
          <w:trHeight w:val="255"/>
        </w:trPr>
        <w:tc>
          <w:tcPr>
            <w:tcW w:w="8643" w:type="dxa"/>
            <w:shd w:val="clear" w:color="000000" w:fill="FFFFFF"/>
            <w:vAlign w:val="bottom"/>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At cost</w:t>
            </w:r>
          </w:p>
        </w:tc>
        <w:tc>
          <w:tcPr>
            <w:tcW w:w="1473"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1,581</w:t>
            </w:r>
          </w:p>
        </w:tc>
        <w:tc>
          <w:tcPr>
            <w:tcW w:w="1471"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C37450" w:rsidRPr="006E62E4" w:rsidTr="008724B9">
        <w:trPr>
          <w:trHeight w:val="255"/>
        </w:trPr>
        <w:tc>
          <w:tcPr>
            <w:tcW w:w="8643" w:type="dxa"/>
            <w:shd w:val="clear" w:color="000000" w:fill="FFFFFF"/>
            <w:vAlign w:val="bottom"/>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Accumulated amortisation</w:t>
            </w:r>
          </w:p>
        </w:tc>
        <w:tc>
          <w:tcPr>
            <w:tcW w:w="1473"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(82)</w:t>
            </w:r>
          </w:p>
        </w:tc>
        <w:tc>
          <w:tcPr>
            <w:tcW w:w="1471" w:type="dxa"/>
            <w:shd w:val="clear" w:color="auto" w:fill="auto"/>
            <w:noWrap/>
            <w:hideMark/>
          </w:tcPr>
          <w:p w:rsidR="00C37450" w:rsidRPr="006E62E4" w:rsidRDefault="00C37450" w:rsidP="008724B9">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C37450" w:rsidRPr="006E62E4" w:rsidTr="008724B9">
        <w:trPr>
          <w:trHeight w:val="270"/>
        </w:trPr>
        <w:tc>
          <w:tcPr>
            <w:tcW w:w="8643" w:type="dxa"/>
            <w:shd w:val="clear" w:color="000000" w:fill="FFFFFF"/>
            <w:hideMark/>
          </w:tcPr>
          <w:p w:rsidR="00C37450" w:rsidRPr="00C37450" w:rsidRDefault="00C37450" w:rsidP="008724B9">
            <w:pPr>
              <w:widowControl/>
              <w:autoSpaceDE/>
              <w:autoSpaceDN/>
              <w:rPr>
                <w:rFonts w:ascii="Arial" w:eastAsia="Times New Roman" w:hAnsi="Arial" w:cs="Arial"/>
                <w:sz w:val="20"/>
                <w:szCs w:val="20"/>
                <w:lang w:val="en-AU" w:eastAsia="en-AU" w:bidi="ar-SA"/>
              </w:rPr>
            </w:pPr>
            <w:r w:rsidRPr="00C37450">
              <w:rPr>
                <w:rFonts w:ascii="Arial" w:eastAsia="Times New Roman" w:hAnsi="Arial" w:cs="Arial"/>
                <w:sz w:val="20"/>
                <w:szCs w:val="20"/>
                <w:lang w:val="en-AU" w:eastAsia="en-AU" w:bidi="ar-SA"/>
              </w:rPr>
              <w:t>Total</w:t>
            </w:r>
          </w:p>
        </w:tc>
        <w:tc>
          <w:tcPr>
            <w:tcW w:w="1473" w:type="dxa"/>
            <w:shd w:val="clear" w:color="auto" w:fill="auto"/>
            <w:noWrap/>
            <w:hideMark/>
          </w:tcPr>
          <w:p w:rsidR="00C37450" w:rsidRPr="00C37450" w:rsidRDefault="00C37450" w:rsidP="008724B9">
            <w:pPr>
              <w:widowControl/>
              <w:autoSpaceDE/>
              <w:autoSpaceDN/>
              <w:jc w:val="right"/>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1,499</w:t>
            </w:r>
          </w:p>
        </w:tc>
        <w:tc>
          <w:tcPr>
            <w:tcW w:w="1471" w:type="dxa"/>
            <w:shd w:val="clear" w:color="auto" w:fill="auto"/>
            <w:noWrap/>
            <w:hideMark/>
          </w:tcPr>
          <w:p w:rsidR="00C37450" w:rsidRPr="006E62E4" w:rsidRDefault="00C37450" w:rsidP="008724B9">
            <w:pPr>
              <w:widowControl/>
              <w:autoSpaceDE/>
              <w:autoSpaceDN/>
              <w:jc w:val="right"/>
              <w:rPr>
                <w:rFonts w:ascii="Arial" w:eastAsia="Times New Roman" w:hAnsi="Arial" w:cs="Arial"/>
                <w:b/>
                <w:bCs/>
                <w:sz w:val="20"/>
                <w:szCs w:val="20"/>
                <w:lang w:val="en-AU" w:eastAsia="en-AU" w:bidi="ar-SA"/>
              </w:rPr>
            </w:pPr>
            <w:r w:rsidRPr="006E62E4">
              <w:rPr>
                <w:rFonts w:ascii="Arial" w:eastAsia="Times New Roman" w:hAnsi="Arial" w:cs="Arial"/>
                <w:b/>
                <w:bCs/>
                <w:sz w:val="20"/>
                <w:szCs w:val="20"/>
                <w:lang w:val="en-AU" w:eastAsia="en-AU" w:bidi="ar-SA"/>
              </w:rPr>
              <w:t>0</w:t>
            </w:r>
          </w:p>
        </w:tc>
      </w:tr>
    </w:tbl>
    <w:p w:rsidR="006E62E4" w:rsidRDefault="00C37450" w:rsidP="00C37450">
      <w:pPr>
        <w:pStyle w:val="BodyText"/>
        <w:ind w:left="284"/>
        <w:rPr>
          <w:lang w:val="en-AU" w:eastAsia="en-AU" w:bidi="ar-SA"/>
        </w:rPr>
      </w:pPr>
      <w:r>
        <w:rPr>
          <w:lang w:val="en-AU" w:eastAsia="en-AU" w:bidi="ar-SA"/>
        </w:rPr>
        <w:t xml:space="preserve">(a) </w:t>
      </w:r>
      <w:r w:rsidR="006E62E4" w:rsidRPr="006E62E4">
        <w:rPr>
          <w:lang w:val="en-AU" w:eastAsia="en-AU" w:bidi="ar-SA"/>
        </w:rPr>
        <w:t xml:space="preserve">Both the Website costs and the Work in Progress are related to the </w:t>
      </w:r>
      <w:proofErr w:type="spellStart"/>
      <w:r w:rsidR="006E62E4" w:rsidRPr="006E62E4">
        <w:rPr>
          <w:lang w:val="en-AU" w:eastAsia="en-AU" w:bidi="ar-SA"/>
        </w:rPr>
        <w:t>MyWA</w:t>
      </w:r>
      <w:proofErr w:type="spellEnd"/>
      <w:r w:rsidR="006E62E4" w:rsidRPr="006E62E4">
        <w:rPr>
          <w:lang w:val="en-AU" w:eastAsia="en-AU" w:bidi="ar-SA"/>
        </w:rPr>
        <w:t xml:space="preserve"> website.</w:t>
      </w:r>
    </w:p>
    <w:p w:rsidR="006E62E4" w:rsidRDefault="006E62E4" w:rsidP="00C37450">
      <w:pPr>
        <w:pStyle w:val="BodyText"/>
        <w:ind w:left="284"/>
        <w:rPr>
          <w:lang w:val="en-AU" w:eastAsia="en-AU" w:bidi="ar-SA"/>
        </w:rPr>
      </w:pPr>
      <w:r w:rsidRPr="006E62E4">
        <w:rPr>
          <w:lang w:val="en-AU" w:eastAsia="en-AU" w:bidi="ar-SA"/>
        </w:rPr>
        <w:t>Reconciliations of the carrying amounts of intangibles at the beginning and end of the reporting period are set out in the table below.</w:t>
      </w:r>
    </w:p>
    <w:tbl>
      <w:tblPr>
        <w:tblW w:w="115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1495"/>
        <w:gridCol w:w="1498"/>
        <w:gridCol w:w="1486"/>
      </w:tblGrid>
      <w:tr w:rsidR="00CB598C" w:rsidRPr="006E62E4" w:rsidTr="00C37450">
        <w:trPr>
          <w:trHeight w:val="792"/>
        </w:trPr>
        <w:tc>
          <w:tcPr>
            <w:tcW w:w="7076" w:type="dxa"/>
            <w:shd w:val="clear" w:color="auto" w:fill="auto"/>
            <w:noWrap/>
            <w:hideMark/>
          </w:tcPr>
          <w:p w:rsidR="00CB598C" w:rsidRPr="006E62E4" w:rsidRDefault="002F21CB" w:rsidP="006E62E4">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2018</w:t>
            </w:r>
          </w:p>
        </w:tc>
        <w:tc>
          <w:tcPr>
            <w:tcW w:w="1495" w:type="dxa"/>
            <w:shd w:val="clear" w:color="auto" w:fill="auto"/>
            <w:vAlign w:val="bottom"/>
            <w:hideMark/>
          </w:tcPr>
          <w:p w:rsidR="00CB598C" w:rsidRPr="00C37450" w:rsidRDefault="00CB598C" w:rsidP="002F21CB">
            <w:pPr>
              <w:widowControl/>
              <w:autoSpaceDE/>
              <w:autoSpaceDN/>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Website costs</w:t>
            </w:r>
            <w:r w:rsidRPr="00C37450">
              <w:rPr>
                <w:rFonts w:ascii="Arial" w:eastAsia="Times New Roman" w:hAnsi="Arial" w:cs="Arial"/>
                <w:bCs/>
                <w:sz w:val="20"/>
                <w:szCs w:val="20"/>
                <w:lang w:val="en-AU" w:eastAsia="en-AU" w:bidi="ar-SA"/>
              </w:rPr>
              <w:br/>
              <w:t>$000</w:t>
            </w:r>
          </w:p>
        </w:tc>
        <w:tc>
          <w:tcPr>
            <w:tcW w:w="1498" w:type="dxa"/>
            <w:shd w:val="clear" w:color="auto" w:fill="auto"/>
            <w:vAlign w:val="bottom"/>
            <w:hideMark/>
          </w:tcPr>
          <w:p w:rsidR="00CB598C" w:rsidRPr="00C37450" w:rsidRDefault="00C37450" w:rsidP="006E62E4">
            <w:pPr>
              <w:widowControl/>
              <w:autoSpaceDE/>
              <w:autoSpaceDN/>
              <w:jc w:val="right"/>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Work in Progress costs </w:t>
            </w:r>
            <w:r w:rsidR="002F21CB" w:rsidRPr="00C37450">
              <w:rPr>
                <w:rFonts w:ascii="Arial" w:eastAsia="Times New Roman" w:hAnsi="Arial" w:cs="Arial"/>
                <w:bCs/>
                <w:sz w:val="20"/>
                <w:szCs w:val="20"/>
                <w:lang w:val="en-AU" w:eastAsia="en-AU" w:bidi="ar-SA"/>
              </w:rPr>
              <w:t>$000</w:t>
            </w:r>
          </w:p>
        </w:tc>
        <w:tc>
          <w:tcPr>
            <w:tcW w:w="1486" w:type="dxa"/>
            <w:shd w:val="clear" w:color="auto" w:fill="auto"/>
            <w:vAlign w:val="bottom"/>
            <w:hideMark/>
          </w:tcPr>
          <w:p w:rsidR="00CB598C" w:rsidRPr="00C37450" w:rsidRDefault="00C37450" w:rsidP="006E62E4">
            <w:pPr>
              <w:widowControl/>
              <w:autoSpaceDE/>
              <w:autoSpaceDN/>
              <w:jc w:val="right"/>
              <w:rPr>
                <w:rFonts w:ascii="Arial" w:eastAsia="Times New Roman" w:hAnsi="Arial" w:cs="Arial"/>
                <w:bCs/>
                <w:sz w:val="20"/>
                <w:szCs w:val="20"/>
                <w:lang w:val="en-AU" w:eastAsia="en-AU" w:bidi="ar-SA"/>
              </w:rPr>
            </w:pPr>
            <w:r>
              <w:rPr>
                <w:rFonts w:ascii="Arial" w:eastAsia="Times New Roman" w:hAnsi="Arial" w:cs="Arial"/>
                <w:bCs/>
                <w:sz w:val="20"/>
                <w:szCs w:val="20"/>
                <w:lang w:val="en-AU" w:eastAsia="en-AU" w:bidi="ar-SA"/>
              </w:rPr>
              <w:t xml:space="preserve">Total </w:t>
            </w:r>
            <w:r w:rsidR="00CB598C" w:rsidRPr="00C37450">
              <w:rPr>
                <w:rFonts w:ascii="Arial" w:eastAsia="Times New Roman" w:hAnsi="Arial" w:cs="Arial"/>
                <w:bCs/>
                <w:sz w:val="20"/>
                <w:szCs w:val="20"/>
                <w:lang w:val="en-AU" w:eastAsia="en-AU" w:bidi="ar-SA"/>
              </w:rPr>
              <w:t>$000</w:t>
            </w:r>
          </w:p>
        </w:tc>
      </w:tr>
      <w:tr w:rsidR="00CB598C" w:rsidRPr="006E62E4" w:rsidTr="00C37450">
        <w:trPr>
          <w:trHeight w:val="255"/>
        </w:trPr>
        <w:tc>
          <w:tcPr>
            <w:tcW w:w="7076" w:type="dxa"/>
            <w:shd w:val="clear" w:color="000000" w:fill="FFFFFF"/>
            <w:noWrap/>
            <w:hideMark/>
          </w:tcPr>
          <w:p w:rsidR="00CB598C" w:rsidRPr="00CB598C" w:rsidRDefault="00CB598C" w:rsidP="006E62E4">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Carrying amount at start of period</w:t>
            </w:r>
          </w:p>
        </w:tc>
        <w:tc>
          <w:tcPr>
            <w:tcW w:w="1495"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98"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86"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CB598C" w:rsidRPr="006E62E4" w:rsidTr="00C37450">
        <w:trPr>
          <w:trHeight w:val="255"/>
        </w:trPr>
        <w:tc>
          <w:tcPr>
            <w:tcW w:w="7076" w:type="dxa"/>
            <w:shd w:val="clear" w:color="000000" w:fill="FFFFFF"/>
            <w:noWrap/>
            <w:hideMark/>
          </w:tcPr>
          <w:p w:rsidR="00CB598C" w:rsidRPr="00CB598C" w:rsidRDefault="00CB598C" w:rsidP="006E62E4">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Additions</w:t>
            </w:r>
          </w:p>
        </w:tc>
        <w:tc>
          <w:tcPr>
            <w:tcW w:w="1495"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1,009</w:t>
            </w:r>
          </w:p>
        </w:tc>
        <w:tc>
          <w:tcPr>
            <w:tcW w:w="1498"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572</w:t>
            </w:r>
          </w:p>
        </w:tc>
        <w:tc>
          <w:tcPr>
            <w:tcW w:w="1486"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1,581</w:t>
            </w:r>
          </w:p>
        </w:tc>
      </w:tr>
      <w:tr w:rsidR="00CB598C" w:rsidRPr="006E62E4" w:rsidTr="00C37450">
        <w:trPr>
          <w:trHeight w:val="255"/>
        </w:trPr>
        <w:tc>
          <w:tcPr>
            <w:tcW w:w="7076" w:type="dxa"/>
            <w:shd w:val="clear" w:color="000000" w:fill="FFFFFF"/>
            <w:noWrap/>
            <w:hideMark/>
          </w:tcPr>
          <w:p w:rsidR="00CB598C" w:rsidRPr="00CB598C" w:rsidRDefault="00CB598C" w:rsidP="006E62E4">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Amortisation expense</w:t>
            </w:r>
          </w:p>
        </w:tc>
        <w:tc>
          <w:tcPr>
            <w:tcW w:w="1495"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(82)</w:t>
            </w:r>
          </w:p>
        </w:tc>
        <w:tc>
          <w:tcPr>
            <w:tcW w:w="1498"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86" w:type="dxa"/>
            <w:shd w:val="clear" w:color="auto" w:fill="auto"/>
            <w:noWrap/>
            <w:hideMark/>
          </w:tcPr>
          <w:p w:rsidR="00CB598C" w:rsidRPr="006E62E4" w:rsidRDefault="00CB598C" w:rsidP="006E62E4">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(82)</w:t>
            </w:r>
          </w:p>
        </w:tc>
      </w:tr>
      <w:tr w:rsidR="00CB598C" w:rsidRPr="006E62E4" w:rsidTr="00C37450">
        <w:trPr>
          <w:trHeight w:val="255"/>
        </w:trPr>
        <w:tc>
          <w:tcPr>
            <w:tcW w:w="7076" w:type="dxa"/>
            <w:shd w:val="clear" w:color="000000" w:fill="FFFFFF"/>
            <w:noWrap/>
            <w:vAlign w:val="center"/>
            <w:hideMark/>
          </w:tcPr>
          <w:p w:rsidR="00CB598C" w:rsidRPr="00C37450" w:rsidRDefault="00CB598C" w:rsidP="006E62E4">
            <w:pPr>
              <w:widowControl/>
              <w:autoSpaceDE/>
              <w:autoSpaceDN/>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Carrying amount at end of period</w:t>
            </w:r>
          </w:p>
        </w:tc>
        <w:tc>
          <w:tcPr>
            <w:tcW w:w="1495" w:type="dxa"/>
            <w:shd w:val="clear" w:color="auto" w:fill="auto"/>
            <w:noWrap/>
            <w:hideMark/>
          </w:tcPr>
          <w:p w:rsidR="00CB598C" w:rsidRPr="00C37450" w:rsidRDefault="00CB598C" w:rsidP="006E62E4">
            <w:pPr>
              <w:widowControl/>
              <w:autoSpaceDE/>
              <w:autoSpaceDN/>
              <w:jc w:val="right"/>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927</w:t>
            </w:r>
          </w:p>
        </w:tc>
        <w:tc>
          <w:tcPr>
            <w:tcW w:w="1498" w:type="dxa"/>
            <w:shd w:val="clear" w:color="auto" w:fill="auto"/>
            <w:noWrap/>
            <w:hideMark/>
          </w:tcPr>
          <w:p w:rsidR="00CB598C" w:rsidRPr="00C37450" w:rsidRDefault="00CB598C" w:rsidP="006E62E4">
            <w:pPr>
              <w:widowControl/>
              <w:autoSpaceDE/>
              <w:autoSpaceDN/>
              <w:jc w:val="right"/>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572</w:t>
            </w:r>
          </w:p>
        </w:tc>
        <w:tc>
          <w:tcPr>
            <w:tcW w:w="1486" w:type="dxa"/>
            <w:shd w:val="clear" w:color="auto" w:fill="auto"/>
            <w:noWrap/>
            <w:hideMark/>
          </w:tcPr>
          <w:p w:rsidR="00CB598C" w:rsidRPr="00C37450" w:rsidRDefault="00CB598C" w:rsidP="006E62E4">
            <w:pPr>
              <w:widowControl/>
              <w:autoSpaceDE/>
              <w:autoSpaceDN/>
              <w:jc w:val="right"/>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1,499</w:t>
            </w:r>
          </w:p>
        </w:tc>
      </w:tr>
    </w:tbl>
    <w:p w:rsidR="003D52B9" w:rsidRPr="00C37450" w:rsidRDefault="003D52B9" w:rsidP="002F21CB">
      <w:pPr>
        <w:pStyle w:val="Heading2"/>
        <w:ind w:left="0"/>
        <w:rPr>
          <w:lang w:val="en-AU" w:eastAsia="en-AU" w:bidi="ar-SA"/>
        </w:rPr>
      </w:pPr>
    </w:p>
    <w:tbl>
      <w:tblPr>
        <w:tblW w:w="115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1495"/>
        <w:gridCol w:w="1498"/>
        <w:gridCol w:w="1486"/>
      </w:tblGrid>
      <w:tr w:rsidR="002F21CB" w:rsidRPr="00C37450" w:rsidTr="00C37450">
        <w:trPr>
          <w:trHeight w:val="255"/>
        </w:trPr>
        <w:tc>
          <w:tcPr>
            <w:tcW w:w="7076" w:type="dxa"/>
            <w:shd w:val="clear" w:color="000000" w:fill="FFFFFF"/>
            <w:hideMark/>
          </w:tcPr>
          <w:p w:rsidR="002F21CB" w:rsidRPr="00C37450" w:rsidRDefault="002F21CB" w:rsidP="000E1D3A">
            <w:pPr>
              <w:widowControl/>
              <w:autoSpaceDE/>
              <w:autoSpaceDN/>
              <w:rPr>
                <w:rFonts w:ascii="Arial" w:eastAsia="Times New Roman" w:hAnsi="Arial" w:cs="Arial"/>
                <w:bCs/>
                <w:sz w:val="20"/>
                <w:szCs w:val="20"/>
                <w:lang w:val="en-AU" w:eastAsia="en-AU" w:bidi="ar-SA"/>
              </w:rPr>
            </w:pPr>
            <w:r w:rsidRPr="00C37450">
              <w:rPr>
                <w:rFonts w:ascii="Arial" w:eastAsia="Times New Roman" w:hAnsi="Arial" w:cs="Arial"/>
                <w:bCs/>
                <w:sz w:val="20"/>
                <w:szCs w:val="20"/>
                <w:lang w:val="en-AU" w:eastAsia="en-AU" w:bidi="ar-SA"/>
              </w:rPr>
              <w:t>2017</w:t>
            </w:r>
          </w:p>
        </w:tc>
        <w:tc>
          <w:tcPr>
            <w:tcW w:w="1495" w:type="dxa"/>
            <w:shd w:val="clear" w:color="auto" w:fill="auto"/>
            <w:noWrap/>
            <w:hideMark/>
          </w:tcPr>
          <w:p w:rsidR="002F21CB" w:rsidRPr="00C37450" w:rsidRDefault="002F21CB" w:rsidP="000E1D3A">
            <w:pPr>
              <w:widowControl/>
              <w:autoSpaceDE/>
              <w:autoSpaceDN/>
              <w:rPr>
                <w:rFonts w:ascii="Arial" w:eastAsia="Times New Roman" w:hAnsi="Arial" w:cs="Arial"/>
                <w:color w:val="000000"/>
                <w:sz w:val="20"/>
                <w:szCs w:val="20"/>
                <w:lang w:val="en-AU" w:eastAsia="en-AU" w:bidi="ar-SA"/>
              </w:rPr>
            </w:pPr>
            <w:r w:rsidRPr="00C37450">
              <w:rPr>
                <w:rFonts w:ascii="Arial" w:eastAsia="Times New Roman" w:hAnsi="Arial" w:cs="Arial"/>
                <w:bCs/>
                <w:sz w:val="20"/>
                <w:szCs w:val="20"/>
                <w:lang w:val="en-AU" w:eastAsia="en-AU" w:bidi="ar-SA"/>
              </w:rPr>
              <w:t>Website costs</w:t>
            </w:r>
            <w:r w:rsidRPr="00C37450">
              <w:rPr>
                <w:rFonts w:ascii="Arial" w:eastAsia="Times New Roman" w:hAnsi="Arial" w:cs="Arial"/>
                <w:bCs/>
                <w:sz w:val="20"/>
                <w:szCs w:val="20"/>
                <w:lang w:val="en-AU" w:eastAsia="en-AU" w:bidi="ar-SA"/>
              </w:rPr>
              <w:br/>
              <w:t>$000</w:t>
            </w:r>
          </w:p>
        </w:tc>
        <w:tc>
          <w:tcPr>
            <w:tcW w:w="1498" w:type="dxa"/>
            <w:shd w:val="clear" w:color="auto" w:fill="auto"/>
            <w:noWrap/>
            <w:hideMark/>
          </w:tcPr>
          <w:p w:rsidR="002F21CB" w:rsidRPr="00C37450" w:rsidRDefault="00C37450" w:rsidP="000E1D3A">
            <w:pPr>
              <w:widowControl/>
              <w:autoSpaceDE/>
              <w:autoSpaceDN/>
              <w:rPr>
                <w:rFonts w:ascii="Times New Roman" w:eastAsia="Times New Roman" w:hAnsi="Times New Roman" w:cs="Times New Roman"/>
                <w:sz w:val="20"/>
                <w:szCs w:val="20"/>
                <w:lang w:val="en-AU" w:eastAsia="en-AU" w:bidi="ar-SA"/>
              </w:rPr>
            </w:pPr>
            <w:r>
              <w:rPr>
                <w:rFonts w:ascii="Arial" w:eastAsia="Times New Roman" w:hAnsi="Arial" w:cs="Arial"/>
                <w:bCs/>
                <w:sz w:val="20"/>
                <w:szCs w:val="20"/>
                <w:lang w:val="en-AU" w:eastAsia="en-AU" w:bidi="ar-SA"/>
              </w:rPr>
              <w:t xml:space="preserve">Work in Progress costs </w:t>
            </w:r>
            <w:r w:rsidR="002F21CB" w:rsidRPr="00C37450">
              <w:rPr>
                <w:rFonts w:ascii="Arial" w:eastAsia="Times New Roman" w:hAnsi="Arial" w:cs="Arial"/>
                <w:bCs/>
                <w:sz w:val="20"/>
                <w:szCs w:val="20"/>
                <w:lang w:val="en-AU" w:eastAsia="en-AU" w:bidi="ar-SA"/>
              </w:rPr>
              <w:t>$000</w:t>
            </w:r>
          </w:p>
        </w:tc>
        <w:tc>
          <w:tcPr>
            <w:tcW w:w="1486" w:type="dxa"/>
            <w:shd w:val="clear" w:color="auto" w:fill="auto"/>
            <w:noWrap/>
            <w:hideMark/>
          </w:tcPr>
          <w:p w:rsidR="002F21CB" w:rsidRPr="00C37450" w:rsidRDefault="00C37450" w:rsidP="000E1D3A">
            <w:pPr>
              <w:widowControl/>
              <w:autoSpaceDE/>
              <w:autoSpaceDN/>
              <w:jc w:val="right"/>
              <w:rPr>
                <w:rFonts w:ascii="Times New Roman" w:eastAsia="Times New Roman" w:hAnsi="Times New Roman" w:cs="Times New Roman"/>
                <w:sz w:val="20"/>
                <w:szCs w:val="20"/>
                <w:lang w:val="en-AU" w:eastAsia="en-AU" w:bidi="ar-SA"/>
              </w:rPr>
            </w:pPr>
            <w:r>
              <w:rPr>
                <w:rFonts w:ascii="Arial" w:eastAsia="Times New Roman" w:hAnsi="Arial" w:cs="Arial"/>
                <w:bCs/>
                <w:sz w:val="20"/>
                <w:szCs w:val="20"/>
                <w:lang w:val="en-AU" w:eastAsia="en-AU" w:bidi="ar-SA"/>
              </w:rPr>
              <w:t xml:space="preserve">Total </w:t>
            </w:r>
            <w:r w:rsidR="002F21CB" w:rsidRPr="00C37450">
              <w:rPr>
                <w:rFonts w:ascii="Arial" w:eastAsia="Times New Roman" w:hAnsi="Arial" w:cs="Arial"/>
                <w:bCs/>
                <w:sz w:val="20"/>
                <w:szCs w:val="20"/>
                <w:lang w:val="en-AU" w:eastAsia="en-AU" w:bidi="ar-SA"/>
              </w:rPr>
              <w:t>$000</w:t>
            </w:r>
          </w:p>
        </w:tc>
      </w:tr>
      <w:tr w:rsidR="002F21CB" w:rsidRPr="006E62E4" w:rsidTr="00C37450">
        <w:trPr>
          <w:trHeight w:val="255"/>
        </w:trPr>
        <w:tc>
          <w:tcPr>
            <w:tcW w:w="7076" w:type="dxa"/>
            <w:shd w:val="clear" w:color="000000" w:fill="FFFFFF"/>
            <w:noWrap/>
            <w:hideMark/>
          </w:tcPr>
          <w:p w:rsidR="002F21CB" w:rsidRPr="00CB598C" w:rsidRDefault="002F21CB" w:rsidP="000E1D3A">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Carrying amount at start of period</w:t>
            </w:r>
          </w:p>
        </w:tc>
        <w:tc>
          <w:tcPr>
            <w:tcW w:w="1495"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98"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86"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2F21CB" w:rsidRPr="006E62E4" w:rsidTr="00C37450">
        <w:trPr>
          <w:trHeight w:val="255"/>
        </w:trPr>
        <w:tc>
          <w:tcPr>
            <w:tcW w:w="7076" w:type="dxa"/>
            <w:shd w:val="clear" w:color="000000" w:fill="FFFFFF"/>
            <w:noWrap/>
            <w:hideMark/>
          </w:tcPr>
          <w:p w:rsidR="002F21CB" w:rsidRPr="00CB598C" w:rsidRDefault="002F21CB" w:rsidP="000E1D3A">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Additions</w:t>
            </w:r>
          </w:p>
        </w:tc>
        <w:tc>
          <w:tcPr>
            <w:tcW w:w="1495"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98"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86"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2F21CB" w:rsidRPr="006E62E4" w:rsidTr="00C37450">
        <w:trPr>
          <w:trHeight w:val="255"/>
        </w:trPr>
        <w:tc>
          <w:tcPr>
            <w:tcW w:w="7076" w:type="dxa"/>
            <w:shd w:val="clear" w:color="000000" w:fill="FFFFFF"/>
            <w:noWrap/>
            <w:hideMark/>
          </w:tcPr>
          <w:p w:rsidR="002F21CB" w:rsidRPr="00CB598C" w:rsidRDefault="002F21CB" w:rsidP="000E1D3A">
            <w:pPr>
              <w:widowControl/>
              <w:autoSpaceDE/>
              <w:autoSpaceDN/>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Amortisation expense</w:t>
            </w:r>
          </w:p>
        </w:tc>
        <w:tc>
          <w:tcPr>
            <w:tcW w:w="1495"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98"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c>
          <w:tcPr>
            <w:tcW w:w="1486" w:type="dxa"/>
            <w:shd w:val="clear" w:color="auto" w:fill="auto"/>
            <w:noWrap/>
            <w:hideMark/>
          </w:tcPr>
          <w:p w:rsidR="002F21CB" w:rsidRPr="006E62E4" w:rsidRDefault="002F21CB" w:rsidP="000E1D3A">
            <w:pPr>
              <w:widowControl/>
              <w:autoSpaceDE/>
              <w:autoSpaceDN/>
              <w:jc w:val="right"/>
              <w:rPr>
                <w:rFonts w:ascii="Arial" w:eastAsia="Times New Roman" w:hAnsi="Arial" w:cs="Arial"/>
                <w:sz w:val="20"/>
                <w:szCs w:val="20"/>
                <w:lang w:val="en-AU" w:eastAsia="en-AU" w:bidi="ar-SA"/>
              </w:rPr>
            </w:pPr>
            <w:r w:rsidRPr="006E62E4">
              <w:rPr>
                <w:rFonts w:ascii="Arial" w:eastAsia="Times New Roman" w:hAnsi="Arial" w:cs="Arial"/>
                <w:sz w:val="20"/>
                <w:szCs w:val="20"/>
                <w:lang w:val="en-AU" w:eastAsia="en-AU" w:bidi="ar-SA"/>
              </w:rPr>
              <w:t>0</w:t>
            </w:r>
          </w:p>
        </w:tc>
      </w:tr>
      <w:tr w:rsidR="002F21CB" w:rsidRPr="006E62E4" w:rsidTr="00C37450">
        <w:trPr>
          <w:trHeight w:val="255"/>
        </w:trPr>
        <w:tc>
          <w:tcPr>
            <w:tcW w:w="7076" w:type="dxa"/>
            <w:shd w:val="clear" w:color="000000" w:fill="FFFFFF"/>
            <w:noWrap/>
            <w:vAlign w:val="center"/>
            <w:hideMark/>
          </w:tcPr>
          <w:p w:rsidR="002F21CB" w:rsidRPr="00CB598C" w:rsidRDefault="002F21CB" w:rsidP="000E1D3A">
            <w:pPr>
              <w:widowControl/>
              <w:autoSpaceDE/>
              <w:autoSpaceDN/>
              <w:rPr>
                <w:rFonts w:ascii="Arial" w:eastAsia="Times New Roman" w:hAnsi="Arial" w:cs="Arial"/>
                <w:b/>
                <w:bCs/>
                <w:sz w:val="20"/>
                <w:szCs w:val="20"/>
                <w:lang w:val="en-AU" w:eastAsia="en-AU" w:bidi="ar-SA"/>
              </w:rPr>
            </w:pPr>
            <w:r w:rsidRPr="006E62E4">
              <w:rPr>
                <w:rFonts w:ascii="Arial" w:eastAsia="Times New Roman" w:hAnsi="Arial" w:cs="Arial"/>
                <w:b/>
                <w:bCs/>
                <w:sz w:val="20"/>
                <w:szCs w:val="20"/>
                <w:lang w:val="en-AU" w:eastAsia="en-AU" w:bidi="ar-SA"/>
              </w:rPr>
              <w:t>Carrying amount at end of period</w:t>
            </w:r>
          </w:p>
        </w:tc>
        <w:tc>
          <w:tcPr>
            <w:tcW w:w="1495" w:type="dxa"/>
            <w:shd w:val="clear" w:color="auto" w:fill="auto"/>
            <w:noWrap/>
            <w:hideMark/>
          </w:tcPr>
          <w:p w:rsidR="002F21CB" w:rsidRPr="006E62E4" w:rsidRDefault="002F21CB" w:rsidP="000E1D3A">
            <w:pPr>
              <w:widowControl/>
              <w:autoSpaceDE/>
              <w:autoSpaceDN/>
              <w:jc w:val="right"/>
              <w:rPr>
                <w:rFonts w:ascii="Arial" w:eastAsia="Times New Roman" w:hAnsi="Arial" w:cs="Arial"/>
                <w:b/>
                <w:bCs/>
                <w:sz w:val="20"/>
                <w:szCs w:val="20"/>
                <w:lang w:val="en-AU" w:eastAsia="en-AU" w:bidi="ar-SA"/>
              </w:rPr>
            </w:pPr>
            <w:r w:rsidRPr="006E62E4">
              <w:rPr>
                <w:rFonts w:ascii="Arial" w:eastAsia="Times New Roman" w:hAnsi="Arial" w:cs="Arial"/>
                <w:b/>
                <w:bCs/>
                <w:sz w:val="20"/>
                <w:szCs w:val="20"/>
                <w:lang w:val="en-AU" w:eastAsia="en-AU" w:bidi="ar-SA"/>
              </w:rPr>
              <w:t>0</w:t>
            </w:r>
          </w:p>
        </w:tc>
        <w:tc>
          <w:tcPr>
            <w:tcW w:w="1498" w:type="dxa"/>
            <w:shd w:val="clear" w:color="auto" w:fill="auto"/>
            <w:noWrap/>
            <w:hideMark/>
          </w:tcPr>
          <w:p w:rsidR="002F21CB" w:rsidRPr="006E62E4" w:rsidRDefault="002F21CB" w:rsidP="000E1D3A">
            <w:pPr>
              <w:widowControl/>
              <w:autoSpaceDE/>
              <w:autoSpaceDN/>
              <w:jc w:val="right"/>
              <w:rPr>
                <w:rFonts w:ascii="Arial" w:eastAsia="Times New Roman" w:hAnsi="Arial" w:cs="Arial"/>
                <w:b/>
                <w:bCs/>
                <w:sz w:val="20"/>
                <w:szCs w:val="20"/>
                <w:lang w:val="en-AU" w:eastAsia="en-AU" w:bidi="ar-SA"/>
              </w:rPr>
            </w:pPr>
            <w:r w:rsidRPr="006E62E4">
              <w:rPr>
                <w:rFonts w:ascii="Arial" w:eastAsia="Times New Roman" w:hAnsi="Arial" w:cs="Arial"/>
                <w:b/>
                <w:bCs/>
                <w:sz w:val="20"/>
                <w:szCs w:val="20"/>
                <w:lang w:val="en-AU" w:eastAsia="en-AU" w:bidi="ar-SA"/>
              </w:rPr>
              <w:t>0</w:t>
            </w:r>
          </w:p>
        </w:tc>
        <w:tc>
          <w:tcPr>
            <w:tcW w:w="1486" w:type="dxa"/>
            <w:shd w:val="clear" w:color="auto" w:fill="auto"/>
            <w:noWrap/>
            <w:hideMark/>
          </w:tcPr>
          <w:p w:rsidR="002F21CB" w:rsidRPr="006E62E4" w:rsidRDefault="002F21CB" w:rsidP="000E1D3A">
            <w:pPr>
              <w:widowControl/>
              <w:autoSpaceDE/>
              <w:autoSpaceDN/>
              <w:jc w:val="right"/>
              <w:rPr>
                <w:rFonts w:ascii="Arial" w:eastAsia="Times New Roman" w:hAnsi="Arial" w:cs="Arial"/>
                <w:b/>
                <w:bCs/>
                <w:sz w:val="20"/>
                <w:szCs w:val="20"/>
                <w:lang w:val="en-AU" w:eastAsia="en-AU" w:bidi="ar-SA"/>
              </w:rPr>
            </w:pPr>
            <w:r w:rsidRPr="006E62E4">
              <w:rPr>
                <w:rFonts w:ascii="Arial" w:eastAsia="Times New Roman" w:hAnsi="Arial" w:cs="Arial"/>
                <w:b/>
                <w:bCs/>
                <w:sz w:val="20"/>
                <w:szCs w:val="20"/>
                <w:lang w:val="en-AU" w:eastAsia="en-AU" w:bidi="ar-SA"/>
              </w:rPr>
              <w:t>0</w:t>
            </w:r>
          </w:p>
        </w:tc>
      </w:tr>
    </w:tbl>
    <w:p w:rsidR="003D52B9" w:rsidRDefault="003D52B9">
      <w:pPr>
        <w:rPr>
          <w:sz w:val="32"/>
          <w:szCs w:val="32"/>
          <w:lang w:val="en-AU" w:eastAsia="en-AU" w:bidi="ar-SA"/>
        </w:rPr>
      </w:pPr>
      <w:r>
        <w:rPr>
          <w:lang w:val="en-AU" w:eastAsia="en-AU" w:bidi="ar-SA"/>
        </w:rPr>
        <w:br w:type="page"/>
      </w:r>
    </w:p>
    <w:p w:rsidR="006E62E4" w:rsidRDefault="003D52B9" w:rsidP="0054212C">
      <w:pPr>
        <w:pStyle w:val="Heading2"/>
        <w:ind w:left="284"/>
        <w:rPr>
          <w:lang w:val="en-AU" w:eastAsia="en-AU" w:bidi="ar-SA"/>
        </w:rPr>
      </w:pPr>
      <w:r>
        <w:rPr>
          <w:lang w:val="en-AU" w:eastAsia="en-AU" w:bidi="ar-SA"/>
        </w:rPr>
        <w:lastRenderedPageBreak/>
        <w:t>Note 17. Impairment of assets</w:t>
      </w:r>
    </w:p>
    <w:p w:rsidR="003D52B9" w:rsidRDefault="003D52B9" w:rsidP="0054212C">
      <w:pPr>
        <w:pStyle w:val="BodyText"/>
        <w:ind w:left="284"/>
        <w:rPr>
          <w:lang w:val="en-AU" w:eastAsia="en-AU" w:bidi="ar-SA"/>
        </w:rPr>
      </w:pPr>
      <w:r w:rsidRPr="003D52B9">
        <w:rPr>
          <w:lang w:val="en-AU" w:eastAsia="en-AU" w:bidi="ar-SA"/>
        </w:rPr>
        <w:t>There were no indications of impairment to intangible assets at 30 June 2018.</w:t>
      </w:r>
    </w:p>
    <w:p w:rsidR="003D52B9" w:rsidRDefault="003D52B9" w:rsidP="0054212C">
      <w:pPr>
        <w:pStyle w:val="BodyText"/>
        <w:ind w:left="284"/>
        <w:rPr>
          <w:lang w:val="en-AU" w:eastAsia="en-AU" w:bidi="ar-SA"/>
        </w:rPr>
      </w:pPr>
      <w:r w:rsidRPr="003D52B9">
        <w:rPr>
          <w:lang w:val="en-AU" w:eastAsia="en-AU" w:bidi="ar-SA"/>
        </w:rPr>
        <w:t>The sub-department held no goodwill or intangible assets with an indefinite useful life during the reporting period.</w:t>
      </w:r>
    </w:p>
    <w:p w:rsidR="003D52B9" w:rsidRDefault="003D52B9" w:rsidP="0054212C">
      <w:pPr>
        <w:pStyle w:val="Heading2"/>
        <w:ind w:left="284"/>
        <w:rPr>
          <w:lang w:val="en-AU" w:eastAsia="en-AU" w:bidi="ar-SA"/>
        </w:rPr>
      </w:pPr>
      <w:r w:rsidRPr="003D52B9">
        <w:rPr>
          <w:lang w:val="en-AU" w:eastAsia="en-AU" w:bidi="ar-SA"/>
        </w:rPr>
        <w:t>Note 18. Payables</w:t>
      </w:r>
    </w:p>
    <w:tbl>
      <w:tblPr>
        <w:tblW w:w="11563" w:type="dxa"/>
        <w:tblInd w:w="279" w:type="dxa"/>
        <w:tblLook w:val="04A0" w:firstRow="1" w:lastRow="0" w:firstColumn="1" w:lastColumn="0" w:noHBand="0" w:noVBand="1"/>
      </w:tblPr>
      <w:tblGrid>
        <w:gridCol w:w="9072"/>
        <w:gridCol w:w="988"/>
        <w:gridCol w:w="7"/>
        <w:gridCol w:w="1490"/>
        <w:gridCol w:w="6"/>
      </w:tblGrid>
      <w:tr w:rsidR="00CB598C" w:rsidRPr="003D52B9" w:rsidTr="0054212C">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2F21CB" w:rsidP="003D52B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Current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CB598C" w:rsidRPr="003D52B9" w:rsidTr="0054212C">
        <w:trPr>
          <w:gridAfter w:val="1"/>
          <w:wAfter w:w="6" w:type="dxa"/>
          <w:trHeight w:val="255"/>
        </w:trPr>
        <w:tc>
          <w:tcPr>
            <w:tcW w:w="90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Trade payables</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11</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787</w:t>
            </w:r>
          </w:p>
        </w:tc>
      </w:tr>
      <w:tr w:rsidR="00CB598C" w:rsidRPr="003D52B9" w:rsidTr="0054212C">
        <w:trPr>
          <w:gridAfter w:val="1"/>
          <w:wAfter w:w="6" w:type="dxa"/>
          <w:trHeight w:val="255"/>
        </w:trPr>
        <w:tc>
          <w:tcPr>
            <w:tcW w:w="90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Accrued salaries</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15</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13</w:t>
            </w:r>
          </w:p>
        </w:tc>
      </w:tr>
      <w:tr w:rsidR="00CB598C" w:rsidRPr="003D52B9" w:rsidTr="0054212C">
        <w:trPr>
          <w:gridAfter w:val="1"/>
          <w:wAfter w:w="6" w:type="dxa"/>
          <w:trHeight w:val="255"/>
        </w:trPr>
        <w:tc>
          <w:tcPr>
            <w:tcW w:w="90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Accrued expenses</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100</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409</w:t>
            </w:r>
          </w:p>
        </w:tc>
      </w:tr>
      <w:tr w:rsidR="00CB598C" w:rsidRPr="003D52B9" w:rsidTr="0054212C">
        <w:trPr>
          <w:gridAfter w:val="1"/>
          <w:wAfter w:w="6" w:type="dxa"/>
          <w:trHeight w:val="270"/>
        </w:trPr>
        <w:tc>
          <w:tcPr>
            <w:tcW w:w="90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Total current</w:t>
            </w:r>
          </w:p>
        </w:tc>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126</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1,209</w:t>
            </w:r>
          </w:p>
        </w:tc>
      </w:tr>
    </w:tbl>
    <w:p w:rsidR="003D52B9" w:rsidRDefault="003D52B9" w:rsidP="0054212C">
      <w:pPr>
        <w:pStyle w:val="Heading2"/>
        <w:ind w:left="284"/>
        <w:rPr>
          <w:lang w:val="en-AU" w:eastAsia="en-AU" w:bidi="ar-SA"/>
        </w:rPr>
      </w:pPr>
      <w:r w:rsidRPr="003D52B9">
        <w:rPr>
          <w:lang w:val="en-AU" w:eastAsia="en-AU" w:bidi="ar-SA"/>
        </w:rPr>
        <w:t>Note 19. Other current liabilities</w:t>
      </w:r>
    </w:p>
    <w:tbl>
      <w:tblPr>
        <w:tblW w:w="11563" w:type="dxa"/>
        <w:tblInd w:w="279" w:type="dxa"/>
        <w:tblLook w:val="04A0" w:firstRow="1" w:lastRow="0" w:firstColumn="1" w:lastColumn="0" w:noHBand="0" w:noVBand="1"/>
      </w:tblPr>
      <w:tblGrid>
        <w:gridCol w:w="8505"/>
        <w:gridCol w:w="1417"/>
        <w:gridCol w:w="1635"/>
        <w:gridCol w:w="6"/>
      </w:tblGrid>
      <w:tr w:rsidR="00CB598C" w:rsidRPr="003D52B9" w:rsidTr="0054212C">
        <w:trPr>
          <w:trHeight w:val="370"/>
        </w:trPr>
        <w:tc>
          <w:tcPr>
            <w:tcW w:w="8505"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 </w:t>
            </w:r>
            <w:r w:rsidR="002F21CB">
              <w:rPr>
                <w:rFonts w:ascii="Arial" w:eastAsia="Times New Roman" w:hAnsi="Arial" w:cs="Arial"/>
                <w:sz w:val="20"/>
                <w:szCs w:val="20"/>
                <w:lang w:val="en-AU" w:eastAsia="en-AU" w:bidi="ar-SA"/>
              </w:rPr>
              <w:t>Current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CB598C" w:rsidRPr="003D52B9" w:rsidTr="0054212C">
        <w:trPr>
          <w:gridAfter w:val="1"/>
          <w:wAfter w:w="6" w:type="dxa"/>
          <w:trHeight w:val="285"/>
        </w:trPr>
        <w:tc>
          <w:tcPr>
            <w:tcW w:w="8505"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Other liabilities</w:t>
            </w:r>
            <w:r w:rsidRPr="003D52B9">
              <w:rPr>
                <w:rFonts w:ascii="Arial" w:eastAsia="Times New Roman" w:hAnsi="Arial" w:cs="Arial"/>
                <w:sz w:val="20"/>
                <w:szCs w:val="20"/>
                <w:vertAlign w:val="superscript"/>
                <w:lang w:val="en-AU" w:eastAsia="en-AU" w:bidi="ar-SA"/>
              </w:rPr>
              <w:t>(a)</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1,746</w:t>
            </w:r>
          </w:p>
        </w:tc>
      </w:tr>
      <w:tr w:rsidR="00CB598C" w:rsidRPr="003D52B9" w:rsidTr="0054212C">
        <w:trPr>
          <w:gridAfter w:val="1"/>
          <w:wAfter w:w="6" w:type="dxa"/>
          <w:trHeight w:val="270"/>
        </w:trPr>
        <w:tc>
          <w:tcPr>
            <w:tcW w:w="8505"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Total current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0</w:t>
            </w:r>
          </w:p>
        </w:tc>
        <w:tc>
          <w:tcPr>
            <w:tcW w:w="1635"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b/>
                <w:bCs/>
                <w:sz w:val="18"/>
                <w:szCs w:val="18"/>
                <w:lang w:val="en-AU" w:eastAsia="en-AU" w:bidi="ar-SA"/>
              </w:rPr>
            </w:pPr>
            <w:r w:rsidRPr="003D52B9">
              <w:rPr>
                <w:rFonts w:ascii="Arial" w:eastAsia="Times New Roman" w:hAnsi="Arial" w:cs="Arial"/>
                <w:b/>
                <w:bCs/>
                <w:sz w:val="18"/>
                <w:szCs w:val="18"/>
                <w:lang w:val="en-AU" w:eastAsia="en-AU" w:bidi="ar-SA"/>
              </w:rPr>
              <w:t>1,746</w:t>
            </w:r>
          </w:p>
        </w:tc>
      </w:tr>
    </w:tbl>
    <w:p w:rsidR="003D52B9" w:rsidRDefault="003D52B9" w:rsidP="0054212C">
      <w:pPr>
        <w:pStyle w:val="BodyText"/>
        <w:numPr>
          <w:ilvl w:val="0"/>
          <w:numId w:val="27"/>
        </w:numPr>
        <w:ind w:right="396" w:hanging="76"/>
        <w:rPr>
          <w:lang w:val="en-AU" w:eastAsia="en-AU" w:bidi="ar-SA"/>
        </w:rPr>
      </w:pPr>
      <w:r w:rsidRPr="003D52B9">
        <w:rPr>
          <w:lang w:val="en-AU" w:eastAsia="en-AU" w:bidi="ar-SA"/>
        </w:rPr>
        <w:t>In 2016-17, there was a reflow of Innovation Fund appropriation received from Treasury that was to be repaid in 2017-18 and reallocated to the Department of Jobs, Tourism, Science and Innovation.</w:t>
      </w:r>
    </w:p>
    <w:p w:rsidR="003D52B9" w:rsidRPr="003D52B9" w:rsidRDefault="003D52B9" w:rsidP="003D52B9">
      <w:pPr>
        <w:rPr>
          <w:sz w:val="24"/>
          <w:szCs w:val="24"/>
          <w:lang w:val="en-AU" w:eastAsia="en-AU" w:bidi="ar-SA"/>
        </w:rPr>
      </w:pPr>
      <w:r>
        <w:rPr>
          <w:lang w:val="en-AU" w:eastAsia="en-AU" w:bidi="ar-SA"/>
        </w:rPr>
        <w:br w:type="page"/>
      </w:r>
    </w:p>
    <w:p w:rsidR="003D52B9" w:rsidRPr="003D52B9" w:rsidRDefault="003D52B9" w:rsidP="003D52B9">
      <w:pPr>
        <w:rPr>
          <w:sz w:val="24"/>
          <w:szCs w:val="24"/>
          <w:lang w:val="en-AU" w:eastAsia="en-AU" w:bidi="ar-SA"/>
        </w:rPr>
      </w:pPr>
    </w:p>
    <w:p w:rsidR="003D52B9" w:rsidRDefault="003D52B9" w:rsidP="0054212C">
      <w:pPr>
        <w:pStyle w:val="Heading2"/>
        <w:ind w:left="426"/>
        <w:rPr>
          <w:lang w:val="en-AU" w:eastAsia="en-AU" w:bidi="ar-SA"/>
        </w:rPr>
      </w:pPr>
      <w:r>
        <w:rPr>
          <w:lang w:val="en-AU" w:eastAsia="en-AU" w:bidi="ar-SA"/>
        </w:rPr>
        <w:t>Note 20. Provisions</w:t>
      </w:r>
    </w:p>
    <w:tbl>
      <w:tblPr>
        <w:tblW w:w="11556" w:type="dxa"/>
        <w:tblInd w:w="279" w:type="dxa"/>
        <w:tblLook w:val="04A0" w:firstRow="1" w:lastRow="0" w:firstColumn="1" w:lastColumn="0" w:noHBand="0" w:noVBand="1"/>
      </w:tblPr>
      <w:tblGrid>
        <w:gridCol w:w="8612"/>
        <w:gridCol w:w="1472"/>
        <w:gridCol w:w="1472"/>
      </w:tblGrid>
      <w:tr w:rsidR="00CB598C" w:rsidRPr="003D52B9" w:rsidTr="0054212C">
        <w:trPr>
          <w:trHeight w:val="51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54212C" w:rsidRDefault="002F21CB" w:rsidP="003D52B9">
            <w:pPr>
              <w:widowControl/>
              <w:autoSpaceDE/>
              <w:autoSpaceDN/>
              <w:rPr>
                <w:rFonts w:ascii="Arial" w:eastAsia="Times New Roman" w:hAnsi="Arial" w:cs="Arial"/>
                <w:sz w:val="20"/>
                <w:szCs w:val="20"/>
                <w:lang w:val="en-AU" w:eastAsia="en-AU" w:bidi="ar-SA"/>
              </w:rPr>
            </w:pPr>
            <w:r w:rsidRPr="0054212C">
              <w:rPr>
                <w:rFonts w:ascii="Arial" w:eastAsia="Times New Roman" w:hAnsi="Arial" w:cs="Arial"/>
                <w:sz w:val="20"/>
                <w:szCs w:val="20"/>
                <w:lang w:val="en-AU" w:eastAsia="en-AU" w:bidi="ar-SA"/>
              </w:rPr>
              <w:t>Current – Employee benefits provision</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8E23C2" w:rsidRDefault="00CB598C" w:rsidP="003D52B9">
            <w:pPr>
              <w:widowControl/>
              <w:autoSpaceDE/>
              <w:autoSpaceDN/>
              <w:jc w:val="right"/>
              <w:rPr>
                <w:rFonts w:ascii="Arial" w:eastAsia="Times New Roman" w:hAnsi="Arial" w:cs="Arial"/>
                <w:bCs/>
                <w:sz w:val="20"/>
                <w:szCs w:val="20"/>
                <w:lang w:val="en-AU" w:eastAsia="en-AU" w:bidi="ar-SA"/>
              </w:rPr>
            </w:pPr>
            <w:r w:rsidRPr="008E23C2">
              <w:rPr>
                <w:rFonts w:ascii="Arial" w:eastAsia="Times New Roman" w:hAnsi="Arial" w:cs="Arial"/>
                <w:bCs/>
                <w:sz w:val="20"/>
                <w:szCs w:val="20"/>
                <w:lang w:val="en-AU" w:eastAsia="en-AU" w:bidi="ar-SA"/>
              </w:rPr>
              <w:t>2018</w:t>
            </w:r>
            <w:r w:rsidRPr="008E23C2">
              <w:rPr>
                <w:rFonts w:ascii="Arial" w:eastAsia="Times New Roman" w:hAnsi="Arial" w:cs="Arial"/>
                <w:bCs/>
                <w:sz w:val="20"/>
                <w:szCs w:val="20"/>
                <w:lang w:val="en-AU" w:eastAsia="en-AU" w:bidi="ar-SA"/>
              </w:rPr>
              <w:br/>
              <w:t>$000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98C" w:rsidRPr="008E23C2" w:rsidRDefault="00CB598C" w:rsidP="003D52B9">
            <w:pPr>
              <w:widowControl/>
              <w:autoSpaceDE/>
              <w:autoSpaceDN/>
              <w:jc w:val="right"/>
              <w:rPr>
                <w:rFonts w:ascii="Arial" w:eastAsia="Times New Roman" w:hAnsi="Arial" w:cs="Arial"/>
                <w:bCs/>
                <w:sz w:val="20"/>
                <w:szCs w:val="20"/>
                <w:lang w:val="en-AU" w:eastAsia="en-AU" w:bidi="ar-SA"/>
              </w:rPr>
            </w:pPr>
            <w:r w:rsidRPr="008E23C2">
              <w:rPr>
                <w:rFonts w:ascii="Arial" w:eastAsia="Times New Roman" w:hAnsi="Arial" w:cs="Arial"/>
                <w:bCs/>
                <w:sz w:val="20"/>
                <w:szCs w:val="20"/>
                <w:lang w:val="en-AU" w:eastAsia="en-AU" w:bidi="ar-SA"/>
              </w:rPr>
              <w:t>2017</w:t>
            </w:r>
            <w:r w:rsidRPr="008E23C2">
              <w:rPr>
                <w:rFonts w:ascii="Arial" w:eastAsia="Times New Roman" w:hAnsi="Arial" w:cs="Arial"/>
                <w:bCs/>
                <w:sz w:val="20"/>
                <w:szCs w:val="20"/>
                <w:lang w:val="en-AU" w:eastAsia="en-AU" w:bidi="ar-SA"/>
              </w:rPr>
              <w:br/>
              <w:t>$000</w:t>
            </w:r>
          </w:p>
        </w:tc>
      </w:tr>
      <w:tr w:rsidR="00CB598C" w:rsidRPr="003D52B9" w:rsidTr="0054212C">
        <w:trPr>
          <w:trHeight w:val="28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Annual leave</w:t>
            </w:r>
            <w:r w:rsidRPr="003D52B9">
              <w:rPr>
                <w:rFonts w:ascii="Arial" w:eastAsia="Times New Roman" w:hAnsi="Arial" w:cs="Arial"/>
                <w:sz w:val="20"/>
                <w:szCs w:val="20"/>
                <w:vertAlign w:val="superscript"/>
                <w:lang w:val="en-AU" w:eastAsia="en-AU" w:bidi="ar-SA"/>
              </w:rPr>
              <w:t>(a)</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319</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282</w:t>
            </w:r>
          </w:p>
        </w:tc>
      </w:tr>
      <w:tr w:rsidR="00CB598C" w:rsidRPr="003D52B9" w:rsidTr="0054212C">
        <w:trPr>
          <w:trHeight w:val="28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Long service leave</w:t>
            </w:r>
            <w:r w:rsidRPr="003D52B9">
              <w:rPr>
                <w:rFonts w:ascii="Arial" w:eastAsia="Times New Roman" w:hAnsi="Arial" w:cs="Arial"/>
                <w:sz w:val="20"/>
                <w:szCs w:val="20"/>
                <w:vertAlign w:val="superscript"/>
                <w:lang w:val="en-AU" w:eastAsia="en-AU" w:bidi="ar-SA"/>
              </w:rPr>
              <w:t>(b)</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457</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560</w:t>
            </w:r>
          </w:p>
        </w:tc>
      </w:tr>
      <w:tr w:rsidR="00CB598C" w:rsidRPr="003D52B9" w:rsidTr="0054212C">
        <w:trPr>
          <w:trHeight w:val="25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2F21CB" w:rsidP="003D52B9">
            <w:pPr>
              <w:widowControl/>
              <w:autoSpaceDE/>
              <w:autoSpaceDN/>
              <w:rPr>
                <w:rFonts w:ascii="Times New Roman" w:eastAsia="Times New Roman" w:hAnsi="Times New Roman" w:cs="Times New Roman"/>
                <w:sz w:val="20"/>
                <w:szCs w:val="20"/>
                <w:lang w:val="en-AU" w:eastAsia="en-AU" w:bidi="ar-SA"/>
              </w:rPr>
            </w:pPr>
            <w:r w:rsidRPr="002F21CB">
              <w:rPr>
                <w:rFonts w:ascii="Arial" w:eastAsia="Times New Roman" w:hAnsi="Arial" w:cs="Arial"/>
                <w:sz w:val="20"/>
                <w:szCs w:val="20"/>
                <w:lang w:val="en-AU" w:eastAsia="en-AU" w:bidi="ar-SA"/>
              </w:rPr>
              <w:t>Total</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776</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842</w:t>
            </w:r>
          </w:p>
        </w:tc>
      </w:tr>
    </w:tbl>
    <w:p w:rsidR="008E23C2" w:rsidRDefault="008E23C2" w:rsidP="008E23C2">
      <w:pPr>
        <w:pStyle w:val="BodyText"/>
        <w:rPr>
          <w:lang w:val="en-AU" w:eastAsia="en-AU" w:bidi="ar-SA"/>
        </w:rPr>
      </w:pPr>
    </w:p>
    <w:tbl>
      <w:tblPr>
        <w:tblW w:w="11556" w:type="dxa"/>
        <w:tblInd w:w="279" w:type="dxa"/>
        <w:tblLook w:val="04A0" w:firstRow="1" w:lastRow="0" w:firstColumn="1" w:lastColumn="0" w:noHBand="0" w:noVBand="1"/>
      </w:tblPr>
      <w:tblGrid>
        <w:gridCol w:w="8612"/>
        <w:gridCol w:w="1472"/>
        <w:gridCol w:w="1472"/>
      </w:tblGrid>
      <w:tr w:rsidR="008E23C2" w:rsidRPr="008E23C2" w:rsidTr="0054212C">
        <w:trPr>
          <w:trHeight w:val="27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Other provisions</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2018 $000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2017 $000</w:t>
            </w:r>
          </w:p>
        </w:tc>
      </w:tr>
      <w:tr w:rsidR="008E23C2" w:rsidRPr="003D52B9" w:rsidTr="0054212C">
        <w:trPr>
          <w:trHeight w:val="28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Employment on-costs</w:t>
            </w:r>
            <w:r w:rsidRPr="008E23C2">
              <w:rPr>
                <w:rFonts w:ascii="Arial" w:eastAsia="Times New Roman" w:hAnsi="Arial" w:cs="Arial"/>
                <w:sz w:val="20"/>
                <w:szCs w:val="20"/>
                <w:lang w:val="en-AU" w:eastAsia="en-AU" w:bidi="ar-SA"/>
              </w:rPr>
              <w:t>(c)</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w:t>
            </w:r>
          </w:p>
        </w:tc>
      </w:tr>
      <w:tr w:rsidR="008E23C2" w:rsidRPr="003D52B9" w:rsidTr="0054212C">
        <w:trPr>
          <w:trHeight w:val="25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Total</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w:t>
            </w:r>
          </w:p>
        </w:tc>
      </w:tr>
      <w:tr w:rsidR="008E23C2" w:rsidRPr="008E23C2" w:rsidTr="0054212C">
        <w:trPr>
          <w:trHeight w:val="27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Total employee benefits provision and Employment on-costs</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777</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844</w:t>
            </w:r>
          </w:p>
        </w:tc>
      </w:tr>
    </w:tbl>
    <w:p w:rsidR="008E23C2" w:rsidRPr="008E23C2" w:rsidRDefault="008E23C2" w:rsidP="008E23C2">
      <w:pPr>
        <w:widowControl/>
        <w:autoSpaceDE/>
        <w:autoSpaceDN/>
        <w:rPr>
          <w:rFonts w:ascii="Arial" w:eastAsia="Times New Roman" w:hAnsi="Arial" w:cs="Arial"/>
          <w:sz w:val="20"/>
          <w:szCs w:val="20"/>
          <w:lang w:val="en-AU" w:eastAsia="en-AU" w:bidi="ar-SA"/>
        </w:rPr>
      </w:pPr>
    </w:p>
    <w:tbl>
      <w:tblPr>
        <w:tblW w:w="11556" w:type="dxa"/>
        <w:tblInd w:w="279" w:type="dxa"/>
        <w:tblLook w:val="04A0" w:firstRow="1" w:lastRow="0" w:firstColumn="1" w:lastColumn="0" w:noHBand="0" w:noVBand="1"/>
      </w:tblPr>
      <w:tblGrid>
        <w:gridCol w:w="8612"/>
        <w:gridCol w:w="1472"/>
        <w:gridCol w:w="1472"/>
      </w:tblGrid>
      <w:tr w:rsidR="008E23C2" w:rsidRPr="008E23C2" w:rsidTr="0054212C">
        <w:trPr>
          <w:trHeight w:val="27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Non-current – Employee benefits provision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2018 $000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2017 $000</w:t>
            </w:r>
          </w:p>
        </w:tc>
      </w:tr>
      <w:tr w:rsidR="008E23C2" w:rsidRPr="003D52B9" w:rsidTr="0054212C">
        <w:trPr>
          <w:trHeight w:val="30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Long service leave</w:t>
            </w:r>
            <w:r w:rsidRPr="008E23C2">
              <w:rPr>
                <w:rFonts w:ascii="Arial" w:eastAsia="Times New Roman" w:hAnsi="Arial" w:cs="Arial"/>
                <w:sz w:val="20"/>
                <w:szCs w:val="20"/>
                <w:lang w:val="en-AU" w:eastAsia="en-AU" w:bidi="ar-SA"/>
              </w:rPr>
              <w:t>(b)</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215</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144</w:t>
            </w:r>
          </w:p>
        </w:tc>
      </w:tr>
      <w:tr w:rsidR="008E23C2" w:rsidRPr="003D52B9" w:rsidTr="0054212C">
        <w:trPr>
          <w:trHeight w:val="25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Total</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215</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144</w:t>
            </w:r>
          </w:p>
        </w:tc>
      </w:tr>
    </w:tbl>
    <w:p w:rsidR="008E23C2" w:rsidRPr="008E23C2" w:rsidRDefault="008E23C2" w:rsidP="008E23C2">
      <w:pPr>
        <w:widowControl/>
        <w:autoSpaceDE/>
        <w:autoSpaceDN/>
        <w:rPr>
          <w:rFonts w:ascii="Arial" w:eastAsia="Times New Roman" w:hAnsi="Arial" w:cs="Arial"/>
          <w:sz w:val="20"/>
          <w:szCs w:val="20"/>
          <w:lang w:val="en-AU" w:eastAsia="en-AU" w:bidi="ar-SA"/>
        </w:rPr>
      </w:pPr>
    </w:p>
    <w:tbl>
      <w:tblPr>
        <w:tblW w:w="11556" w:type="dxa"/>
        <w:tblInd w:w="279" w:type="dxa"/>
        <w:tblLook w:val="04A0" w:firstRow="1" w:lastRow="0" w:firstColumn="1" w:lastColumn="0" w:noHBand="0" w:noVBand="1"/>
      </w:tblPr>
      <w:tblGrid>
        <w:gridCol w:w="8612"/>
        <w:gridCol w:w="1472"/>
        <w:gridCol w:w="1472"/>
      </w:tblGrid>
      <w:tr w:rsidR="008E23C2" w:rsidRPr="008E23C2" w:rsidTr="0054212C">
        <w:trPr>
          <w:trHeight w:val="25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Other provisions</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2018 $000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2017 $000</w:t>
            </w:r>
          </w:p>
        </w:tc>
      </w:tr>
      <w:tr w:rsidR="008E23C2" w:rsidRPr="003D52B9" w:rsidTr="0054212C">
        <w:trPr>
          <w:trHeight w:val="28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Employment on-costs</w:t>
            </w:r>
            <w:r w:rsidRPr="008E23C2">
              <w:rPr>
                <w:rFonts w:ascii="Arial" w:eastAsia="Times New Roman" w:hAnsi="Arial" w:cs="Arial"/>
                <w:sz w:val="20"/>
                <w:szCs w:val="20"/>
                <w:lang w:val="en-AU" w:eastAsia="en-AU" w:bidi="ar-SA"/>
              </w:rPr>
              <w:t>(c)</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r>
      <w:tr w:rsidR="008E23C2" w:rsidRPr="003D52B9" w:rsidTr="0054212C">
        <w:trPr>
          <w:trHeight w:val="255"/>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Total</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3D52B9" w:rsidRDefault="008E23C2" w:rsidP="008E23C2">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r>
      <w:tr w:rsidR="008E23C2" w:rsidRPr="008E23C2" w:rsidTr="0054212C">
        <w:trPr>
          <w:trHeight w:val="270"/>
        </w:trPr>
        <w:tc>
          <w:tcPr>
            <w:tcW w:w="861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0E1D3A">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Total Employee benefits provision and other provisions</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215</w:t>
            </w:r>
          </w:p>
        </w:tc>
        <w:tc>
          <w:tcPr>
            <w:tcW w:w="1472" w:type="dxa"/>
            <w:tcBorders>
              <w:top w:val="single" w:sz="4" w:space="0" w:color="auto"/>
              <w:left w:val="single" w:sz="4" w:space="0" w:color="auto"/>
              <w:bottom w:val="single" w:sz="4" w:space="0" w:color="auto"/>
              <w:right w:val="single" w:sz="4" w:space="0" w:color="auto"/>
            </w:tcBorders>
            <w:shd w:val="clear" w:color="auto" w:fill="auto"/>
            <w:noWrap/>
            <w:hideMark/>
          </w:tcPr>
          <w:p w:rsidR="008E23C2" w:rsidRPr="008E23C2" w:rsidRDefault="008E23C2" w:rsidP="008E23C2">
            <w:pPr>
              <w:widowControl/>
              <w:autoSpaceDE/>
              <w:autoSpaceDN/>
              <w:rPr>
                <w:rFonts w:ascii="Arial" w:eastAsia="Times New Roman" w:hAnsi="Arial" w:cs="Arial"/>
                <w:sz w:val="20"/>
                <w:szCs w:val="20"/>
                <w:lang w:val="en-AU" w:eastAsia="en-AU" w:bidi="ar-SA"/>
              </w:rPr>
            </w:pPr>
            <w:r w:rsidRPr="008E23C2">
              <w:rPr>
                <w:rFonts w:ascii="Arial" w:eastAsia="Times New Roman" w:hAnsi="Arial" w:cs="Arial"/>
                <w:sz w:val="20"/>
                <w:szCs w:val="20"/>
                <w:lang w:val="en-AU" w:eastAsia="en-AU" w:bidi="ar-SA"/>
              </w:rPr>
              <w:t>144</w:t>
            </w:r>
          </w:p>
        </w:tc>
      </w:tr>
    </w:tbl>
    <w:p w:rsidR="008E23C2" w:rsidRDefault="008E23C2" w:rsidP="008E23C2">
      <w:pPr>
        <w:pStyle w:val="BodyText"/>
        <w:rPr>
          <w:lang w:val="en-AU" w:eastAsia="en-AU" w:bidi="ar-SA"/>
        </w:rPr>
      </w:pPr>
    </w:p>
    <w:p w:rsidR="003D52B9" w:rsidRPr="008E23C2" w:rsidRDefault="003D52B9" w:rsidP="008E23C2">
      <w:pPr>
        <w:pStyle w:val="BodyText"/>
        <w:numPr>
          <w:ilvl w:val="0"/>
          <w:numId w:val="28"/>
        </w:numPr>
        <w:rPr>
          <w:lang w:val="en-AU" w:eastAsia="en-AU" w:bidi="ar-SA"/>
        </w:rPr>
      </w:pPr>
      <w:r w:rsidRPr="008E23C2">
        <w:rPr>
          <w:lang w:val="en-AU" w:eastAsia="en-AU" w:bidi="ar-SA"/>
        </w:rPr>
        <w:t>Annual leave liabilities have been classified as current as there is no unconditional right to defer settlement for at least 12 months after the end of the reporting period. Assessments indicate that actual settlement of the liabilities is expected to occur as follows:</w:t>
      </w:r>
    </w:p>
    <w:tbl>
      <w:tblPr>
        <w:tblW w:w="11574" w:type="dxa"/>
        <w:tblInd w:w="279" w:type="dxa"/>
        <w:tblLook w:val="04A0" w:firstRow="1" w:lastRow="0" w:firstColumn="1" w:lastColumn="0" w:noHBand="0" w:noVBand="1"/>
      </w:tblPr>
      <w:tblGrid>
        <w:gridCol w:w="8572"/>
        <w:gridCol w:w="1501"/>
        <w:gridCol w:w="1501"/>
      </w:tblGrid>
      <w:tr w:rsidR="00CB598C" w:rsidRPr="003D52B9" w:rsidTr="0054212C">
        <w:trPr>
          <w:trHeight w:val="510"/>
        </w:trPr>
        <w:tc>
          <w:tcPr>
            <w:tcW w:w="85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3D52B9" w:rsidRDefault="00CB598C" w:rsidP="003D52B9">
            <w:pPr>
              <w:widowControl/>
              <w:autoSpaceDE/>
              <w:autoSpaceDN/>
              <w:rPr>
                <w:rFonts w:ascii="Arial" w:eastAsia="Times New Roman" w:hAnsi="Arial" w:cs="Arial"/>
                <w:sz w:val="20"/>
                <w:szCs w:val="20"/>
                <w:lang w:val="en-AU" w:eastAsia="en-AU" w:bidi="ar-SA"/>
              </w:rPr>
            </w:pPr>
          </w:p>
          <w:p w:rsidR="00CB598C" w:rsidRPr="003D52B9" w:rsidRDefault="00CB598C" w:rsidP="003D52B9">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 </w:t>
            </w:r>
            <w:r w:rsidR="00FD4C1E">
              <w:rPr>
                <w:rFonts w:ascii="Arial" w:eastAsia="Times New Roman" w:hAnsi="Arial" w:cs="Arial"/>
                <w:sz w:val="20"/>
                <w:szCs w:val="20"/>
                <w:lang w:val="en-AU" w:eastAsia="en-AU" w:bidi="ar-SA"/>
              </w:rPr>
              <w:t>Liability settlement</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B598C" w:rsidRPr="003D52B9" w:rsidRDefault="00FD4C1E" w:rsidP="003D52B9">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2018 </w:t>
            </w:r>
            <w:r w:rsidR="00CB598C" w:rsidRPr="003D52B9">
              <w:rPr>
                <w:rFonts w:ascii="Arial" w:eastAsia="Times New Roman" w:hAnsi="Arial" w:cs="Arial"/>
                <w:b/>
                <w:bCs/>
                <w:sz w:val="20"/>
                <w:szCs w:val="20"/>
                <w:lang w:val="en-AU" w:eastAsia="en-AU" w:bidi="ar-SA"/>
              </w:rPr>
              <w:t>$000</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B598C" w:rsidRPr="003D52B9" w:rsidRDefault="00FD4C1E" w:rsidP="003D52B9">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2017 </w:t>
            </w:r>
            <w:r w:rsidR="00CB598C" w:rsidRPr="003D52B9">
              <w:rPr>
                <w:rFonts w:ascii="Arial" w:eastAsia="Times New Roman" w:hAnsi="Arial" w:cs="Arial"/>
                <w:b/>
                <w:bCs/>
                <w:sz w:val="20"/>
                <w:szCs w:val="20"/>
                <w:lang w:val="en-AU" w:eastAsia="en-AU" w:bidi="ar-SA"/>
              </w:rPr>
              <w:t>$000</w:t>
            </w:r>
          </w:p>
        </w:tc>
      </w:tr>
      <w:tr w:rsidR="00CB598C" w:rsidRPr="00FD4C1E" w:rsidTr="0054212C">
        <w:trPr>
          <w:trHeight w:val="240"/>
        </w:trPr>
        <w:tc>
          <w:tcPr>
            <w:tcW w:w="85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3D52B9">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Within 12 months of the end of the reporting period</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 xml:space="preserve">235 </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 xml:space="preserve">203 </w:t>
            </w:r>
          </w:p>
        </w:tc>
      </w:tr>
      <w:tr w:rsidR="00CB598C" w:rsidRPr="00FD4C1E" w:rsidTr="0054212C">
        <w:trPr>
          <w:trHeight w:val="240"/>
        </w:trPr>
        <w:tc>
          <w:tcPr>
            <w:tcW w:w="85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3D52B9">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More than 12 months after the end of the reporting period</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 xml:space="preserve">84 </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 xml:space="preserve">79 </w:t>
            </w:r>
          </w:p>
        </w:tc>
      </w:tr>
      <w:tr w:rsidR="00CB598C" w:rsidRPr="00FD4C1E" w:rsidTr="0054212C">
        <w:trPr>
          <w:trHeight w:val="225"/>
        </w:trPr>
        <w:tc>
          <w:tcPr>
            <w:tcW w:w="8572"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431F13" w:rsidP="00431F13">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Total</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319</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CB598C" w:rsidRPr="00FD4C1E" w:rsidRDefault="00CB598C" w:rsidP="00FD4C1E">
            <w:pPr>
              <w:widowControl/>
              <w:autoSpaceDE/>
              <w:autoSpaceDN/>
              <w:rPr>
                <w:rFonts w:ascii="Arial" w:eastAsia="Times New Roman" w:hAnsi="Arial" w:cs="Arial"/>
                <w:sz w:val="20"/>
                <w:szCs w:val="20"/>
                <w:lang w:val="en-AU" w:eastAsia="en-AU" w:bidi="ar-SA"/>
              </w:rPr>
            </w:pPr>
            <w:r w:rsidRPr="00FD4C1E">
              <w:rPr>
                <w:rFonts w:ascii="Arial" w:eastAsia="Times New Roman" w:hAnsi="Arial" w:cs="Arial"/>
                <w:sz w:val="20"/>
                <w:szCs w:val="20"/>
                <w:lang w:val="en-AU" w:eastAsia="en-AU" w:bidi="ar-SA"/>
              </w:rPr>
              <w:t>282</w:t>
            </w:r>
          </w:p>
        </w:tc>
      </w:tr>
    </w:tbl>
    <w:p w:rsidR="003D52B9" w:rsidRDefault="003D52B9" w:rsidP="0054212C">
      <w:pPr>
        <w:widowControl/>
        <w:autoSpaceDE/>
        <w:autoSpaceDN/>
        <w:ind w:left="284"/>
        <w:rPr>
          <w:lang w:val="en-AU" w:eastAsia="en-AU" w:bidi="ar-SA"/>
        </w:rPr>
      </w:pPr>
      <w:r w:rsidRPr="00FD4C1E">
        <w:rPr>
          <w:rFonts w:ascii="Arial" w:eastAsia="Times New Roman" w:hAnsi="Arial" w:cs="Arial"/>
          <w:sz w:val="20"/>
          <w:szCs w:val="20"/>
          <w:lang w:val="en-AU" w:eastAsia="en-AU" w:bidi="ar-SA"/>
        </w:rPr>
        <w:t>Long service leave liabilities have been classified as cu</w:t>
      </w:r>
      <w:r w:rsidRPr="003D52B9">
        <w:rPr>
          <w:lang w:val="en-AU" w:eastAsia="en-AU" w:bidi="ar-SA"/>
        </w:rPr>
        <w:t>rrent where there is no unconditional right to defer settlement for at least 12 months after the end of the reporting period.  Assessments indicate that actual settlement of the liabilities is expected to occur as follows:</w:t>
      </w:r>
    </w:p>
    <w:tbl>
      <w:tblPr>
        <w:tblW w:w="115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472"/>
        <w:gridCol w:w="1472"/>
      </w:tblGrid>
      <w:tr w:rsidR="00CB598C" w:rsidRPr="003D52B9" w:rsidTr="0054212C">
        <w:trPr>
          <w:trHeight w:val="510"/>
        </w:trPr>
        <w:tc>
          <w:tcPr>
            <w:tcW w:w="8612" w:type="dxa"/>
            <w:shd w:val="clear" w:color="auto" w:fill="auto"/>
            <w:noWrap/>
            <w:hideMark/>
          </w:tcPr>
          <w:p w:rsidR="00CB598C" w:rsidRPr="003D52B9" w:rsidRDefault="0054212C" w:rsidP="003D52B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Liability settlement</w:t>
            </w:r>
          </w:p>
        </w:tc>
        <w:tc>
          <w:tcPr>
            <w:tcW w:w="1472" w:type="dxa"/>
            <w:shd w:val="clear" w:color="auto" w:fill="auto"/>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72" w:type="dxa"/>
            <w:shd w:val="clear" w:color="auto" w:fill="auto"/>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CB598C" w:rsidRPr="003D52B9" w:rsidTr="0054212C">
        <w:trPr>
          <w:trHeight w:val="240"/>
        </w:trPr>
        <w:tc>
          <w:tcPr>
            <w:tcW w:w="8612" w:type="dxa"/>
            <w:shd w:val="clear" w:color="auto" w:fill="auto"/>
            <w:noWrap/>
            <w:hideMark/>
          </w:tcPr>
          <w:p w:rsidR="00CB598C" w:rsidRPr="003D52B9" w:rsidRDefault="00CB598C" w:rsidP="003D52B9">
            <w:pPr>
              <w:widowControl/>
              <w:autoSpaceDE/>
              <w:autoSpaceDN/>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Within 12 months of the end of the reporting period</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198</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251</w:t>
            </w:r>
          </w:p>
        </w:tc>
      </w:tr>
      <w:tr w:rsidR="00CB598C" w:rsidRPr="003D52B9" w:rsidTr="0054212C">
        <w:trPr>
          <w:trHeight w:val="240"/>
        </w:trPr>
        <w:tc>
          <w:tcPr>
            <w:tcW w:w="8612" w:type="dxa"/>
            <w:shd w:val="clear" w:color="auto" w:fill="auto"/>
            <w:noWrap/>
            <w:hideMark/>
          </w:tcPr>
          <w:p w:rsidR="00CB598C" w:rsidRPr="003D52B9" w:rsidRDefault="00CB598C" w:rsidP="003D52B9">
            <w:pPr>
              <w:widowControl/>
              <w:autoSpaceDE/>
              <w:autoSpaceDN/>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More than 12 months after the end of the reporting period</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474</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sz w:val="18"/>
                <w:szCs w:val="18"/>
                <w:lang w:val="en-AU" w:eastAsia="en-AU" w:bidi="ar-SA"/>
              </w:rPr>
            </w:pPr>
            <w:r w:rsidRPr="003D52B9">
              <w:rPr>
                <w:rFonts w:ascii="Arial" w:eastAsia="Times New Roman" w:hAnsi="Arial" w:cs="Arial"/>
                <w:sz w:val="18"/>
                <w:szCs w:val="18"/>
                <w:lang w:val="en-AU" w:eastAsia="en-AU" w:bidi="ar-SA"/>
              </w:rPr>
              <w:t>453</w:t>
            </w:r>
          </w:p>
        </w:tc>
      </w:tr>
      <w:tr w:rsidR="00CB598C" w:rsidRPr="003D52B9" w:rsidTr="0054212C">
        <w:trPr>
          <w:trHeight w:val="240"/>
        </w:trPr>
        <w:tc>
          <w:tcPr>
            <w:tcW w:w="8612" w:type="dxa"/>
            <w:shd w:val="clear" w:color="auto" w:fill="auto"/>
            <w:noWrap/>
            <w:hideMark/>
          </w:tcPr>
          <w:p w:rsidR="00CB598C" w:rsidRPr="003D52B9" w:rsidRDefault="00431F13" w:rsidP="003D52B9">
            <w:pPr>
              <w:widowControl/>
              <w:autoSpaceDE/>
              <w:autoSpaceDN/>
              <w:rPr>
                <w:rFonts w:ascii="Times New Roman" w:eastAsia="Times New Roman" w:hAnsi="Times New Roman" w:cs="Times New Roman"/>
                <w:sz w:val="20"/>
                <w:szCs w:val="20"/>
                <w:lang w:val="en-AU" w:eastAsia="en-AU" w:bidi="ar-SA"/>
              </w:rPr>
            </w:pPr>
            <w:r w:rsidRPr="00431F13">
              <w:rPr>
                <w:rFonts w:ascii="Arial" w:eastAsia="Times New Roman" w:hAnsi="Arial" w:cs="Arial"/>
                <w:sz w:val="18"/>
                <w:szCs w:val="18"/>
                <w:lang w:val="en-AU" w:eastAsia="en-AU" w:bidi="ar-SA"/>
              </w:rPr>
              <w:t>Total</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b/>
                <w:bCs/>
                <w:sz w:val="18"/>
                <w:szCs w:val="18"/>
                <w:lang w:val="en-AU" w:eastAsia="en-AU" w:bidi="ar-SA"/>
              </w:rPr>
            </w:pPr>
            <w:r w:rsidRPr="003D52B9">
              <w:rPr>
                <w:rFonts w:ascii="Arial" w:eastAsia="Times New Roman" w:hAnsi="Arial" w:cs="Arial"/>
                <w:b/>
                <w:bCs/>
                <w:sz w:val="18"/>
                <w:szCs w:val="18"/>
                <w:lang w:val="en-AU" w:eastAsia="en-AU" w:bidi="ar-SA"/>
              </w:rPr>
              <w:t>672</w:t>
            </w:r>
          </w:p>
        </w:tc>
        <w:tc>
          <w:tcPr>
            <w:tcW w:w="1472" w:type="dxa"/>
            <w:shd w:val="clear" w:color="auto" w:fill="auto"/>
            <w:noWrap/>
            <w:hideMark/>
          </w:tcPr>
          <w:p w:rsidR="00CB598C" w:rsidRPr="003D52B9" w:rsidRDefault="00CB598C" w:rsidP="003D52B9">
            <w:pPr>
              <w:widowControl/>
              <w:autoSpaceDE/>
              <w:autoSpaceDN/>
              <w:jc w:val="right"/>
              <w:rPr>
                <w:rFonts w:ascii="Arial" w:eastAsia="Times New Roman" w:hAnsi="Arial" w:cs="Arial"/>
                <w:b/>
                <w:bCs/>
                <w:sz w:val="18"/>
                <w:szCs w:val="18"/>
                <w:lang w:val="en-AU" w:eastAsia="en-AU" w:bidi="ar-SA"/>
              </w:rPr>
            </w:pPr>
            <w:r w:rsidRPr="003D52B9">
              <w:rPr>
                <w:rFonts w:ascii="Arial" w:eastAsia="Times New Roman" w:hAnsi="Arial" w:cs="Arial"/>
                <w:b/>
                <w:bCs/>
                <w:sz w:val="18"/>
                <w:szCs w:val="18"/>
                <w:lang w:val="en-AU" w:eastAsia="en-AU" w:bidi="ar-SA"/>
              </w:rPr>
              <w:t>704</w:t>
            </w:r>
          </w:p>
        </w:tc>
      </w:tr>
    </w:tbl>
    <w:p w:rsidR="003D52B9" w:rsidRDefault="003D52B9" w:rsidP="004151B8">
      <w:pPr>
        <w:pStyle w:val="BodyText"/>
        <w:numPr>
          <w:ilvl w:val="0"/>
          <w:numId w:val="28"/>
        </w:numPr>
        <w:rPr>
          <w:lang w:val="en-AU" w:eastAsia="en-AU" w:bidi="ar-SA"/>
        </w:rPr>
      </w:pPr>
      <w:r w:rsidRPr="003D52B9">
        <w:rPr>
          <w:lang w:val="en-AU" w:eastAsia="en-AU" w:bidi="ar-SA"/>
        </w:rPr>
        <w:t xml:space="preserve">The settlement of annual and long service leave liabilities gives rise to the payment of employment on-costs including workers' compensation insurance. The </w:t>
      </w:r>
      <w:r w:rsidRPr="003D52B9">
        <w:rPr>
          <w:lang w:val="en-AU" w:eastAsia="en-AU" w:bidi="ar-SA"/>
        </w:rPr>
        <w:lastRenderedPageBreak/>
        <w:t>provision is the present value of expected future payments. The associated expense, apart from the unwinding of the discount (finance cost), is disclosed in Note 12 'Other expenses'.</w:t>
      </w:r>
    </w:p>
    <w:p w:rsidR="006E62E4" w:rsidRDefault="003D52B9" w:rsidP="0054212C">
      <w:pPr>
        <w:pStyle w:val="BodyText"/>
        <w:ind w:left="426"/>
        <w:rPr>
          <w:rStyle w:val="Strong"/>
        </w:rPr>
      </w:pPr>
      <w:r w:rsidRPr="003D52B9">
        <w:rPr>
          <w:rStyle w:val="Strong"/>
        </w:rPr>
        <w:t>Movements in other provisions</w:t>
      </w:r>
    </w:p>
    <w:p w:rsidR="00431F13" w:rsidRDefault="00431F13" w:rsidP="0054212C">
      <w:pPr>
        <w:pStyle w:val="BodyText"/>
        <w:ind w:left="426"/>
        <w:rPr>
          <w:rStyle w:val="Strong"/>
        </w:rPr>
      </w:pPr>
      <w:r w:rsidRPr="003D52B9">
        <w:rPr>
          <w:rFonts w:ascii="Arial" w:eastAsia="Times New Roman" w:hAnsi="Arial" w:cs="Arial"/>
          <w:sz w:val="20"/>
          <w:szCs w:val="20"/>
          <w:lang w:val="en-AU" w:eastAsia="en-AU" w:bidi="ar-SA"/>
        </w:rPr>
        <w:t>Movements in each class of provisions during the period, other than employee benefits, are set out below.</w:t>
      </w:r>
    </w:p>
    <w:tbl>
      <w:tblPr>
        <w:tblW w:w="114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gridCol w:w="7"/>
        <w:gridCol w:w="1489"/>
        <w:gridCol w:w="7"/>
        <w:gridCol w:w="1489"/>
        <w:gridCol w:w="6"/>
      </w:tblGrid>
      <w:tr w:rsidR="00CB598C" w:rsidRPr="003D52B9" w:rsidTr="00431F13">
        <w:trPr>
          <w:trHeight w:val="510"/>
        </w:trPr>
        <w:tc>
          <w:tcPr>
            <w:tcW w:w="8430" w:type="dxa"/>
            <w:gridSpan w:val="2"/>
            <w:shd w:val="clear" w:color="auto" w:fill="auto"/>
            <w:noWrap/>
            <w:hideMark/>
          </w:tcPr>
          <w:p w:rsidR="00CB598C" w:rsidRPr="003D52B9" w:rsidRDefault="00CB598C" w:rsidP="00431F13">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 </w:t>
            </w:r>
            <w:r w:rsidR="00431F13" w:rsidRPr="00431F13">
              <w:rPr>
                <w:rFonts w:ascii="Arial" w:eastAsia="Times New Roman" w:hAnsi="Arial" w:cs="Arial"/>
                <w:b/>
                <w:bCs/>
                <w:sz w:val="20"/>
                <w:szCs w:val="20"/>
                <w:lang w:val="en-AU" w:eastAsia="en-AU" w:bidi="ar-SA"/>
              </w:rPr>
              <w:t>Employment on-cost provision</w:t>
            </w:r>
          </w:p>
        </w:tc>
        <w:tc>
          <w:tcPr>
            <w:tcW w:w="1496" w:type="dxa"/>
            <w:gridSpan w:val="2"/>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5" w:type="dxa"/>
            <w:gridSpan w:val="2"/>
            <w:shd w:val="clear" w:color="auto" w:fill="auto"/>
            <w:vAlign w:val="bottom"/>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CB598C" w:rsidRPr="003D52B9" w:rsidTr="00431F13">
        <w:trPr>
          <w:gridAfter w:val="1"/>
          <w:wAfter w:w="6" w:type="dxa"/>
          <w:trHeight w:val="255"/>
        </w:trPr>
        <w:tc>
          <w:tcPr>
            <w:tcW w:w="8423" w:type="dxa"/>
            <w:shd w:val="clear" w:color="auto" w:fill="auto"/>
            <w:noWrap/>
            <w:hideMark/>
          </w:tcPr>
          <w:p w:rsidR="00CB598C" w:rsidRPr="003D52B9" w:rsidRDefault="00CB598C" w:rsidP="003D52B9">
            <w:pPr>
              <w:widowControl/>
              <w:autoSpaceDE/>
              <w:autoSpaceDN/>
              <w:jc w:val="both"/>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Carrying amount at start of period</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r>
      <w:tr w:rsidR="00CB598C" w:rsidRPr="003D52B9" w:rsidTr="00431F13">
        <w:trPr>
          <w:gridAfter w:val="1"/>
          <w:wAfter w:w="6" w:type="dxa"/>
          <w:trHeight w:val="255"/>
        </w:trPr>
        <w:tc>
          <w:tcPr>
            <w:tcW w:w="8423" w:type="dxa"/>
            <w:shd w:val="clear" w:color="auto" w:fill="auto"/>
            <w:noWrap/>
            <w:hideMark/>
          </w:tcPr>
          <w:p w:rsidR="00CB598C" w:rsidRPr="003D52B9" w:rsidRDefault="00CB598C" w:rsidP="003D52B9">
            <w:pPr>
              <w:widowControl/>
              <w:autoSpaceDE/>
              <w:autoSpaceDN/>
              <w:jc w:val="both"/>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Additional/(reversals of) provisions recognised</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r>
      <w:tr w:rsidR="00CB598C" w:rsidRPr="003D52B9" w:rsidTr="00431F13">
        <w:trPr>
          <w:gridAfter w:val="1"/>
          <w:wAfter w:w="6" w:type="dxa"/>
          <w:trHeight w:val="255"/>
        </w:trPr>
        <w:tc>
          <w:tcPr>
            <w:tcW w:w="8423" w:type="dxa"/>
            <w:shd w:val="clear" w:color="auto" w:fill="auto"/>
            <w:noWrap/>
            <w:hideMark/>
          </w:tcPr>
          <w:p w:rsidR="00CB598C" w:rsidRPr="003D52B9" w:rsidRDefault="00CB598C" w:rsidP="003D52B9">
            <w:pPr>
              <w:widowControl/>
              <w:autoSpaceDE/>
              <w:autoSpaceDN/>
              <w:jc w:val="both"/>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Payments/other sacrifices of economic benefits</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r>
      <w:tr w:rsidR="00CB598C" w:rsidRPr="003D52B9" w:rsidTr="00431F13">
        <w:trPr>
          <w:gridAfter w:val="1"/>
          <w:wAfter w:w="6" w:type="dxa"/>
          <w:trHeight w:val="255"/>
        </w:trPr>
        <w:tc>
          <w:tcPr>
            <w:tcW w:w="8423" w:type="dxa"/>
            <w:shd w:val="clear" w:color="auto" w:fill="auto"/>
            <w:noWrap/>
            <w:hideMark/>
          </w:tcPr>
          <w:p w:rsidR="00CB598C" w:rsidRPr="003D52B9" w:rsidRDefault="00CB598C" w:rsidP="003D52B9">
            <w:pPr>
              <w:widowControl/>
              <w:autoSpaceDE/>
              <w:autoSpaceDN/>
              <w:jc w:val="both"/>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Unwinding of the discount</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r>
      <w:tr w:rsidR="00CB598C" w:rsidRPr="003D52B9" w:rsidTr="00431F13">
        <w:trPr>
          <w:gridAfter w:val="1"/>
          <w:wAfter w:w="6" w:type="dxa"/>
          <w:trHeight w:val="255"/>
        </w:trPr>
        <w:tc>
          <w:tcPr>
            <w:tcW w:w="8423" w:type="dxa"/>
            <w:shd w:val="clear" w:color="auto" w:fill="auto"/>
            <w:noWrap/>
            <w:hideMark/>
          </w:tcPr>
          <w:p w:rsidR="00CB598C" w:rsidRPr="003D52B9" w:rsidRDefault="00CB598C" w:rsidP="003D52B9">
            <w:pPr>
              <w:widowControl/>
              <w:autoSpaceDE/>
              <w:autoSpaceDN/>
              <w:jc w:val="both"/>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Carrying amount at end of period</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1</w:t>
            </w:r>
          </w:p>
        </w:tc>
        <w:tc>
          <w:tcPr>
            <w:tcW w:w="1496" w:type="dxa"/>
            <w:gridSpan w:val="2"/>
            <w:shd w:val="clear" w:color="auto" w:fill="auto"/>
            <w:noWrap/>
            <w:hideMark/>
          </w:tcPr>
          <w:p w:rsidR="00CB598C" w:rsidRPr="003D52B9" w:rsidRDefault="00CB598C"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w:t>
            </w:r>
          </w:p>
        </w:tc>
      </w:tr>
    </w:tbl>
    <w:p w:rsidR="003D52B9" w:rsidRDefault="003D52B9" w:rsidP="00431F13">
      <w:pPr>
        <w:pStyle w:val="Heading2"/>
        <w:ind w:left="284"/>
      </w:pPr>
      <w:r>
        <w:t>Note 21. Equity</w:t>
      </w:r>
    </w:p>
    <w:p w:rsidR="003D52B9" w:rsidRDefault="003D52B9" w:rsidP="003D52B9">
      <w:pPr>
        <w:pStyle w:val="BodyText"/>
        <w:ind w:left="284"/>
      </w:pPr>
      <w:r w:rsidRPr="003D52B9">
        <w:t xml:space="preserve">The Western Australian Government holds the equity interest in the sub-department on behalf of the community.  Equity represents the residual interest in the net assets of the sub-department. </w:t>
      </w:r>
    </w:p>
    <w:tbl>
      <w:tblPr>
        <w:tblW w:w="116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gridCol w:w="1536"/>
        <w:gridCol w:w="1536"/>
      </w:tblGrid>
      <w:tr w:rsidR="002627E2" w:rsidRPr="003D52B9" w:rsidTr="00D40680">
        <w:trPr>
          <w:trHeight w:val="510"/>
        </w:trPr>
        <w:tc>
          <w:tcPr>
            <w:tcW w:w="8540" w:type="dxa"/>
            <w:shd w:val="clear" w:color="auto" w:fill="auto"/>
            <w:noWrap/>
            <w:hideMark/>
          </w:tcPr>
          <w:p w:rsidR="002627E2" w:rsidRPr="00431F13" w:rsidRDefault="00431F13" w:rsidP="003D52B9">
            <w:pPr>
              <w:widowControl/>
              <w:autoSpaceDE/>
              <w:autoSpaceDN/>
              <w:rPr>
                <w:rFonts w:ascii="Arial" w:eastAsia="Times New Roman" w:hAnsi="Arial" w:cs="Arial"/>
                <w:b/>
                <w:sz w:val="20"/>
                <w:szCs w:val="20"/>
                <w:lang w:val="en-AU" w:eastAsia="en-AU" w:bidi="ar-SA"/>
              </w:rPr>
            </w:pPr>
            <w:r w:rsidRPr="00431F13">
              <w:rPr>
                <w:rFonts w:ascii="Arial" w:eastAsia="Times New Roman" w:hAnsi="Arial" w:cs="Arial"/>
                <w:b/>
                <w:sz w:val="20"/>
                <w:szCs w:val="20"/>
                <w:lang w:val="en-AU" w:eastAsia="en-AU" w:bidi="ar-SA"/>
              </w:rPr>
              <w:t>Accumulated surplus</w:t>
            </w:r>
          </w:p>
        </w:tc>
        <w:tc>
          <w:tcPr>
            <w:tcW w:w="1536" w:type="dxa"/>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536" w:type="dxa"/>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2627E2" w:rsidRPr="003D52B9" w:rsidTr="003526BB">
        <w:trPr>
          <w:trHeight w:val="255"/>
        </w:trPr>
        <w:tc>
          <w:tcPr>
            <w:tcW w:w="8540"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Balance at start of period</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1,440</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(699)</w:t>
            </w:r>
          </w:p>
        </w:tc>
      </w:tr>
      <w:tr w:rsidR="002627E2" w:rsidRPr="003D52B9" w:rsidTr="003526BB">
        <w:trPr>
          <w:trHeight w:val="255"/>
        </w:trPr>
        <w:tc>
          <w:tcPr>
            <w:tcW w:w="8540"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Result for the period</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2,179</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2,139</w:t>
            </w:r>
          </w:p>
        </w:tc>
      </w:tr>
      <w:tr w:rsidR="002627E2" w:rsidRPr="003D52B9" w:rsidTr="003526BB">
        <w:trPr>
          <w:trHeight w:val="255"/>
        </w:trPr>
        <w:tc>
          <w:tcPr>
            <w:tcW w:w="8540"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Balance at end of period</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3,619</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1,440</w:t>
            </w:r>
          </w:p>
        </w:tc>
      </w:tr>
      <w:tr w:rsidR="002627E2" w:rsidRPr="003D52B9" w:rsidTr="003526BB">
        <w:trPr>
          <w:trHeight w:val="270"/>
        </w:trPr>
        <w:tc>
          <w:tcPr>
            <w:tcW w:w="8540"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Total equity at end of period</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3,619</w:t>
            </w:r>
          </w:p>
        </w:tc>
        <w:tc>
          <w:tcPr>
            <w:tcW w:w="1536"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1,440</w:t>
            </w:r>
          </w:p>
        </w:tc>
      </w:tr>
    </w:tbl>
    <w:p w:rsidR="003D52B9" w:rsidRDefault="003D52B9" w:rsidP="003D52B9">
      <w:pPr>
        <w:pStyle w:val="Heading2"/>
        <w:ind w:left="284"/>
      </w:pPr>
      <w:r>
        <w:t>Note 22. Notes to the Statement of Cash Flows</w:t>
      </w:r>
    </w:p>
    <w:p w:rsidR="003D52B9" w:rsidRPr="003D52B9" w:rsidRDefault="003D52B9" w:rsidP="003D52B9">
      <w:pPr>
        <w:pStyle w:val="Heading2"/>
        <w:ind w:left="284"/>
        <w:rPr>
          <w:b/>
          <w:bCs/>
          <w:sz w:val="24"/>
          <w:szCs w:val="24"/>
        </w:rPr>
      </w:pPr>
      <w:r w:rsidRPr="003D52B9">
        <w:rPr>
          <w:rStyle w:val="Strong"/>
          <w:sz w:val="24"/>
          <w:szCs w:val="24"/>
        </w:rPr>
        <w:t>Reconciliation of cash</w:t>
      </w:r>
    </w:p>
    <w:p w:rsidR="003D52B9" w:rsidRDefault="003D52B9" w:rsidP="003D52B9">
      <w:pPr>
        <w:pStyle w:val="BodyText"/>
        <w:ind w:left="284"/>
      </w:pPr>
      <w:r w:rsidRPr="003D52B9">
        <w:t>Cash at the end of the reporting period as shown in the Statement of Cash Flows is reconciled to the related items in the Statement of Financial Position as follows:</w:t>
      </w:r>
    </w:p>
    <w:p w:rsidR="00431F13" w:rsidRDefault="00431F13" w:rsidP="003D52B9">
      <w:pPr>
        <w:pStyle w:val="BodyText"/>
        <w:ind w:left="284"/>
      </w:pPr>
    </w:p>
    <w:tbl>
      <w:tblPr>
        <w:tblW w:w="115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472"/>
        <w:gridCol w:w="1472"/>
      </w:tblGrid>
      <w:tr w:rsidR="002627E2" w:rsidRPr="003D52B9" w:rsidTr="00431F13">
        <w:trPr>
          <w:trHeight w:val="510"/>
        </w:trPr>
        <w:tc>
          <w:tcPr>
            <w:tcW w:w="8612" w:type="dxa"/>
            <w:shd w:val="clear" w:color="auto" w:fill="auto"/>
            <w:noWrap/>
            <w:hideMark/>
          </w:tcPr>
          <w:p w:rsidR="002627E2" w:rsidRPr="003D52B9" w:rsidRDefault="002627E2" w:rsidP="003D52B9">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 </w:t>
            </w:r>
            <w:r w:rsidR="00431F13">
              <w:rPr>
                <w:rFonts w:ascii="Arial" w:eastAsia="Times New Roman" w:hAnsi="Arial" w:cs="Arial"/>
                <w:sz w:val="20"/>
                <w:szCs w:val="20"/>
                <w:lang w:val="en-AU" w:eastAsia="en-AU" w:bidi="ar-SA"/>
              </w:rPr>
              <w:t>Reconciliation of cash</w:t>
            </w:r>
          </w:p>
        </w:tc>
        <w:tc>
          <w:tcPr>
            <w:tcW w:w="1472" w:type="dxa"/>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72" w:type="dxa"/>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2627E2" w:rsidRPr="003D52B9" w:rsidTr="00431F13">
        <w:trPr>
          <w:trHeight w:val="255"/>
        </w:trPr>
        <w:tc>
          <w:tcPr>
            <w:tcW w:w="8612"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Cash and cash equivalents</w:t>
            </w:r>
          </w:p>
        </w:tc>
        <w:tc>
          <w:tcPr>
            <w:tcW w:w="1472"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3,062</w:t>
            </w:r>
          </w:p>
        </w:tc>
        <w:tc>
          <w:tcPr>
            <w:tcW w:w="1472"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5,177</w:t>
            </w:r>
          </w:p>
        </w:tc>
      </w:tr>
      <w:tr w:rsidR="002627E2" w:rsidRPr="003D52B9" w:rsidTr="00431F13">
        <w:trPr>
          <w:trHeight w:val="270"/>
        </w:trPr>
        <w:tc>
          <w:tcPr>
            <w:tcW w:w="8612" w:type="dxa"/>
            <w:shd w:val="clear" w:color="auto" w:fill="auto"/>
            <w:noWrap/>
            <w:hideMark/>
          </w:tcPr>
          <w:p w:rsidR="002627E2" w:rsidRPr="003D52B9" w:rsidRDefault="00431F13" w:rsidP="003D52B9">
            <w:pPr>
              <w:widowControl/>
              <w:autoSpaceDE/>
              <w:autoSpaceDN/>
              <w:rPr>
                <w:rFonts w:ascii="Times New Roman" w:eastAsia="Times New Roman" w:hAnsi="Times New Roman" w:cs="Times New Roman"/>
                <w:sz w:val="20"/>
                <w:szCs w:val="20"/>
                <w:lang w:val="en-AU" w:eastAsia="en-AU" w:bidi="ar-SA"/>
              </w:rPr>
            </w:pPr>
            <w:r w:rsidRPr="00431F13">
              <w:rPr>
                <w:rFonts w:ascii="Arial" w:eastAsia="Times New Roman" w:hAnsi="Arial" w:cs="Arial"/>
                <w:sz w:val="20"/>
                <w:szCs w:val="20"/>
                <w:lang w:val="en-AU" w:eastAsia="en-AU" w:bidi="ar-SA"/>
              </w:rPr>
              <w:t>Total</w:t>
            </w:r>
          </w:p>
        </w:tc>
        <w:tc>
          <w:tcPr>
            <w:tcW w:w="1472"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3,062</w:t>
            </w:r>
          </w:p>
        </w:tc>
        <w:tc>
          <w:tcPr>
            <w:tcW w:w="1472" w:type="dxa"/>
            <w:shd w:val="clear" w:color="auto" w:fill="auto"/>
            <w:noWrap/>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5,177</w:t>
            </w:r>
          </w:p>
        </w:tc>
      </w:tr>
    </w:tbl>
    <w:p w:rsidR="003D52B9" w:rsidRDefault="003D52B9" w:rsidP="003D52B9">
      <w:pPr>
        <w:pStyle w:val="BodyText"/>
        <w:ind w:left="284"/>
        <w:rPr>
          <w:b/>
        </w:rPr>
      </w:pPr>
    </w:p>
    <w:p w:rsidR="003D52B9" w:rsidRDefault="003D52B9">
      <w:pPr>
        <w:rPr>
          <w:b/>
          <w:sz w:val="24"/>
          <w:szCs w:val="24"/>
        </w:rPr>
      </w:pPr>
      <w:r>
        <w:rPr>
          <w:b/>
        </w:rPr>
        <w:br w:type="page"/>
      </w:r>
    </w:p>
    <w:p w:rsidR="003D52B9" w:rsidRDefault="003D52B9" w:rsidP="00431F13">
      <w:pPr>
        <w:pStyle w:val="BodyText"/>
        <w:rPr>
          <w:b/>
        </w:rPr>
      </w:pPr>
    </w:p>
    <w:tbl>
      <w:tblPr>
        <w:tblW w:w="11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273"/>
        <w:gridCol w:w="7"/>
        <w:gridCol w:w="1496"/>
      </w:tblGrid>
      <w:tr w:rsidR="002627E2" w:rsidRPr="003D52B9" w:rsidTr="00431F13">
        <w:trPr>
          <w:trHeight w:val="510"/>
        </w:trPr>
        <w:tc>
          <w:tcPr>
            <w:tcW w:w="8788" w:type="dxa"/>
            <w:shd w:val="clear" w:color="auto" w:fill="auto"/>
            <w:noWrap/>
            <w:hideMark/>
          </w:tcPr>
          <w:p w:rsidR="00431F13" w:rsidRDefault="00431F13" w:rsidP="00431F13">
            <w:pPr>
              <w:pStyle w:val="BodyText"/>
              <w:rPr>
                <w:b/>
              </w:rPr>
            </w:pPr>
            <w:r w:rsidRPr="003D52B9">
              <w:rPr>
                <w:b/>
              </w:rPr>
              <w:t>Reconciliation of net cost of services to net cash flows provided by</w:t>
            </w:r>
            <w:proofErr w:type="gramStart"/>
            <w:r w:rsidRPr="003D52B9">
              <w:rPr>
                <w:b/>
              </w:rPr>
              <w:t>/(</w:t>
            </w:r>
            <w:proofErr w:type="gramEnd"/>
            <w:r w:rsidRPr="003D52B9">
              <w:rPr>
                <w:b/>
              </w:rPr>
              <w:t>used in) operating activities</w:t>
            </w:r>
          </w:p>
          <w:p w:rsidR="002627E2" w:rsidRPr="003D52B9" w:rsidRDefault="002627E2" w:rsidP="003D52B9">
            <w:pPr>
              <w:widowControl/>
              <w:autoSpaceDE/>
              <w:autoSpaceDN/>
              <w:rPr>
                <w:rFonts w:ascii="Arial" w:eastAsia="Times New Roman" w:hAnsi="Arial" w:cs="Arial"/>
                <w:sz w:val="20"/>
                <w:szCs w:val="20"/>
                <w:lang w:val="en-AU" w:eastAsia="en-AU" w:bidi="ar-SA"/>
              </w:rPr>
            </w:pPr>
          </w:p>
        </w:tc>
        <w:tc>
          <w:tcPr>
            <w:tcW w:w="1280" w:type="dxa"/>
            <w:gridSpan w:val="2"/>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6" w:type="dxa"/>
            <w:shd w:val="clear" w:color="auto" w:fill="auto"/>
            <w:vAlign w:val="bottom"/>
            <w:hideMark/>
          </w:tcPr>
          <w:p w:rsidR="002627E2" w:rsidRPr="003D52B9" w:rsidRDefault="002627E2" w:rsidP="003D52B9">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2627E2" w:rsidRPr="003D52B9" w:rsidTr="00431F13">
        <w:trPr>
          <w:trHeight w:val="255"/>
        </w:trPr>
        <w:tc>
          <w:tcPr>
            <w:tcW w:w="8788" w:type="dxa"/>
            <w:shd w:val="clear" w:color="auto" w:fill="auto"/>
            <w:noWrap/>
            <w:hideMark/>
          </w:tcPr>
          <w:p w:rsidR="002627E2" w:rsidRPr="003D52B9" w:rsidRDefault="002627E2" w:rsidP="003D52B9">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Net cost of services</w:t>
            </w:r>
          </w:p>
        </w:tc>
        <w:tc>
          <w:tcPr>
            <w:tcW w:w="1273" w:type="dxa"/>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(1,317)</w:t>
            </w:r>
          </w:p>
        </w:tc>
        <w:tc>
          <w:tcPr>
            <w:tcW w:w="1503" w:type="dxa"/>
            <w:gridSpan w:val="2"/>
            <w:shd w:val="clear" w:color="auto" w:fill="auto"/>
            <w:noWrap/>
            <w:hideMark/>
          </w:tcPr>
          <w:p w:rsidR="002627E2" w:rsidRPr="003D52B9" w:rsidRDefault="002627E2" w:rsidP="003D52B9">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(5,385)</w:t>
            </w:r>
          </w:p>
        </w:tc>
      </w:tr>
    </w:tbl>
    <w:p w:rsidR="00431F13" w:rsidRDefault="00431F13" w:rsidP="00431F13">
      <w:pPr>
        <w:pStyle w:val="BodyText"/>
      </w:pPr>
    </w:p>
    <w:tbl>
      <w:tblPr>
        <w:tblW w:w="11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420"/>
        <w:gridCol w:w="1497"/>
      </w:tblGrid>
      <w:tr w:rsidR="00431F13" w:rsidRPr="003D52B9" w:rsidTr="00431F13">
        <w:trPr>
          <w:trHeight w:val="255"/>
        </w:trPr>
        <w:tc>
          <w:tcPr>
            <w:tcW w:w="8647" w:type="dxa"/>
            <w:shd w:val="clear" w:color="auto" w:fill="auto"/>
            <w:noWrap/>
            <w:hideMark/>
          </w:tcPr>
          <w:p w:rsidR="00431F13" w:rsidRPr="00431F13" w:rsidRDefault="00431F13" w:rsidP="000E1D3A">
            <w:pPr>
              <w:widowControl/>
              <w:autoSpaceDE/>
              <w:autoSpaceDN/>
              <w:rPr>
                <w:rFonts w:ascii="Times New Roman" w:eastAsia="Times New Roman" w:hAnsi="Times New Roman" w:cs="Times New Roman"/>
                <w:sz w:val="20"/>
                <w:szCs w:val="20"/>
                <w:lang w:val="en-AU" w:eastAsia="en-AU" w:bidi="ar-SA"/>
              </w:rPr>
            </w:pPr>
            <w:r w:rsidRPr="00431F13">
              <w:rPr>
                <w:rFonts w:ascii="Arial" w:eastAsia="Times New Roman" w:hAnsi="Arial" w:cs="Arial"/>
                <w:sz w:val="20"/>
                <w:szCs w:val="20"/>
                <w:lang w:val="en-AU" w:eastAsia="en-AU" w:bidi="ar-SA"/>
              </w:rPr>
              <w:t>Non-cash items</w:t>
            </w:r>
          </w:p>
        </w:tc>
        <w:tc>
          <w:tcPr>
            <w:tcW w:w="1420" w:type="dxa"/>
            <w:shd w:val="clear" w:color="auto" w:fill="auto"/>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7" w:type="dxa"/>
            <w:shd w:val="clear" w:color="auto" w:fill="auto"/>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431F13" w:rsidRPr="003D52B9" w:rsidTr="00431F13">
        <w:trPr>
          <w:trHeight w:val="255"/>
        </w:trPr>
        <w:tc>
          <w:tcPr>
            <w:tcW w:w="8647"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Amortisation expense (Note 9 'Amortisation expense')</w:t>
            </w:r>
          </w:p>
        </w:tc>
        <w:tc>
          <w:tcPr>
            <w:tcW w:w="1420"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82</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0</w:t>
            </w:r>
          </w:p>
        </w:tc>
      </w:tr>
      <w:tr w:rsidR="00431F13" w:rsidRPr="003D52B9" w:rsidTr="00431F13">
        <w:trPr>
          <w:trHeight w:val="255"/>
        </w:trPr>
        <w:tc>
          <w:tcPr>
            <w:tcW w:w="8647" w:type="dxa"/>
            <w:shd w:val="clear" w:color="auto" w:fill="auto"/>
            <w:noWrap/>
            <w:hideMark/>
          </w:tcPr>
          <w:p w:rsidR="00431F13" w:rsidRPr="003D52B9" w:rsidRDefault="00431F13" w:rsidP="000E1D3A">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 xml:space="preserve">Services received free of charge (Note 14 </w:t>
            </w:r>
            <w:r w:rsidRPr="003D52B9">
              <w:rPr>
                <w:rFonts w:ascii="Arial" w:eastAsia="Times New Roman" w:hAnsi="Arial" w:cs="Arial"/>
                <w:i/>
                <w:iCs/>
                <w:sz w:val="20"/>
                <w:szCs w:val="20"/>
                <w:lang w:val="en-AU" w:eastAsia="en-AU" w:bidi="ar-SA"/>
              </w:rPr>
              <w:t>'Income from State Government'</w:t>
            </w:r>
            <w:r w:rsidRPr="003D52B9">
              <w:rPr>
                <w:rFonts w:ascii="Arial" w:eastAsia="Times New Roman" w:hAnsi="Arial" w:cs="Arial"/>
                <w:sz w:val="20"/>
                <w:szCs w:val="20"/>
                <w:lang w:val="en-AU" w:eastAsia="en-AU" w:bidi="ar-SA"/>
              </w:rPr>
              <w:t>)</w:t>
            </w:r>
          </w:p>
        </w:tc>
        <w:tc>
          <w:tcPr>
            <w:tcW w:w="1420"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93</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111</w:t>
            </w:r>
          </w:p>
        </w:tc>
      </w:tr>
    </w:tbl>
    <w:p w:rsidR="00431F13" w:rsidRDefault="00431F13" w:rsidP="00431F13">
      <w:pPr>
        <w:pStyle w:val="BodyText"/>
        <w:ind w:left="720"/>
      </w:pPr>
    </w:p>
    <w:tbl>
      <w:tblPr>
        <w:tblW w:w="11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420"/>
        <w:gridCol w:w="1497"/>
      </w:tblGrid>
      <w:tr w:rsidR="00431F13" w:rsidRPr="003D52B9" w:rsidTr="00431F13">
        <w:trPr>
          <w:trHeight w:val="255"/>
        </w:trPr>
        <w:tc>
          <w:tcPr>
            <w:tcW w:w="8647"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u w:val="single"/>
                <w:lang w:val="en-AU" w:eastAsia="en-AU" w:bidi="ar-SA"/>
              </w:rPr>
              <w:t>(Increase)/decrease in assets</w:t>
            </w:r>
          </w:p>
        </w:tc>
        <w:tc>
          <w:tcPr>
            <w:tcW w:w="1420" w:type="dxa"/>
            <w:shd w:val="clear" w:color="auto" w:fill="auto"/>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7" w:type="dxa"/>
            <w:shd w:val="clear" w:color="auto" w:fill="auto"/>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431F13" w:rsidRPr="003D52B9" w:rsidTr="00431F13">
        <w:trPr>
          <w:trHeight w:val="285"/>
        </w:trPr>
        <w:tc>
          <w:tcPr>
            <w:tcW w:w="8647"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Current receivables</w:t>
            </w:r>
            <w:r w:rsidRPr="003D52B9">
              <w:rPr>
                <w:rFonts w:ascii="Arial" w:eastAsia="Times New Roman" w:hAnsi="Arial" w:cs="Arial"/>
                <w:sz w:val="20"/>
                <w:szCs w:val="20"/>
                <w:vertAlign w:val="superscript"/>
                <w:lang w:val="en-AU" w:eastAsia="en-AU" w:bidi="ar-SA"/>
              </w:rPr>
              <w:t>(a)</w:t>
            </w:r>
          </w:p>
        </w:tc>
        <w:tc>
          <w:tcPr>
            <w:tcW w:w="1420"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54</w:t>
            </w:r>
          </w:p>
        </w:tc>
      </w:tr>
    </w:tbl>
    <w:p w:rsidR="00431F13" w:rsidRDefault="00431F13" w:rsidP="00431F13">
      <w:pPr>
        <w:pStyle w:val="BodyText"/>
        <w:ind w:left="720"/>
      </w:pPr>
    </w:p>
    <w:tbl>
      <w:tblPr>
        <w:tblW w:w="11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gridCol w:w="1497"/>
        <w:gridCol w:w="1497"/>
      </w:tblGrid>
      <w:tr w:rsidR="00431F13" w:rsidRPr="003D52B9" w:rsidTr="00431F13">
        <w:trPr>
          <w:trHeight w:val="285"/>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u w:val="single"/>
                <w:lang w:val="en-AU" w:eastAsia="en-AU" w:bidi="ar-SA"/>
              </w:rPr>
              <w:t>Increase/(decrease) in liabilities</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b/>
                <w:bCs/>
                <w:sz w:val="20"/>
                <w:szCs w:val="20"/>
                <w:lang w:val="en-AU" w:eastAsia="en-AU" w:bidi="ar-SA"/>
              </w:rPr>
              <w:t>2018</w:t>
            </w:r>
            <w:r w:rsidRPr="003D52B9">
              <w:rPr>
                <w:rFonts w:ascii="Arial" w:eastAsia="Times New Roman" w:hAnsi="Arial" w:cs="Arial"/>
                <w:b/>
                <w:bCs/>
                <w:sz w:val="20"/>
                <w:szCs w:val="20"/>
                <w:lang w:val="en-AU" w:eastAsia="en-AU" w:bidi="ar-SA"/>
              </w:rPr>
              <w:br/>
              <w:t>$000</w:t>
            </w:r>
          </w:p>
        </w:tc>
        <w:tc>
          <w:tcPr>
            <w:tcW w:w="1497" w:type="dxa"/>
            <w:shd w:val="clear" w:color="auto" w:fill="auto"/>
            <w:noWrap/>
            <w:hideMark/>
          </w:tcPr>
          <w:p w:rsidR="00431F13" w:rsidRPr="003D52B9" w:rsidRDefault="00431F13" w:rsidP="00431F13">
            <w:pPr>
              <w:widowControl/>
              <w:autoSpaceDE/>
              <w:autoSpaceDN/>
              <w:jc w:val="center"/>
              <w:rPr>
                <w:rFonts w:ascii="Arial" w:eastAsia="Times New Roman" w:hAnsi="Arial" w:cs="Arial"/>
                <w:sz w:val="20"/>
                <w:szCs w:val="20"/>
                <w:lang w:val="en-AU" w:eastAsia="en-AU" w:bidi="ar-SA"/>
              </w:rPr>
            </w:pPr>
            <w:r w:rsidRPr="003D52B9">
              <w:rPr>
                <w:rFonts w:ascii="Arial" w:eastAsia="Times New Roman" w:hAnsi="Arial" w:cs="Arial"/>
                <w:b/>
                <w:bCs/>
                <w:sz w:val="20"/>
                <w:szCs w:val="20"/>
                <w:lang w:val="en-AU" w:eastAsia="en-AU" w:bidi="ar-SA"/>
              </w:rPr>
              <w:t>2017</w:t>
            </w:r>
            <w:r w:rsidRPr="003D52B9">
              <w:rPr>
                <w:rFonts w:ascii="Arial" w:eastAsia="Times New Roman" w:hAnsi="Arial" w:cs="Arial"/>
                <w:b/>
                <w:bCs/>
                <w:sz w:val="20"/>
                <w:szCs w:val="20"/>
                <w:lang w:val="en-AU" w:eastAsia="en-AU" w:bidi="ar-SA"/>
              </w:rPr>
              <w:br/>
              <w:t>$000</w:t>
            </w:r>
          </w:p>
        </w:tc>
      </w:tr>
      <w:tr w:rsidR="00431F13" w:rsidRPr="003D52B9" w:rsidTr="00431F13">
        <w:trPr>
          <w:trHeight w:val="285"/>
        </w:trPr>
        <w:tc>
          <w:tcPr>
            <w:tcW w:w="8570" w:type="dxa"/>
            <w:shd w:val="clear" w:color="auto" w:fill="auto"/>
            <w:noWrap/>
          </w:tcPr>
          <w:p w:rsidR="00431F13" w:rsidRPr="003D52B9" w:rsidRDefault="00431F13" w:rsidP="000E1D3A">
            <w:pPr>
              <w:widowControl/>
              <w:autoSpaceDE/>
              <w:autoSpaceDN/>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Current payables</w:t>
            </w:r>
            <w:r w:rsidRPr="003D52B9">
              <w:rPr>
                <w:rFonts w:ascii="Arial" w:eastAsia="Times New Roman" w:hAnsi="Arial" w:cs="Arial"/>
                <w:sz w:val="20"/>
                <w:szCs w:val="20"/>
                <w:vertAlign w:val="superscript"/>
                <w:lang w:val="en-AU" w:eastAsia="en-AU" w:bidi="ar-SA"/>
              </w:rPr>
              <w:t>(a)</w:t>
            </w:r>
          </w:p>
        </w:tc>
        <w:tc>
          <w:tcPr>
            <w:tcW w:w="1497" w:type="dxa"/>
            <w:shd w:val="clear" w:color="auto" w:fill="auto"/>
            <w:noWrap/>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(750)</w:t>
            </w:r>
          </w:p>
        </w:tc>
        <w:tc>
          <w:tcPr>
            <w:tcW w:w="1497" w:type="dxa"/>
            <w:shd w:val="clear" w:color="auto" w:fill="auto"/>
            <w:noWrap/>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224</w:t>
            </w:r>
          </w:p>
        </w:tc>
      </w:tr>
      <w:tr w:rsidR="00431F13" w:rsidRPr="003D52B9" w:rsidTr="00431F13">
        <w:trPr>
          <w:trHeight w:val="255"/>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Accrued salaries</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13</w:t>
            </w:r>
          </w:p>
        </w:tc>
      </w:tr>
      <w:tr w:rsidR="00431F13" w:rsidRPr="003D52B9" w:rsidTr="00431F13">
        <w:trPr>
          <w:trHeight w:val="255"/>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Accrued employee benefits</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(364)</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536</w:t>
            </w:r>
          </w:p>
        </w:tc>
      </w:tr>
      <w:tr w:rsidR="00431F13" w:rsidRPr="003D52B9" w:rsidTr="00431F13">
        <w:trPr>
          <w:trHeight w:val="285"/>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Net GST receipts/payments</w:t>
            </w:r>
            <w:r w:rsidRPr="003D52B9">
              <w:rPr>
                <w:rFonts w:ascii="Arial" w:eastAsia="Times New Roman" w:hAnsi="Arial" w:cs="Arial"/>
                <w:sz w:val="20"/>
                <w:szCs w:val="20"/>
                <w:vertAlign w:val="superscript"/>
                <w:lang w:val="en-AU" w:eastAsia="en-AU" w:bidi="ar-SA"/>
              </w:rPr>
              <w:t>(b)</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362</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330</w:t>
            </w:r>
          </w:p>
        </w:tc>
      </w:tr>
      <w:tr w:rsidR="00431F13" w:rsidRPr="003D52B9" w:rsidTr="00431F13">
        <w:trPr>
          <w:trHeight w:val="300"/>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sz w:val="20"/>
                <w:szCs w:val="20"/>
                <w:lang w:val="en-AU" w:eastAsia="en-AU" w:bidi="ar-SA"/>
              </w:rPr>
              <w:t>Change in GST in receivables/payables</w:t>
            </w:r>
            <w:r w:rsidRPr="003D52B9">
              <w:rPr>
                <w:rFonts w:ascii="Arial" w:eastAsia="Times New Roman" w:hAnsi="Arial" w:cs="Arial"/>
                <w:sz w:val="20"/>
                <w:szCs w:val="20"/>
                <w:vertAlign w:val="superscript"/>
                <w:lang w:val="en-AU" w:eastAsia="en-AU" w:bidi="ar-SA"/>
              </w:rPr>
              <w:t>(c)</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(299)</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sz w:val="20"/>
                <w:szCs w:val="20"/>
                <w:lang w:val="en-AU" w:eastAsia="en-AU" w:bidi="ar-SA"/>
              </w:rPr>
            </w:pPr>
            <w:r w:rsidRPr="003D52B9">
              <w:rPr>
                <w:rFonts w:ascii="Arial" w:eastAsia="Times New Roman" w:hAnsi="Arial" w:cs="Arial"/>
                <w:sz w:val="20"/>
                <w:szCs w:val="20"/>
                <w:lang w:val="en-AU" w:eastAsia="en-AU" w:bidi="ar-SA"/>
              </w:rPr>
              <w:t>(446)</w:t>
            </w:r>
          </w:p>
        </w:tc>
      </w:tr>
      <w:tr w:rsidR="00431F13" w:rsidRPr="003D52B9" w:rsidTr="00431F13">
        <w:trPr>
          <w:trHeight w:val="270"/>
        </w:trPr>
        <w:tc>
          <w:tcPr>
            <w:tcW w:w="8570" w:type="dxa"/>
            <w:shd w:val="clear" w:color="auto" w:fill="auto"/>
            <w:noWrap/>
            <w:hideMark/>
          </w:tcPr>
          <w:p w:rsidR="00431F13" w:rsidRPr="003D52B9" w:rsidRDefault="00431F13" w:rsidP="000E1D3A">
            <w:pPr>
              <w:widowControl/>
              <w:autoSpaceDE/>
              <w:autoSpaceDN/>
              <w:rPr>
                <w:rFonts w:ascii="Times New Roman" w:eastAsia="Times New Roman" w:hAnsi="Times New Roman" w:cs="Times New Roman"/>
                <w:sz w:val="20"/>
                <w:szCs w:val="20"/>
                <w:lang w:val="en-AU" w:eastAsia="en-AU" w:bidi="ar-SA"/>
              </w:rPr>
            </w:pPr>
            <w:r w:rsidRPr="003D52B9">
              <w:rPr>
                <w:rFonts w:ascii="Arial" w:eastAsia="Times New Roman" w:hAnsi="Arial" w:cs="Arial"/>
                <w:b/>
                <w:bCs/>
                <w:sz w:val="20"/>
                <w:szCs w:val="20"/>
                <w:lang w:val="en-AU" w:eastAsia="en-AU" w:bidi="ar-SA"/>
              </w:rPr>
              <w:t xml:space="preserve">Net cash provided by/(used in) operating activities </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(2,191)</w:t>
            </w:r>
          </w:p>
        </w:tc>
        <w:tc>
          <w:tcPr>
            <w:tcW w:w="1497" w:type="dxa"/>
            <w:shd w:val="clear" w:color="auto" w:fill="auto"/>
            <w:noWrap/>
            <w:hideMark/>
          </w:tcPr>
          <w:p w:rsidR="00431F13" w:rsidRPr="003D52B9" w:rsidRDefault="00431F13" w:rsidP="000E1D3A">
            <w:pPr>
              <w:widowControl/>
              <w:autoSpaceDE/>
              <w:autoSpaceDN/>
              <w:jc w:val="right"/>
              <w:rPr>
                <w:rFonts w:ascii="Arial" w:eastAsia="Times New Roman" w:hAnsi="Arial" w:cs="Arial"/>
                <w:b/>
                <w:bCs/>
                <w:sz w:val="20"/>
                <w:szCs w:val="20"/>
                <w:lang w:val="en-AU" w:eastAsia="en-AU" w:bidi="ar-SA"/>
              </w:rPr>
            </w:pPr>
            <w:r w:rsidRPr="003D52B9">
              <w:rPr>
                <w:rFonts w:ascii="Arial" w:eastAsia="Times New Roman" w:hAnsi="Arial" w:cs="Arial"/>
                <w:b/>
                <w:bCs/>
                <w:sz w:val="20"/>
                <w:szCs w:val="20"/>
                <w:lang w:val="en-AU" w:eastAsia="en-AU" w:bidi="ar-SA"/>
              </w:rPr>
              <w:t>(4,563)</w:t>
            </w:r>
          </w:p>
        </w:tc>
      </w:tr>
    </w:tbl>
    <w:p w:rsidR="00431F13" w:rsidRDefault="00431F13" w:rsidP="00431F13">
      <w:pPr>
        <w:pStyle w:val="BodyText"/>
      </w:pPr>
    </w:p>
    <w:p w:rsidR="003D52B9" w:rsidRDefault="003D52B9" w:rsidP="004151B8">
      <w:pPr>
        <w:pStyle w:val="BodyText"/>
        <w:numPr>
          <w:ilvl w:val="0"/>
          <w:numId w:val="29"/>
        </w:numPr>
      </w:pPr>
      <w:r w:rsidRPr="003D52B9">
        <w:t>Note that the Australian Taxation Office (ATO) receivable/payable in respect of GST and the receivable/payable in respect of the sale/purchase of non-current assets are not included in these items as they do not form part of the reconciling items.</w:t>
      </w:r>
    </w:p>
    <w:p w:rsidR="000927C1" w:rsidRDefault="000927C1" w:rsidP="004151B8">
      <w:pPr>
        <w:pStyle w:val="BodyText"/>
        <w:numPr>
          <w:ilvl w:val="0"/>
          <w:numId w:val="29"/>
        </w:numPr>
      </w:pPr>
      <w:r w:rsidRPr="000927C1">
        <w:t>This is the net GST paid/received, i.e. cash transactions.</w:t>
      </w:r>
    </w:p>
    <w:p w:rsidR="000927C1" w:rsidRDefault="000927C1" w:rsidP="004151B8">
      <w:pPr>
        <w:pStyle w:val="BodyText"/>
        <w:numPr>
          <w:ilvl w:val="0"/>
          <w:numId w:val="29"/>
        </w:numPr>
      </w:pPr>
      <w:r w:rsidRPr="000927C1">
        <w:t>This reverses out the GST in receivables and payables.</w:t>
      </w:r>
    </w:p>
    <w:p w:rsidR="00431F13" w:rsidRDefault="000927C1" w:rsidP="000927C1">
      <w:pPr>
        <w:pStyle w:val="BodyText"/>
        <w:ind w:left="360"/>
      </w:pPr>
      <w:r w:rsidRPr="000927C1">
        <w:t>The mandatory application of AASB 2016-2 Amendments to Australian Accounting Standards - Disclosure Initiative: Amendments to AASB 107 imposed disclosure impacts only. The sub-department is not exposed to changes in liabilities arising from financing activities, including both changes arising from cash flows and non-cash changes.</w:t>
      </w:r>
    </w:p>
    <w:p w:rsidR="00431F13" w:rsidRDefault="00431F13">
      <w:pPr>
        <w:rPr>
          <w:sz w:val="24"/>
          <w:szCs w:val="24"/>
        </w:rPr>
      </w:pPr>
      <w:r>
        <w:br w:type="page"/>
      </w:r>
    </w:p>
    <w:p w:rsidR="000927C1" w:rsidRDefault="000927C1" w:rsidP="000927C1">
      <w:pPr>
        <w:pStyle w:val="BodyText"/>
        <w:ind w:left="360"/>
      </w:pPr>
    </w:p>
    <w:p w:rsidR="000927C1" w:rsidRDefault="000927C1" w:rsidP="000927C1">
      <w:pPr>
        <w:pStyle w:val="Heading2"/>
        <w:ind w:left="284"/>
      </w:pPr>
      <w:r>
        <w:t>Note 23. Commitments</w:t>
      </w:r>
    </w:p>
    <w:p w:rsidR="000927C1" w:rsidRPr="000927C1" w:rsidRDefault="000927C1" w:rsidP="000927C1">
      <w:pPr>
        <w:pStyle w:val="BodyText"/>
        <w:ind w:left="284"/>
        <w:rPr>
          <w:b/>
        </w:rPr>
      </w:pPr>
      <w:r w:rsidRPr="000927C1">
        <w:rPr>
          <w:b/>
        </w:rPr>
        <w:t>Non-cancellable operating lease commitments</w:t>
      </w:r>
    </w:p>
    <w:tbl>
      <w:tblPr>
        <w:tblW w:w="115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472"/>
        <w:gridCol w:w="1472"/>
      </w:tblGrid>
      <w:tr w:rsidR="002627E2" w:rsidRPr="000927C1" w:rsidTr="0054212C">
        <w:trPr>
          <w:trHeight w:val="510"/>
        </w:trPr>
        <w:tc>
          <w:tcPr>
            <w:tcW w:w="8612" w:type="dxa"/>
            <w:shd w:val="clear" w:color="auto" w:fill="auto"/>
            <w:noWrap/>
            <w:hideMark/>
          </w:tcPr>
          <w:p w:rsidR="002627E2" w:rsidRPr="000927C1" w:rsidRDefault="002627E2" w:rsidP="000927C1">
            <w:pPr>
              <w:widowControl/>
              <w:autoSpaceDE/>
              <w:autoSpaceDN/>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 </w:t>
            </w:r>
            <w:r w:rsidR="00431F13">
              <w:rPr>
                <w:rFonts w:ascii="Arial" w:eastAsia="Times New Roman" w:hAnsi="Arial" w:cs="Arial"/>
                <w:sz w:val="20"/>
                <w:szCs w:val="20"/>
                <w:lang w:val="en-AU" w:eastAsia="en-AU" w:bidi="ar-SA"/>
              </w:rPr>
              <w:t>Commitments for minimum lease payments payable</w:t>
            </w:r>
          </w:p>
        </w:tc>
        <w:tc>
          <w:tcPr>
            <w:tcW w:w="1472" w:type="dxa"/>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2018</w:t>
            </w:r>
            <w:r w:rsidRPr="000927C1">
              <w:rPr>
                <w:rFonts w:ascii="Arial" w:eastAsia="Times New Roman" w:hAnsi="Arial" w:cs="Arial"/>
                <w:b/>
                <w:bCs/>
                <w:sz w:val="20"/>
                <w:szCs w:val="20"/>
                <w:lang w:val="en-AU" w:eastAsia="en-AU" w:bidi="ar-SA"/>
              </w:rPr>
              <w:br/>
              <w:t>$000</w:t>
            </w:r>
          </w:p>
        </w:tc>
        <w:tc>
          <w:tcPr>
            <w:tcW w:w="1472" w:type="dxa"/>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2017</w:t>
            </w:r>
            <w:r w:rsidRPr="000927C1">
              <w:rPr>
                <w:rFonts w:ascii="Arial" w:eastAsia="Times New Roman" w:hAnsi="Arial" w:cs="Arial"/>
                <w:b/>
                <w:bCs/>
                <w:sz w:val="20"/>
                <w:szCs w:val="20"/>
                <w:lang w:val="en-AU" w:eastAsia="en-AU" w:bidi="ar-SA"/>
              </w:rPr>
              <w:br/>
              <w:t>$000</w:t>
            </w:r>
          </w:p>
        </w:tc>
      </w:tr>
      <w:tr w:rsidR="002627E2" w:rsidRPr="000927C1" w:rsidTr="0054212C">
        <w:trPr>
          <w:trHeight w:val="255"/>
        </w:trPr>
        <w:tc>
          <w:tcPr>
            <w:tcW w:w="8612" w:type="dxa"/>
            <w:shd w:val="clear" w:color="auto" w:fill="auto"/>
            <w:noWrap/>
            <w:hideMark/>
          </w:tcPr>
          <w:p w:rsidR="002627E2" w:rsidRPr="000927C1" w:rsidRDefault="002627E2" w:rsidP="000927C1">
            <w:pPr>
              <w:widowControl/>
              <w:autoSpaceDE/>
              <w:autoSpaceDN/>
              <w:rPr>
                <w:rFonts w:ascii="Times New Roman" w:eastAsia="Times New Roman" w:hAnsi="Times New Roman" w:cs="Times New Roman"/>
                <w:sz w:val="20"/>
                <w:szCs w:val="20"/>
                <w:lang w:val="en-AU" w:eastAsia="en-AU" w:bidi="ar-SA"/>
              </w:rPr>
            </w:pPr>
            <w:r w:rsidRPr="000927C1">
              <w:rPr>
                <w:rFonts w:ascii="Arial" w:eastAsia="Times New Roman" w:hAnsi="Arial" w:cs="Arial"/>
                <w:sz w:val="20"/>
                <w:szCs w:val="20"/>
                <w:lang w:val="en-AU" w:eastAsia="en-AU" w:bidi="ar-SA"/>
              </w:rPr>
              <w:t>Within 1 year</w:t>
            </w:r>
          </w:p>
        </w:tc>
        <w:tc>
          <w:tcPr>
            <w:tcW w:w="1472"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0</w:t>
            </w:r>
          </w:p>
        </w:tc>
        <w:tc>
          <w:tcPr>
            <w:tcW w:w="1472"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569</w:t>
            </w:r>
          </w:p>
        </w:tc>
      </w:tr>
      <w:tr w:rsidR="002627E2" w:rsidRPr="000927C1" w:rsidTr="0054212C">
        <w:trPr>
          <w:trHeight w:val="270"/>
        </w:trPr>
        <w:tc>
          <w:tcPr>
            <w:tcW w:w="8612" w:type="dxa"/>
            <w:shd w:val="clear" w:color="auto" w:fill="auto"/>
            <w:noWrap/>
            <w:hideMark/>
          </w:tcPr>
          <w:p w:rsidR="002627E2" w:rsidRPr="000927C1" w:rsidRDefault="00431F13" w:rsidP="000927C1">
            <w:pPr>
              <w:widowControl/>
              <w:autoSpaceDE/>
              <w:autoSpaceDN/>
              <w:rPr>
                <w:rFonts w:ascii="Times New Roman" w:eastAsia="Times New Roman" w:hAnsi="Times New Roman" w:cs="Times New Roman"/>
                <w:sz w:val="20"/>
                <w:szCs w:val="20"/>
                <w:lang w:val="en-AU" w:eastAsia="en-AU" w:bidi="ar-SA"/>
              </w:rPr>
            </w:pPr>
            <w:r w:rsidRPr="00431F13">
              <w:rPr>
                <w:rFonts w:ascii="Arial" w:eastAsia="Times New Roman" w:hAnsi="Arial" w:cs="Arial"/>
                <w:sz w:val="20"/>
                <w:szCs w:val="20"/>
                <w:lang w:val="en-AU" w:eastAsia="en-AU" w:bidi="ar-SA"/>
              </w:rPr>
              <w:t>Total</w:t>
            </w:r>
          </w:p>
        </w:tc>
        <w:tc>
          <w:tcPr>
            <w:tcW w:w="1472"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0</w:t>
            </w:r>
          </w:p>
        </w:tc>
        <w:tc>
          <w:tcPr>
            <w:tcW w:w="1472"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569</w:t>
            </w:r>
          </w:p>
        </w:tc>
      </w:tr>
    </w:tbl>
    <w:p w:rsidR="000927C1" w:rsidRDefault="000927C1" w:rsidP="000927C1">
      <w:pPr>
        <w:pStyle w:val="BodyText"/>
        <w:ind w:left="360"/>
      </w:pPr>
    </w:p>
    <w:p w:rsidR="000927C1" w:rsidRDefault="000927C1" w:rsidP="000927C1">
      <w:pPr>
        <w:pStyle w:val="BodyText"/>
        <w:ind w:left="284"/>
      </w:pPr>
      <w:r w:rsidRPr="000927C1">
        <w:t xml:space="preserve">The sub-department has entered into a property lease which is a non-cancellable lease with a </w:t>
      </w:r>
      <w:proofErr w:type="gramStart"/>
      <w:r w:rsidRPr="000927C1">
        <w:t>3 year</w:t>
      </w:r>
      <w:proofErr w:type="gramEnd"/>
      <w:r w:rsidRPr="000927C1">
        <w:t xml:space="preserve"> term, with rent payable monthly in advance. The lease term ends on 30/06/2018. No options exist</w:t>
      </w:r>
      <w:r>
        <w:t xml:space="preserve">. </w:t>
      </w:r>
    </w:p>
    <w:p w:rsidR="000927C1" w:rsidRDefault="000927C1">
      <w:pPr>
        <w:rPr>
          <w:sz w:val="24"/>
          <w:szCs w:val="24"/>
        </w:rPr>
      </w:pPr>
      <w:r>
        <w:br w:type="page"/>
      </w:r>
    </w:p>
    <w:p w:rsidR="000927C1" w:rsidRDefault="000927C1" w:rsidP="000927C1">
      <w:pPr>
        <w:ind w:left="284"/>
        <w:rPr>
          <w:b/>
        </w:rPr>
      </w:pPr>
      <w:r w:rsidRPr="000927C1">
        <w:rPr>
          <w:b/>
          <w:sz w:val="24"/>
        </w:rPr>
        <w:lastRenderedPageBreak/>
        <w:t>Other expenditure commitments</w:t>
      </w:r>
    </w:p>
    <w:tbl>
      <w:tblPr>
        <w:tblW w:w="114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418"/>
        <w:gridCol w:w="1417"/>
      </w:tblGrid>
      <w:tr w:rsidR="002627E2" w:rsidRPr="000927C1" w:rsidTr="0054212C">
        <w:trPr>
          <w:trHeight w:val="510"/>
        </w:trPr>
        <w:tc>
          <w:tcPr>
            <w:tcW w:w="8647" w:type="dxa"/>
            <w:shd w:val="clear" w:color="auto" w:fill="auto"/>
            <w:noWrap/>
            <w:hideMark/>
          </w:tcPr>
          <w:p w:rsidR="002627E2" w:rsidRPr="000927C1" w:rsidRDefault="00431F13" w:rsidP="000927C1">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Other expenditure commitments for supplies and services contracted for at the end of the reporting period but not recognised as liabilities, are payable as follows</w:t>
            </w:r>
          </w:p>
        </w:tc>
        <w:tc>
          <w:tcPr>
            <w:tcW w:w="1418" w:type="dxa"/>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2018</w:t>
            </w:r>
            <w:r w:rsidRPr="000927C1">
              <w:rPr>
                <w:rFonts w:ascii="Arial" w:eastAsia="Times New Roman" w:hAnsi="Arial" w:cs="Arial"/>
                <w:b/>
                <w:bCs/>
                <w:sz w:val="20"/>
                <w:szCs w:val="20"/>
                <w:lang w:val="en-AU" w:eastAsia="en-AU" w:bidi="ar-SA"/>
              </w:rPr>
              <w:br/>
              <w:t>$000</w:t>
            </w:r>
          </w:p>
        </w:tc>
        <w:tc>
          <w:tcPr>
            <w:tcW w:w="1417" w:type="dxa"/>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2017</w:t>
            </w:r>
            <w:r w:rsidRPr="000927C1">
              <w:rPr>
                <w:rFonts w:ascii="Arial" w:eastAsia="Times New Roman" w:hAnsi="Arial" w:cs="Arial"/>
                <w:b/>
                <w:bCs/>
                <w:sz w:val="20"/>
                <w:szCs w:val="20"/>
                <w:lang w:val="en-AU" w:eastAsia="en-AU" w:bidi="ar-SA"/>
              </w:rPr>
              <w:br/>
              <w:t>$000</w:t>
            </w:r>
          </w:p>
        </w:tc>
      </w:tr>
      <w:tr w:rsidR="002627E2" w:rsidRPr="000927C1" w:rsidTr="0054212C">
        <w:trPr>
          <w:trHeight w:val="255"/>
        </w:trPr>
        <w:tc>
          <w:tcPr>
            <w:tcW w:w="8647" w:type="dxa"/>
            <w:shd w:val="clear" w:color="auto" w:fill="auto"/>
            <w:noWrap/>
            <w:hideMark/>
          </w:tcPr>
          <w:p w:rsidR="002627E2" w:rsidRPr="000927C1" w:rsidRDefault="002627E2" w:rsidP="000927C1">
            <w:pPr>
              <w:widowControl/>
              <w:autoSpaceDE/>
              <w:autoSpaceDN/>
              <w:rPr>
                <w:rFonts w:ascii="Times New Roman" w:eastAsia="Times New Roman" w:hAnsi="Times New Roman" w:cs="Times New Roman"/>
                <w:sz w:val="20"/>
                <w:szCs w:val="20"/>
                <w:lang w:val="en-AU" w:eastAsia="en-AU" w:bidi="ar-SA"/>
              </w:rPr>
            </w:pPr>
            <w:r w:rsidRPr="000927C1">
              <w:rPr>
                <w:rFonts w:ascii="Arial" w:eastAsia="Times New Roman" w:hAnsi="Arial" w:cs="Arial"/>
                <w:sz w:val="20"/>
                <w:szCs w:val="20"/>
                <w:lang w:val="en-AU" w:eastAsia="en-AU" w:bidi="ar-SA"/>
              </w:rPr>
              <w:t>Within 1 year</w:t>
            </w:r>
          </w:p>
        </w:tc>
        <w:tc>
          <w:tcPr>
            <w:tcW w:w="1418"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0</w:t>
            </w:r>
          </w:p>
        </w:tc>
        <w:tc>
          <w:tcPr>
            <w:tcW w:w="1417" w:type="dxa"/>
            <w:shd w:val="clear" w:color="auto" w:fill="auto"/>
            <w:noWrap/>
            <w:hideMark/>
          </w:tcPr>
          <w:p w:rsidR="002627E2" w:rsidRPr="000927C1" w:rsidRDefault="002627E2"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1,251</w:t>
            </w:r>
          </w:p>
        </w:tc>
      </w:tr>
      <w:tr w:rsidR="002627E2" w:rsidRPr="000927C1" w:rsidTr="0054212C">
        <w:trPr>
          <w:trHeight w:val="270"/>
        </w:trPr>
        <w:tc>
          <w:tcPr>
            <w:tcW w:w="8647" w:type="dxa"/>
            <w:shd w:val="clear" w:color="auto" w:fill="auto"/>
            <w:noWrap/>
            <w:hideMark/>
          </w:tcPr>
          <w:p w:rsidR="002627E2" w:rsidRPr="000927C1" w:rsidRDefault="00431F13" w:rsidP="000927C1">
            <w:pPr>
              <w:widowControl/>
              <w:autoSpaceDE/>
              <w:autoSpaceDN/>
              <w:rPr>
                <w:rFonts w:ascii="Times New Roman" w:eastAsia="Times New Roman" w:hAnsi="Times New Roman" w:cs="Times New Roman"/>
                <w:sz w:val="20"/>
                <w:szCs w:val="20"/>
                <w:lang w:val="en-AU" w:eastAsia="en-AU" w:bidi="ar-SA"/>
              </w:rPr>
            </w:pPr>
            <w:r w:rsidRPr="00431F13">
              <w:rPr>
                <w:rFonts w:ascii="Arial" w:eastAsia="Times New Roman" w:hAnsi="Arial" w:cs="Arial"/>
                <w:sz w:val="20"/>
                <w:szCs w:val="20"/>
                <w:lang w:val="en-AU" w:eastAsia="en-AU" w:bidi="ar-SA"/>
              </w:rPr>
              <w:t>Total</w:t>
            </w:r>
          </w:p>
        </w:tc>
        <w:tc>
          <w:tcPr>
            <w:tcW w:w="1418" w:type="dxa"/>
            <w:shd w:val="clear" w:color="auto" w:fill="auto"/>
            <w:noWrap/>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0</w:t>
            </w:r>
          </w:p>
        </w:tc>
        <w:tc>
          <w:tcPr>
            <w:tcW w:w="1417" w:type="dxa"/>
            <w:shd w:val="clear" w:color="auto" w:fill="auto"/>
            <w:noWrap/>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1,251</w:t>
            </w:r>
          </w:p>
        </w:tc>
      </w:tr>
    </w:tbl>
    <w:p w:rsidR="000927C1" w:rsidRDefault="000927C1" w:rsidP="000927C1">
      <w:pPr>
        <w:pStyle w:val="Heading2"/>
        <w:ind w:left="284"/>
      </w:pPr>
      <w:r>
        <w:t>Note 24. Related and affiliated bodies</w:t>
      </w:r>
    </w:p>
    <w:p w:rsidR="000927C1" w:rsidRDefault="000927C1" w:rsidP="00265A1B">
      <w:pPr>
        <w:pStyle w:val="BodyText"/>
        <w:spacing w:after="240"/>
        <w:ind w:left="284"/>
      </w:pPr>
      <w:r w:rsidRPr="000927C1">
        <w:t>The sub-department has no related or affiliated bodies.</w:t>
      </w:r>
    </w:p>
    <w:p w:rsidR="000927C1" w:rsidRDefault="000927C1" w:rsidP="000927C1">
      <w:pPr>
        <w:pStyle w:val="Heading2"/>
        <w:ind w:left="284"/>
      </w:pPr>
      <w:r w:rsidRPr="000927C1">
        <w:t>Note 25. Events occurring after the end of the reporting period</w:t>
      </w:r>
    </w:p>
    <w:p w:rsidR="000927C1" w:rsidRDefault="000927C1" w:rsidP="00265A1B">
      <w:pPr>
        <w:pStyle w:val="BodyText"/>
        <w:spacing w:after="240"/>
        <w:ind w:left="284"/>
      </w:pPr>
      <w:r w:rsidRPr="000927C1">
        <w:t>From 1 July 2018, the sub-department will be abolished and transferred to the Department of the Premier and Cabinet as a business unit.</w:t>
      </w:r>
    </w:p>
    <w:p w:rsidR="000927C1" w:rsidRDefault="000927C1" w:rsidP="00431F13">
      <w:pPr>
        <w:pStyle w:val="Heading2"/>
        <w:ind w:left="284"/>
      </w:pPr>
      <w:r w:rsidRPr="000927C1">
        <w:t>Note 26. Remuneration of auditor</w:t>
      </w:r>
    </w:p>
    <w:tbl>
      <w:tblPr>
        <w:tblW w:w="115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7"/>
        <w:gridCol w:w="1635"/>
        <w:gridCol w:w="6"/>
      </w:tblGrid>
      <w:tr w:rsidR="002627E2" w:rsidRPr="000927C1" w:rsidTr="0054212C">
        <w:trPr>
          <w:trHeight w:val="510"/>
        </w:trPr>
        <w:tc>
          <w:tcPr>
            <w:tcW w:w="8505" w:type="dxa"/>
            <w:shd w:val="clear" w:color="auto" w:fill="auto"/>
            <w:noWrap/>
            <w:hideMark/>
          </w:tcPr>
          <w:p w:rsidR="002627E2" w:rsidRPr="000927C1" w:rsidRDefault="00431F13" w:rsidP="000927C1">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Remuneration paid or payable to the Auditor General in respect of the audit for the current reporting period is as follows:</w:t>
            </w:r>
          </w:p>
        </w:tc>
        <w:tc>
          <w:tcPr>
            <w:tcW w:w="1417" w:type="dxa"/>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2018</w:t>
            </w:r>
            <w:r w:rsidRPr="000927C1">
              <w:rPr>
                <w:rFonts w:ascii="Arial" w:eastAsia="Times New Roman" w:hAnsi="Arial" w:cs="Arial"/>
                <w:b/>
                <w:bCs/>
                <w:sz w:val="20"/>
                <w:szCs w:val="20"/>
                <w:lang w:val="en-AU" w:eastAsia="en-AU" w:bidi="ar-SA"/>
              </w:rPr>
              <w:br/>
              <w:t>$000</w:t>
            </w:r>
          </w:p>
        </w:tc>
        <w:tc>
          <w:tcPr>
            <w:tcW w:w="1641" w:type="dxa"/>
            <w:gridSpan w:val="2"/>
            <w:shd w:val="clear" w:color="auto" w:fill="auto"/>
            <w:vAlign w:val="bottom"/>
            <w:hideMark/>
          </w:tcPr>
          <w:p w:rsidR="002627E2" w:rsidRPr="000927C1" w:rsidRDefault="002627E2" w:rsidP="000927C1">
            <w:pPr>
              <w:widowControl/>
              <w:autoSpaceDE/>
              <w:autoSpaceDN/>
              <w:jc w:val="right"/>
              <w:rPr>
                <w:rFonts w:ascii="Arial" w:eastAsia="Times New Roman" w:hAnsi="Arial" w:cs="Arial"/>
                <w:b/>
                <w:bCs/>
                <w:sz w:val="20"/>
                <w:szCs w:val="20"/>
                <w:lang w:val="en-AU" w:eastAsia="en-AU" w:bidi="ar-SA"/>
              </w:rPr>
            </w:pPr>
            <w:r w:rsidRPr="000927C1">
              <w:rPr>
                <w:rFonts w:ascii="Arial" w:eastAsia="Times New Roman" w:hAnsi="Arial" w:cs="Arial"/>
                <w:b/>
                <w:bCs/>
                <w:sz w:val="20"/>
                <w:szCs w:val="20"/>
                <w:lang w:val="en-AU" w:eastAsia="en-AU" w:bidi="ar-SA"/>
              </w:rPr>
              <w:t>2017</w:t>
            </w:r>
            <w:r w:rsidRPr="000927C1">
              <w:rPr>
                <w:rFonts w:ascii="Arial" w:eastAsia="Times New Roman" w:hAnsi="Arial" w:cs="Arial"/>
                <w:b/>
                <w:bCs/>
                <w:sz w:val="20"/>
                <w:szCs w:val="20"/>
                <w:lang w:val="en-AU" w:eastAsia="en-AU" w:bidi="ar-SA"/>
              </w:rPr>
              <w:br/>
              <w:t>$000</w:t>
            </w:r>
          </w:p>
        </w:tc>
      </w:tr>
      <w:tr w:rsidR="000927C1" w:rsidRPr="000927C1" w:rsidTr="0054212C">
        <w:trPr>
          <w:gridAfter w:val="1"/>
          <w:wAfter w:w="6" w:type="dxa"/>
          <w:trHeight w:val="255"/>
        </w:trPr>
        <w:tc>
          <w:tcPr>
            <w:tcW w:w="8505" w:type="dxa"/>
            <w:shd w:val="clear" w:color="auto" w:fill="auto"/>
            <w:vAlign w:val="center"/>
            <w:hideMark/>
          </w:tcPr>
          <w:p w:rsidR="000927C1" w:rsidRPr="000927C1" w:rsidRDefault="000927C1" w:rsidP="000927C1">
            <w:pPr>
              <w:widowControl/>
              <w:autoSpaceDE/>
              <w:autoSpaceDN/>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Auditing the accounts, financial statements, controls, and, key performance indicators</w:t>
            </w:r>
          </w:p>
        </w:tc>
        <w:tc>
          <w:tcPr>
            <w:tcW w:w="1417" w:type="dxa"/>
            <w:shd w:val="clear" w:color="auto" w:fill="auto"/>
            <w:noWrap/>
            <w:hideMark/>
          </w:tcPr>
          <w:p w:rsidR="000927C1" w:rsidRPr="000927C1" w:rsidRDefault="000927C1"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19</w:t>
            </w:r>
          </w:p>
        </w:tc>
        <w:tc>
          <w:tcPr>
            <w:tcW w:w="1635" w:type="dxa"/>
            <w:shd w:val="clear" w:color="auto" w:fill="auto"/>
            <w:noWrap/>
            <w:hideMark/>
          </w:tcPr>
          <w:p w:rsidR="000927C1" w:rsidRPr="000927C1" w:rsidRDefault="000927C1" w:rsidP="000927C1">
            <w:pPr>
              <w:widowControl/>
              <w:autoSpaceDE/>
              <w:autoSpaceDN/>
              <w:jc w:val="right"/>
              <w:rPr>
                <w:rFonts w:ascii="Arial" w:eastAsia="Times New Roman" w:hAnsi="Arial" w:cs="Arial"/>
                <w:sz w:val="20"/>
                <w:szCs w:val="20"/>
                <w:lang w:val="en-AU" w:eastAsia="en-AU" w:bidi="ar-SA"/>
              </w:rPr>
            </w:pPr>
            <w:r w:rsidRPr="000927C1">
              <w:rPr>
                <w:rFonts w:ascii="Arial" w:eastAsia="Times New Roman" w:hAnsi="Arial" w:cs="Arial"/>
                <w:sz w:val="20"/>
                <w:szCs w:val="20"/>
                <w:lang w:val="en-AU" w:eastAsia="en-AU" w:bidi="ar-SA"/>
              </w:rPr>
              <w:t>17</w:t>
            </w:r>
          </w:p>
        </w:tc>
      </w:tr>
    </w:tbl>
    <w:p w:rsidR="00E9336D" w:rsidRDefault="000927C1" w:rsidP="000927C1">
      <w:pPr>
        <w:pStyle w:val="Heading2"/>
        <w:ind w:left="284"/>
      </w:pPr>
      <w:r w:rsidRPr="000927C1">
        <w:br w:type="page"/>
      </w:r>
      <w:r w:rsidRPr="000927C1">
        <w:lastRenderedPageBreak/>
        <w:t>Note 27. Compensation of Key Management Personnel</w:t>
      </w:r>
    </w:p>
    <w:p w:rsidR="004151B8" w:rsidRDefault="004151B8" w:rsidP="006604EC">
      <w:pPr>
        <w:pStyle w:val="BodyText"/>
        <w:ind w:left="284"/>
      </w:pPr>
      <w:r w:rsidRPr="004151B8">
        <w:t>The sub-department has determined that Key management personnel include the responsible Minister and senior officer of the sub-department. However, the sub-department is not obligated to compensate the responsible Minister and therefore disclosures in relation to Minister's compensation may be found in the Annual Report on State Finances.</w:t>
      </w:r>
    </w:p>
    <w:p w:rsidR="004151B8" w:rsidRDefault="004151B8" w:rsidP="006604EC">
      <w:pPr>
        <w:pStyle w:val="BodyText"/>
        <w:ind w:left="284"/>
      </w:pPr>
      <w:r w:rsidRPr="004151B8">
        <w:t>Total compensation for senior officers of the sub-department for the reporting period are presented within the following bands:</w:t>
      </w:r>
    </w:p>
    <w:p w:rsidR="004151B8" w:rsidRDefault="004151B8" w:rsidP="004151B8">
      <w:pPr>
        <w:pStyle w:val="BodyText"/>
      </w:pPr>
    </w:p>
    <w:tbl>
      <w:tblPr>
        <w:tblW w:w="115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1520"/>
        <w:gridCol w:w="1520"/>
      </w:tblGrid>
      <w:tr w:rsidR="002627E2" w:rsidRPr="004151B8" w:rsidTr="006604EC">
        <w:trPr>
          <w:trHeight w:val="510"/>
        </w:trPr>
        <w:tc>
          <w:tcPr>
            <w:tcW w:w="8514" w:type="dxa"/>
            <w:shd w:val="clear" w:color="auto" w:fill="auto"/>
            <w:hideMark/>
          </w:tcPr>
          <w:p w:rsidR="002627E2" w:rsidRPr="004151B8" w:rsidRDefault="002627E2" w:rsidP="004151B8">
            <w:pPr>
              <w:widowControl/>
              <w:autoSpaceDE/>
              <w:autoSpaceDN/>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 </w:t>
            </w:r>
            <w:r w:rsidR="00151A75">
              <w:rPr>
                <w:rFonts w:ascii="Arial" w:eastAsia="Times New Roman" w:hAnsi="Arial" w:cs="Arial"/>
                <w:sz w:val="20"/>
                <w:szCs w:val="20"/>
                <w:lang w:val="en-AU" w:eastAsia="en-AU" w:bidi="ar-SA"/>
              </w:rPr>
              <w:t>Compensation Band ($)</w:t>
            </w:r>
          </w:p>
        </w:tc>
        <w:tc>
          <w:tcPr>
            <w:tcW w:w="1520" w:type="dxa"/>
            <w:shd w:val="clear" w:color="auto" w:fill="auto"/>
            <w:vAlign w:val="bottom"/>
            <w:hideMark/>
          </w:tcPr>
          <w:p w:rsidR="002627E2" w:rsidRPr="004151B8" w:rsidRDefault="002627E2" w:rsidP="004151B8">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t>2018</w:t>
            </w:r>
            <w:r w:rsidRPr="004151B8">
              <w:rPr>
                <w:rFonts w:ascii="Arial" w:eastAsia="Times New Roman" w:hAnsi="Arial" w:cs="Arial"/>
                <w:b/>
                <w:bCs/>
                <w:sz w:val="20"/>
                <w:szCs w:val="20"/>
                <w:lang w:val="en-AU" w:eastAsia="en-AU" w:bidi="ar-SA"/>
              </w:rPr>
              <w:br/>
              <w:t>$000</w:t>
            </w:r>
          </w:p>
        </w:tc>
        <w:tc>
          <w:tcPr>
            <w:tcW w:w="1520" w:type="dxa"/>
            <w:shd w:val="clear" w:color="auto" w:fill="auto"/>
            <w:vAlign w:val="bottom"/>
            <w:hideMark/>
          </w:tcPr>
          <w:p w:rsidR="002627E2" w:rsidRPr="004151B8" w:rsidRDefault="002627E2" w:rsidP="004151B8">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t>2017</w:t>
            </w:r>
            <w:r w:rsidRPr="004151B8">
              <w:rPr>
                <w:rFonts w:ascii="Arial" w:eastAsia="Times New Roman" w:hAnsi="Arial" w:cs="Arial"/>
                <w:b/>
                <w:bCs/>
                <w:sz w:val="20"/>
                <w:szCs w:val="20"/>
                <w:lang w:val="en-AU" w:eastAsia="en-AU" w:bidi="ar-SA"/>
              </w:rPr>
              <w:br/>
              <w:t>$000</w:t>
            </w:r>
          </w:p>
        </w:tc>
      </w:tr>
      <w:tr w:rsidR="002627E2" w:rsidRPr="004151B8" w:rsidTr="006604EC">
        <w:trPr>
          <w:trHeight w:val="28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$60,001 - 70,000</w:t>
            </w:r>
            <w:r w:rsidRPr="004151B8">
              <w:rPr>
                <w:rFonts w:ascii="Arial" w:eastAsia="Times New Roman" w:hAnsi="Arial" w:cs="Arial"/>
                <w:color w:val="000000"/>
                <w:sz w:val="20"/>
                <w:szCs w:val="20"/>
                <w:vertAlign w:val="superscript"/>
                <w:lang w:val="en-AU" w:eastAsia="en-AU" w:bidi="ar-SA"/>
              </w:rPr>
              <w:t>(a)</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$180,001 - 190,000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$190,001 - 200,000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$220,001 - 230,000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$230,001 - 240,000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2</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$240,001 - 250,000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r>
      <w:tr w:rsidR="002627E2" w:rsidRPr="004151B8" w:rsidTr="006604EC">
        <w:trPr>
          <w:trHeight w:val="25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$280,001 - 290,000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r>
      <w:tr w:rsidR="002627E2" w:rsidRPr="004151B8" w:rsidTr="006604EC">
        <w:trPr>
          <w:trHeight w:val="285"/>
        </w:trPr>
        <w:tc>
          <w:tcPr>
            <w:tcW w:w="8514" w:type="dxa"/>
            <w:shd w:val="clear" w:color="auto" w:fill="auto"/>
            <w:noWrap/>
            <w:vAlign w:val="bottom"/>
            <w:hideMark/>
          </w:tcPr>
          <w:p w:rsidR="002627E2" w:rsidRPr="004151B8" w:rsidRDefault="002627E2" w:rsidP="004151B8">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color w:val="000000"/>
                <w:sz w:val="20"/>
                <w:szCs w:val="20"/>
                <w:lang w:val="en-AU" w:eastAsia="en-AU" w:bidi="ar-SA"/>
              </w:rPr>
              <w:t>$430,001 - 440,000</w:t>
            </w:r>
            <w:r w:rsidRPr="004151B8">
              <w:rPr>
                <w:rFonts w:ascii="Arial" w:eastAsia="Times New Roman" w:hAnsi="Arial" w:cs="Arial"/>
                <w:color w:val="000000"/>
                <w:sz w:val="20"/>
                <w:szCs w:val="20"/>
                <w:vertAlign w:val="superscript"/>
                <w:lang w:val="en-AU" w:eastAsia="en-AU" w:bidi="ar-SA"/>
              </w:rPr>
              <w:t>(b)</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c>
          <w:tcPr>
            <w:tcW w:w="1520" w:type="dxa"/>
            <w:shd w:val="clear" w:color="auto" w:fill="auto"/>
            <w:noWrap/>
            <w:hideMark/>
          </w:tcPr>
          <w:p w:rsidR="002627E2" w:rsidRPr="004151B8" w:rsidRDefault="002627E2" w:rsidP="004151B8">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w:t>
            </w:r>
          </w:p>
        </w:tc>
      </w:tr>
    </w:tbl>
    <w:p w:rsidR="00151A75" w:rsidRDefault="00151A75" w:rsidP="00151A75">
      <w:pPr>
        <w:pStyle w:val="BodyText"/>
        <w:ind w:left="720"/>
      </w:pPr>
    </w:p>
    <w:tbl>
      <w:tblPr>
        <w:tblW w:w="115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1520"/>
        <w:gridCol w:w="1520"/>
      </w:tblGrid>
      <w:tr w:rsidR="00151A75" w:rsidRPr="004151B8" w:rsidTr="006604EC">
        <w:trPr>
          <w:trHeight w:val="330"/>
        </w:trPr>
        <w:tc>
          <w:tcPr>
            <w:tcW w:w="8514" w:type="dxa"/>
            <w:shd w:val="clear" w:color="auto" w:fill="auto"/>
            <w:noWrap/>
            <w:hideMark/>
          </w:tcPr>
          <w:p w:rsidR="00151A75" w:rsidRPr="004151B8"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eastAsia="en-AU"/>
              </w:rPr>
              <w:t>Employee benefits</w:t>
            </w:r>
          </w:p>
        </w:tc>
        <w:tc>
          <w:tcPr>
            <w:tcW w:w="1520" w:type="dxa"/>
            <w:shd w:val="clear" w:color="auto" w:fill="auto"/>
            <w:vAlign w:val="bottom"/>
            <w:hideMark/>
          </w:tcPr>
          <w:p w:rsidR="00151A75" w:rsidRPr="004151B8" w:rsidRDefault="00151A75" w:rsidP="000E1D3A">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br/>
              <w:t>$000</w:t>
            </w:r>
          </w:p>
        </w:tc>
        <w:tc>
          <w:tcPr>
            <w:tcW w:w="1520" w:type="dxa"/>
            <w:shd w:val="clear" w:color="auto" w:fill="auto"/>
            <w:vAlign w:val="bottom"/>
            <w:hideMark/>
          </w:tcPr>
          <w:p w:rsidR="00151A75" w:rsidRPr="004151B8" w:rsidRDefault="00151A75" w:rsidP="000E1D3A">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br/>
              <w:t>$000</w:t>
            </w:r>
          </w:p>
        </w:tc>
      </w:tr>
      <w:tr w:rsidR="00151A75" w:rsidRPr="004151B8" w:rsidTr="006604EC">
        <w:trPr>
          <w:trHeight w:val="285"/>
        </w:trPr>
        <w:tc>
          <w:tcPr>
            <w:tcW w:w="8514" w:type="dxa"/>
            <w:shd w:val="clear" w:color="auto" w:fill="auto"/>
            <w:noWrap/>
            <w:vAlign w:val="bottom"/>
            <w:hideMark/>
          </w:tcPr>
          <w:p w:rsidR="00151A75" w:rsidRPr="004151B8" w:rsidRDefault="00151A75" w:rsidP="000E1D3A">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sz w:val="20"/>
                <w:szCs w:val="20"/>
                <w:lang w:val="en-AU" w:eastAsia="en-AU" w:bidi="ar-SA"/>
              </w:rPr>
              <w:t>Short-term employee benefits</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993</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1,060</w:t>
            </w:r>
          </w:p>
        </w:tc>
      </w:tr>
      <w:tr w:rsidR="00151A75" w:rsidRPr="004151B8" w:rsidTr="006604EC">
        <w:trPr>
          <w:trHeight w:val="255"/>
        </w:trPr>
        <w:tc>
          <w:tcPr>
            <w:tcW w:w="8514" w:type="dxa"/>
            <w:shd w:val="clear" w:color="auto" w:fill="auto"/>
            <w:noWrap/>
            <w:vAlign w:val="bottom"/>
            <w:hideMark/>
          </w:tcPr>
          <w:p w:rsidR="00151A75" w:rsidRPr="004151B8" w:rsidRDefault="00151A75" w:rsidP="000E1D3A">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sz w:val="20"/>
                <w:szCs w:val="20"/>
                <w:lang w:val="en-AU" w:eastAsia="en-AU" w:bidi="ar-SA"/>
              </w:rPr>
              <w:t>Post-employment benefits</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100</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106</w:t>
            </w:r>
          </w:p>
        </w:tc>
      </w:tr>
      <w:tr w:rsidR="00151A75" w:rsidRPr="004151B8" w:rsidTr="006604EC">
        <w:trPr>
          <w:trHeight w:val="255"/>
        </w:trPr>
        <w:tc>
          <w:tcPr>
            <w:tcW w:w="8514" w:type="dxa"/>
            <w:shd w:val="clear" w:color="auto" w:fill="auto"/>
            <w:noWrap/>
            <w:vAlign w:val="bottom"/>
            <w:hideMark/>
          </w:tcPr>
          <w:p w:rsidR="00151A75" w:rsidRPr="004151B8" w:rsidRDefault="00151A75" w:rsidP="000E1D3A">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sz w:val="20"/>
                <w:szCs w:val="20"/>
                <w:lang w:val="en-AU" w:eastAsia="en-AU" w:bidi="ar-SA"/>
              </w:rPr>
              <w:t>Other long-term benefits</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117</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154</w:t>
            </w:r>
          </w:p>
        </w:tc>
      </w:tr>
      <w:tr w:rsidR="00151A75" w:rsidRPr="004151B8" w:rsidTr="006604EC">
        <w:trPr>
          <w:trHeight w:val="255"/>
        </w:trPr>
        <w:tc>
          <w:tcPr>
            <w:tcW w:w="8514" w:type="dxa"/>
            <w:shd w:val="clear" w:color="auto" w:fill="auto"/>
            <w:noWrap/>
            <w:hideMark/>
          </w:tcPr>
          <w:p w:rsidR="00151A75" w:rsidRPr="004151B8" w:rsidRDefault="00151A75" w:rsidP="000E1D3A">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sz w:val="20"/>
                <w:szCs w:val="20"/>
                <w:lang w:val="en-AU" w:eastAsia="en-AU" w:bidi="ar-SA"/>
              </w:rPr>
              <w:t>Termination benefits</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sz w:val="20"/>
                <w:szCs w:val="20"/>
                <w:lang w:val="en-AU" w:eastAsia="en-AU" w:bidi="ar-SA"/>
              </w:rPr>
            </w:pPr>
            <w:r w:rsidRPr="004151B8">
              <w:rPr>
                <w:rFonts w:ascii="Arial" w:eastAsia="Times New Roman" w:hAnsi="Arial" w:cs="Arial"/>
                <w:sz w:val="20"/>
                <w:szCs w:val="20"/>
                <w:lang w:val="en-AU" w:eastAsia="en-AU" w:bidi="ar-SA"/>
              </w:rPr>
              <w:t>0</w:t>
            </w:r>
          </w:p>
        </w:tc>
      </w:tr>
      <w:tr w:rsidR="00151A75" w:rsidRPr="004151B8" w:rsidTr="006604EC">
        <w:trPr>
          <w:trHeight w:val="270"/>
        </w:trPr>
        <w:tc>
          <w:tcPr>
            <w:tcW w:w="8514" w:type="dxa"/>
            <w:shd w:val="clear" w:color="auto" w:fill="auto"/>
            <w:noWrap/>
            <w:hideMark/>
          </w:tcPr>
          <w:p w:rsidR="00151A75" w:rsidRPr="004151B8" w:rsidRDefault="00151A75" w:rsidP="000E1D3A">
            <w:pPr>
              <w:widowControl/>
              <w:autoSpaceDE/>
              <w:autoSpaceDN/>
              <w:rPr>
                <w:rFonts w:ascii="Times New Roman" w:eastAsia="Times New Roman" w:hAnsi="Times New Roman" w:cs="Times New Roman"/>
                <w:sz w:val="20"/>
                <w:szCs w:val="20"/>
                <w:lang w:val="en-AU" w:eastAsia="en-AU" w:bidi="ar-SA"/>
              </w:rPr>
            </w:pPr>
            <w:r w:rsidRPr="004151B8">
              <w:rPr>
                <w:rFonts w:ascii="Arial" w:eastAsia="Times New Roman" w:hAnsi="Arial" w:cs="Arial"/>
                <w:b/>
                <w:bCs/>
                <w:sz w:val="20"/>
                <w:szCs w:val="20"/>
                <w:lang w:val="en-AU" w:eastAsia="en-AU" w:bidi="ar-SA"/>
              </w:rPr>
              <w:t xml:space="preserve">Total compensation of senior officers </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t>1,210</w:t>
            </w:r>
          </w:p>
        </w:tc>
        <w:tc>
          <w:tcPr>
            <w:tcW w:w="1520" w:type="dxa"/>
            <w:shd w:val="clear" w:color="auto" w:fill="auto"/>
            <w:noWrap/>
            <w:hideMark/>
          </w:tcPr>
          <w:p w:rsidR="00151A75" w:rsidRPr="004151B8" w:rsidRDefault="00151A75" w:rsidP="000E1D3A">
            <w:pPr>
              <w:widowControl/>
              <w:autoSpaceDE/>
              <w:autoSpaceDN/>
              <w:jc w:val="right"/>
              <w:rPr>
                <w:rFonts w:ascii="Arial" w:eastAsia="Times New Roman" w:hAnsi="Arial" w:cs="Arial"/>
                <w:b/>
                <w:bCs/>
                <w:sz w:val="20"/>
                <w:szCs w:val="20"/>
                <w:lang w:val="en-AU" w:eastAsia="en-AU" w:bidi="ar-SA"/>
              </w:rPr>
            </w:pPr>
            <w:r w:rsidRPr="004151B8">
              <w:rPr>
                <w:rFonts w:ascii="Arial" w:eastAsia="Times New Roman" w:hAnsi="Arial" w:cs="Arial"/>
                <w:b/>
                <w:bCs/>
                <w:sz w:val="20"/>
                <w:szCs w:val="20"/>
                <w:lang w:val="en-AU" w:eastAsia="en-AU" w:bidi="ar-SA"/>
              </w:rPr>
              <w:t>1,320</w:t>
            </w:r>
          </w:p>
        </w:tc>
      </w:tr>
    </w:tbl>
    <w:p w:rsidR="00151A75" w:rsidRDefault="00151A75" w:rsidP="00151A75">
      <w:pPr>
        <w:pStyle w:val="BodyText"/>
      </w:pPr>
    </w:p>
    <w:p w:rsidR="004151B8" w:rsidRDefault="004151B8" w:rsidP="004151B8">
      <w:pPr>
        <w:pStyle w:val="BodyText"/>
        <w:numPr>
          <w:ilvl w:val="0"/>
          <w:numId w:val="30"/>
        </w:numPr>
      </w:pPr>
      <w:r w:rsidRPr="004151B8">
        <w:t>An officer was acting in a senior executive position from 12/03/18 to 30/06/18.</w:t>
      </w:r>
    </w:p>
    <w:p w:rsidR="00151A75" w:rsidRDefault="004151B8" w:rsidP="0054212C">
      <w:pPr>
        <w:pStyle w:val="BodyText"/>
        <w:ind w:left="284"/>
      </w:pPr>
      <w:r>
        <w:t xml:space="preserve">(b)  </w:t>
      </w:r>
      <w:r w:rsidRPr="004151B8">
        <w:t>This relates to a senior officer leaving during 2017/18 and the compensation is reflected in a lower band.</w:t>
      </w:r>
    </w:p>
    <w:p w:rsidR="004151B8" w:rsidRDefault="00151A75" w:rsidP="00151A75">
      <w:r>
        <w:br w:type="page"/>
      </w:r>
    </w:p>
    <w:p w:rsidR="004151B8" w:rsidRDefault="004151B8" w:rsidP="00151A75">
      <w:pPr>
        <w:pStyle w:val="Heading2"/>
        <w:ind w:left="284"/>
      </w:pPr>
      <w:r w:rsidRPr="004151B8">
        <w:lastRenderedPageBreak/>
        <w:t>Note 28. Related Party Transactions</w:t>
      </w:r>
    </w:p>
    <w:p w:rsidR="004151B8" w:rsidRDefault="004151B8" w:rsidP="000F195D">
      <w:pPr>
        <w:pStyle w:val="BodyText"/>
        <w:ind w:left="284"/>
      </w:pPr>
      <w:r w:rsidRPr="004151B8">
        <w:t>The sub-department is a wholly owned and controlled entity of the State of Western Australia. In conducting its activities, the sub-department is required to pay various taxes and levies based on the standard terms and conditions that apply to all tax and levy payers to the State and entities related to State.</w:t>
      </w:r>
    </w:p>
    <w:p w:rsidR="004151B8" w:rsidRDefault="004151B8" w:rsidP="000F195D">
      <w:pPr>
        <w:pStyle w:val="BodyText"/>
        <w:ind w:left="284"/>
      </w:pPr>
      <w:r w:rsidRPr="004151B8">
        <w:t>Related parties of the sub-department include:</w:t>
      </w:r>
    </w:p>
    <w:p w:rsidR="00E7246D" w:rsidRDefault="000F195D" w:rsidP="000F195D">
      <w:pPr>
        <w:pStyle w:val="BodyText"/>
        <w:ind w:left="284"/>
      </w:pPr>
      <w:r w:rsidRPr="000F195D">
        <w:t>all Ministers and their close family members, and their controlled or jointly controlled entities;</w:t>
      </w:r>
    </w:p>
    <w:p w:rsidR="000F195D" w:rsidRDefault="000F195D" w:rsidP="000F195D">
      <w:pPr>
        <w:pStyle w:val="BodyText"/>
        <w:ind w:left="284"/>
      </w:pPr>
      <w:r w:rsidRPr="000F195D">
        <w:t>all senior officers and their close family members, and their controlled or jointly controlled entities;</w:t>
      </w:r>
    </w:p>
    <w:p w:rsidR="000F195D" w:rsidRDefault="000F195D" w:rsidP="000F195D">
      <w:pPr>
        <w:pStyle w:val="BodyText"/>
        <w:ind w:left="284"/>
      </w:pPr>
      <w:r w:rsidRPr="000F195D">
        <w:t>other departments and public sector entities, including related bodies included in the whole of government consolidated financial statements;</w:t>
      </w:r>
    </w:p>
    <w:p w:rsidR="00E7246D" w:rsidRDefault="00E7246D" w:rsidP="004151B8">
      <w:pPr>
        <w:pStyle w:val="BodyText"/>
      </w:pPr>
    </w:p>
    <w:p w:rsidR="000F195D" w:rsidRDefault="000F195D" w:rsidP="000F195D">
      <w:pPr>
        <w:pStyle w:val="BodyText"/>
        <w:ind w:left="284"/>
      </w:pPr>
      <w:r w:rsidRPr="000F195D">
        <w:t>associates and joint ventures, that are included in the whole of government consolidated financial statements; and</w:t>
      </w:r>
    </w:p>
    <w:p w:rsidR="000F195D" w:rsidRDefault="000F195D" w:rsidP="000F195D">
      <w:pPr>
        <w:pStyle w:val="BodyText"/>
        <w:ind w:left="284"/>
      </w:pPr>
      <w:r w:rsidRPr="000F195D">
        <w:t>the Government Employees Superannuation Board (GESB).</w:t>
      </w:r>
    </w:p>
    <w:p w:rsidR="000F195D" w:rsidRDefault="000F195D" w:rsidP="000F195D">
      <w:pPr>
        <w:pStyle w:val="BodyText"/>
        <w:ind w:left="284"/>
        <w:rPr>
          <w:b/>
        </w:rPr>
      </w:pPr>
      <w:r w:rsidRPr="000F195D">
        <w:rPr>
          <w:b/>
        </w:rPr>
        <w:t>Significant transactions with government related entities</w:t>
      </w:r>
    </w:p>
    <w:p w:rsidR="000F195D" w:rsidRDefault="000F195D" w:rsidP="000F195D">
      <w:pPr>
        <w:pStyle w:val="BodyText"/>
        <w:ind w:left="284"/>
      </w:pPr>
      <w:r w:rsidRPr="000F195D">
        <w:t>Significant transactions include:</w:t>
      </w:r>
    </w:p>
    <w:p w:rsidR="000F195D" w:rsidRDefault="000F195D" w:rsidP="000F195D">
      <w:pPr>
        <w:pStyle w:val="BodyText"/>
        <w:ind w:left="284"/>
      </w:pPr>
    </w:p>
    <w:p w:rsidR="000F195D" w:rsidRDefault="000F195D" w:rsidP="000F195D">
      <w:pPr>
        <w:pStyle w:val="BodyText"/>
        <w:ind w:left="284"/>
      </w:pPr>
      <w:r w:rsidRPr="000F195D">
        <w:t>service appropriation (Note 14);</w:t>
      </w:r>
    </w:p>
    <w:p w:rsidR="000F195D" w:rsidRDefault="000F195D" w:rsidP="000F195D">
      <w:pPr>
        <w:pStyle w:val="BodyText"/>
        <w:ind w:left="284"/>
      </w:pPr>
    </w:p>
    <w:p w:rsidR="000F195D" w:rsidRDefault="000F195D" w:rsidP="000F195D">
      <w:pPr>
        <w:pStyle w:val="BodyText"/>
        <w:ind w:left="284"/>
      </w:pPr>
      <w:r w:rsidRPr="000F195D">
        <w:t>services received free of charge from the Department of Finance, Department of Training and Workforce Development and the State Solicitor's Office (Note 14);</w:t>
      </w:r>
    </w:p>
    <w:p w:rsidR="000F195D" w:rsidRDefault="000F195D" w:rsidP="000F195D">
      <w:pPr>
        <w:pStyle w:val="BodyText"/>
        <w:ind w:left="284"/>
      </w:pPr>
    </w:p>
    <w:p w:rsidR="000F195D" w:rsidRDefault="000F195D" w:rsidP="000F195D">
      <w:pPr>
        <w:pStyle w:val="BodyText"/>
        <w:ind w:left="284"/>
      </w:pPr>
      <w:r w:rsidRPr="000F195D">
        <w:t>lease rentals payments to the consolidated account (Note 10);</w:t>
      </w:r>
    </w:p>
    <w:p w:rsidR="000F195D" w:rsidRDefault="000F195D" w:rsidP="000F195D">
      <w:pPr>
        <w:pStyle w:val="BodyText"/>
        <w:ind w:left="284"/>
      </w:pPr>
    </w:p>
    <w:p w:rsidR="000F195D" w:rsidRDefault="000F195D" w:rsidP="000F195D">
      <w:pPr>
        <w:pStyle w:val="BodyText"/>
        <w:ind w:left="284"/>
      </w:pPr>
      <w:r w:rsidRPr="000F195D">
        <w:t>remuneration for services provided by the Auditor General (Note 26);</w:t>
      </w:r>
    </w:p>
    <w:p w:rsidR="000F195D" w:rsidRDefault="000F195D" w:rsidP="000F195D">
      <w:pPr>
        <w:pStyle w:val="BodyText"/>
        <w:ind w:left="284"/>
      </w:pPr>
    </w:p>
    <w:p w:rsidR="000F195D" w:rsidRDefault="000F195D" w:rsidP="000F195D">
      <w:pPr>
        <w:pStyle w:val="BodyText"/>
        <w:ind w:left="284"/>
      </w:pPr>
      <w:r w:rsidRPr="000F195D">
        <w:t>payments for legal advice to State Solicitor's Office (Note 8);</w:t>
      </w:r>
    </w:p>
    <w:p w:rsidR="000F195D" w:rsidRDefault="000F195D" w:rsidP="000F195D">
      <w:pPr>
        <w:pStyle w:val="BodyText"/>
        <w:ind w:left="284"/>
      </w:pPr>
    </w:p>
    <w:p w:rsidR="000F195D" w:rsidRDefault="000F195D" w:rsidP="000F195D">
      <w:pPr>
        <w:pStyle w:val="BodyText"/>
        <w:ind w:left="284"/>
      </w:pPr>
      <w:r w:rsidRPr="000F195D">
        <w:t>payments for corporate services provided by the Department of Finance (Note 8);</w:t>
      </w:r>
    </w:p>
    <w:p w:rsidR="000F195D" w:rsidRDefault="000F195D" w:rsidP="000F195D">
      <w:pPr>
        <w:pStyle w:val="BodyText"/>
        <w:ind w:left="284"/>
      </w:pPr>
    </w:p>
    <w:p w:rsidR="000F195D" w:rsidRDefault="000F195D" w:rsidP="000F195D">
      <w:pPr>
        <w:pStyle w:val="BodyText"/>
        <w:ind w:left="284"/>
      </w:pPr>
      <w:r w:rsidRPr="000F195D">
        <w:t>payments for vehicle operating costs provided by the Department of Finance (Note 8);</w:t>
      </w:r>
    </w:p>
    <w:p w:rsidR="000F195D" w:rsidRDefault="000F195D" w:rsidP="000F195D">
      <w:pPr>
        <w:pStyle w:val="BodyText"/>
        <w:ind w:left="284"/>
      </w:pPr>
    </w:p>
    <w:p w:rsidR="000F195D" w:rsidRDefault="000F195D" w:rsidP="000F195D">
      <w:pPr>
        <w:pStyle w:val="BodyText"/>
        <w:ind w:left="284"/>
      </w:pPr>
      <w:r w:rsidRPr="000F195D">
        <w:t>grants and subsidies income received from Department of Treasury and Department of Jobs, Tourism, Science and Innovation. (Note 13)</w:t>
      </w:r>
    </w:p>
    <w:p w:rsidR="000F195D" w:rsidRDefault="000F195D" w:rsidP="000F195D">
      <w:pPr>
        <w:pStyle w:val="BodyText"/>
        <w:ind w:left="284"/>
      </w:pPr>
    </w:p>
    <w:p w:rsidR="000F195D" w:rsidRPr="000F195D" w:rsidRDefault="000F195D" w:rsidP="000F195D">
      <w:pPr>
        <w:pStyle w:val="BodyText"/>
        <w:ind w:left="284"/>
        <w:rPr>
          <w:b/>
        </w:rPr>
      </w:pPr>
      <w:r w:rsidRPr="000F195D">
        <w:rPr>
          <w:b/>
        </w:rPr>
        <w:t>Material transactions with other related parties</w:t>
      </w:r>
    </w:p>
    <w:p w:rsidR="000F195D" w:rsidRDefault="000F195D" w:rsidP="000F195D">
      <w:pPr>
        <w:pStyle w:val="BodyText"/>
        <w:ind w:left="284"/>
      </w:pPr>
    </w:p>
    <w:p w:rsidR="000F195D" w:rsidRDefault="000F195D" w:rsidP="000F195D">
      <w:pPr>
        <w:pStyle w:val="BodyText"/>
        <w:ind w:left="284"/>
      </w:pPr>
      <w:r w:rsidRPr="000F195D">
        <w:t>During the year, the sub-department paid $312,172 (2017:</w:t>
      </w:r>
      <w:r>
        <w:t xml:space="preserve"> </w:t>
      </w:r>
      <w:r w:rsidRPr="000F195D">
        <w:t>$184,869) in employee superannuation contributions to GESB.</w:t>
      </w:r>
    </w:p>
    <w:p w:rsidR="000F195D" w:rsidRDefault="000F195D" w:rsidP="000F195D">
      <w:pPr>
        <w:pStyle w:val="BodyText"/>
        <w:ind w:left="284"/>
      </w:pPr>
    </w:p>
    <w:p w:rsidR="000F195D" w:rsidRPr="000F195D" w:rsidRDefault="000F195D" w:rsidP="000F195D">
      <w:pPr>
        <w:pStyle w:val="BodyText"/>
        <w:ind w:left="284"/>
        <w:sectPr w:rsidR="000F195D" w:rsidRPr="000F195D" w:rsidSect="003D52B9">
          <w:type w:val="continuous"/>
          <w:pgSz w:w="16840" w:h="11910" w:orient="landscape"/>
          <w:pgMar w:top="560" w:right="538" w:bottom="0" w:left="142" w:header="720" w:footer="720" w:gutter="0"/>
          <w:cols w:space="720"/>
        </w:sectPr>
      </w:pPr>
      <w:r w:rsidRPr="000F195D">
        <w:t>Outside of normal citizen type transactions with the sub-department, there were no other related party transactions that involved key management personnel and/or their close family members and/or their controlled (or jointly controlled) entities.</w:t>
      </w: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F52429">
      <w:pPr>
        <w:pStyle w:val="Heading2"/>
        <w:spacing w:before="10"/>
      </w:pPr>
      <w:r>
        <w:rPr>
          <w:color w:val="353434"/>
        </w:rPr>
        <w:t>Note 29. Explanatory statement</w:t>
      </w:r>
    </w:p>
    <w:p w:rsidR="00A1463E" w:rsidRDefault="00F52429">
      <w:pPr>
        <w:pStyle w:val="BodyText"/>
        <w:spacing w:before="35" w:line="235" w:lineRule="auto"/>
        <w:ind w:left="680"/>
      </w:pPr>
      <w:r>
        <w:t xml:space="preserve">All variance between estimates (original budget) and actual results </w:t>
      </w:r>
      <w:r>
        <w:rPr>
          <w:spacing w:val="-3"/>
        </w:rPr>
        <w:t xml:space="preserve">for </w:t>
      </w:r>
      <w:r>
        <w:t xml:space="preserve">2018, and between the actual results </w:t>
      </w:r>
      <w:r>
        <w:rPr>
          <w:spacing w:val="-3"/>
        </w:rPr>
        <w:t xml:space="preserve">for </w:t>
      </w:r>
      <w:r>
        <w:t>2018 and 2017 are shown</w:t>
      </w:r>
      <w:r>
        <w:rPr>
          <w:spacing w:val="-4"/>
        </w:rPr>
        <w:t xml:space="preserve"> below. </w:t>
      </w:r>
      <w:r>
        <w:t>Narratives are provided for selected major variances, which are generally greater than:</w:t>
      </w:r>
    </w:p>
    <w:p w:rsidR="00A1463E" w:rsidRDefault="00F52429" w:rsidP="004151B8">
      <w:pPr>
        <w:pStyle w:val="ListParagraph"/>
        <w:numPr>
          <w:ilvl w:val="1"/>
          <w:numId w:val="18"/>
        </w:numPr>
        <w:tabs>
          <w:tab w:val="left" w:pos="881"/>
        </w:tabs>
        <w:spacing w:before="46" w:line="287" w:lineRule="exact"/>
        <w:ind w:left="880" w:hanging="170"/>
      </w:pPr>
      <w:r>
        <w:t xml:space="preserve">5% and $189k </w:t>
      </w:r>
      <w:r>
        <w:rPr>
          <w:spacing w:val="-3"/>
        </w:rPr>
        <w:t xml:space="preserve">for </w:t>
      </w:r>
      <w:r>
        <w:t>the Statement of Comprehensive Income and Cash Flows;</w:t>
      </w:r>
      <w:r>
        <w:rPr>
          <w:spacing w:val="-28"/>
        </w:rPr>
        <w:t xml:space="preserve"> </w:t>
      </w:r>
      <w:r>
        <w:rPr>
          <w:spacing w:val="-15"/>
        </w:rPr>
        <w:t>and</w:t>
      </w:r>
    </w:p>
    <w:p w:rsidR="00A1463E" w:rsidRDefault="00F52429" w:rsidP="004151B8">
      <w:pPr>
        <w:pStyle w:val="ListParagraph"/>
        <w:numPr>
          <w:ilvl w:val="1"/>
          <w:numId w:val="18"/>
        </w:numPr>
        <w:tabs>
          <w:tab w:val="left" w:pos="881"/>
        </w:tabs>
        <w:spacing w:line="287" w:lineRule="exact"/>
        <w:ind w:left="880" w:hanging="170"/>
      </w:pPr>
      <w:r>
        <w:t xml:space="preserve">5% and $108k </w:t>
      </w:r>
      <w:r>
        <w:rPr>
          <w:spacing w:val="-3"/>
        </w:rPr>
        <w:t xml:space="preserve">for </w:t>
      </w:r>
      <w:r>
        <w:t>the Statement of Financial</w:t>
      </w:r>
      <w:r>
        <w:rPr>
          <w:spacing w:val="-3"/>
        </w:rPr>
        <w:t xml:space="preserve"> </w:t>
      </w:r>
      <w:r>
        <w:t>Position</w:t>
      </w:r>
    </w:p>
    <w:tbl>
      <w:tblPr>
        <w:tblStyle w:val="TableGrid"/>
        <w:tblW w:w="0" w:type="auto"/>
        <w:tblInd w:w="704" w:type="dxa"/>
        <w:tblLook w:val="04A0" w:firstRow="1" w:lastRow="0" w:firstColumn="1" w:lastColumn="0" w:noHBand="0" w:noVBand="1"/>
        <w:tblCaption w:val="NOte 29 table"/>
        <w:tblDescription w:val="table showing details for note 29 explanatory statement"/>
      </w:tblPr>
      <w:tblGrid>
        <w:gridCol w:w="7229"/>
        <w:gridCol w:w="1006"/>
        <w:gridCol w:w="995"/>
        <w:gridCol w:w="1134"/>
        <w:gridCol w:w="972"/>
        <w:gridCol w:w="1847"/>
        <w:gridCol w:w="2268"/>
      </w:tblGrid>
      <w:tr w:rsidR="00C72E15" w:rsidRPr="00C72E15" w:rsidTr="002627E2">
        <w:trPr>
          <w:tblHeader/>
        </w:trPr>
        <w:tc>
          <w:tcPr>
            <w:tcW w:w="7229" w:type="dxa"/>
          </w:tcPr>
          <w:p w:rsidR="00C72E15" w:rsidRPr="00C72E15" w:rsidRDefault="00151A7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Statement of Comprehensive Income (Controlled operations) - Expenses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Note</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Estimate 2018 $000</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2018 $000</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2017 $000</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estimate and actual $000</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actual results for 2018 and 2017 $000</w:t>
            </w:r>
          </w:p>
        </w:tc>
      </w:tr>
      <w:tr w:rsidR="00C72E15" w:rsidRPr="00C72E15" w:rsidTr="00C72E15">
        <w:tc>
          <w:tcPr>
            <w:tcW w:w="7229"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Employee benefits expense</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7403</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4519</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4408</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(2884)</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111</w:t>
            </w:r>
          </w:p>
        </w:tc>
      </w:tr>
      <w:tr w:rsidR="00C72E15" w:rsidRPr="00C72E15" w:rsidTr="00C72E15">
        <w:tc>
          <w:tcPr>
            <w:tcW w:w="7229"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Supplies and services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3012</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1372</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4246</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(1640)</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(2874)</w:t>
            </w:r>
          </w:p>
        </w:tc>
      </w:tr>
      <w:tr w:rsidR="00C72E15" w:rsidRPr="00C72E15" w:rsidTr="00C72E15">
        <w:tc>
          <w:tcPr>
            <w:tcW w:w="7229"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Amortisation expense</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0</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82</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0</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82</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82</w:t>
            </w:r>
          </w:p>
        </w:tc>
      </w:tr>
      <w:tr w:rsidR="00C72E15" w:rsidRPr="00C72E15" w:rsidTr="00C72E15">
        <w:tc>
          <w:tcPr>
            <w:tcW w:w="7229" w:type="dxa"/>
          </w:tcPr>
          <w:p w:rsidR="00C72E15" w:rsidRPr="00C72E15" w:rsidRDefault="00C72E15" w:rsidP="00C72E15">
            <w:pPr>
              <w:widowControl/>
              <w:autoSpaceDE/>
              <w:autoSpaceDN/>
              <w:rPr>
                <w:rFonts w:ascii="Arial" w:eastAsia="Times New Roman" w:hAnsi="Arial" w:cs="Arial"/>
                <w:sz w:val="20"/>
                <w:szCs w:val="20"/>
                <w:lang w:val="en-AU" w:eastAsia="en-AU" w:bidi="ar-SA"/>
              </w:rPr>
            </w:pPr>
            <w:proofErr w:type="spellStart"/>
            <w:r>
              <w:rPr>
                <w:rFonts w:ascii="Arial" w:eastAsia="Times New Roman" w:hAnsi="Arial" w:cs="Arial"/>
                <w:sz w:val="20"/>
                <w:szCs w:val="20"/>
                <w:lang w:val="en-AU" w:eastAsia="en-AU" w:bidi="ar-SA"/>
              </w:rPr>
              <w:t>Accomodation</w:t>
            </w:r>
            <w:proofErr w:type="spellEnd"/>
            <w:r>
              <w:rPr>
                <w:rFonts w:ascii="Arial" w:eastAsia="Times New Roman" w:hAnsi="Arial" w:cs="Arial"/>
                <w:sz w:val="20"/>
                <w:szCs w:val="20"/>
                <w:lang w:val="en-AU" w:eastAsia="en-AU" w:bidi="ar-SA"/>
              </w:rPr>
              <w:t xml:space="preserve"> expenses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579</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535</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313</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(44)</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222</w:t>
            </w:r>
          </w:p>
        </w:tc>
      </w:tr>
      <w:tr w:rsidR="00C72E15" w:rsidRPr="00C72E15" w:rsidTr="00C72E15">
        <w:tc>
          <w:tcPr>
            <w:tcW w:w="7229"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Grants and subsidies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0</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180</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369</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180</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(189)</w:t>
            </w:r>
          </w:p>
        </w:tc>
      </w:tr>
      <w:tr w:rsidR="00C72E15" w:rsidRPr="00C72E15" w:rsidTr="00C72E15">
        <w:tc>
          <w:tcPr>
            <w:tcW w:w="7229" w:type="dxa"/>
          </w:tcPr>
          <w:p w:rsid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Other expenses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w:t>
            </w: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2321</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54</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94</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(2267)</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w:t>
            </w:r>
          </w:p>
        </w:tc>
      </w:tr>
      <w:tr w:rsidR="00C72E15" w:rsidRPr="00C72E15" w:rsidTr="00C72E15">
        <w:tc>
          <w:tcPr>
            <w:tcW w:w="7229" w:type="dxa"/>
          </w:tcPr>
          <w:p w:rsid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cost of services</w:t>
            </w:r>
          </w:p>
        </w:tc>
        <w:tc>
          <w:tcPr>
            <w:tcW w:w="1006" w:type="dxa"/>
          </w:tcPr>
          <w:p w:rsidR="00C72E15" w:rsidRPr="00C72E15" w:rsidRDefault="00C72E15" w:rsidP="00C72E15">
            <w:pPr>
              <w:widowControl/>
              <w:autoSpaceDE/>
              <w:autoSpaceDN/>
              <w:rPr>
                <w:rFonts w:ascii="Arial" w:eastAsia="Times New Roman" w:hAnsi="Arial" w:cs="Arial"/>
                <w:sz w:val="20"/>
                <w:szCs w:val="20"/>
                <w:lang w:val="en-AU" w:eastAsia="en-AU" w:bidi="ar-SA"/>
              </w:rPr>
            </w:pPr>
          </w:p>
        </w:tc>
        <w:tc>
          <w:tcPr>
            <w:tcW w:w="995"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13315</w:t>
            </w:r>
          </w:p>
        </w:tc>
        <w:tc>
          <w:tcPr>
            <w:tcW w:w="1134"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6742</w:t>
            </w:r>
          </w:p>
        </w:tc>
        <w:tc>
          <w:tcPr>
            <w:tcW w:w="972"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9430</w:t>
            </w:r>
          </w:p>
        </w:tc>
        <w:tc>
          <w:tcPr>
            <w:tcW w:w="1847"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(6573)</w:t>
            </w:r>
          </w:p>
        </w:tc>
        <w:tc>
          <w:tcPr>
            <w:tcW w:w="2268" w:type="dxa"/>
          </w:tcPr>
          <w:p w:rsidR="00C72E15" w:rsidRPr="00C72E15" w:rsidRDefault="00C72E15" w:rsidP="00C72E15">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(2688)</w:t>
            </w:r>
          </w:p>
        </w:tc>
      </w:tr>
    </w:tbl>
    <w:p w:rsidR="00151A75" w:rsidRDefault="00151A75" w:rsidP="00C72E15">
      <w:pPr>
        <w:widowControl/>
        <w:autoSpaceDE/>
        <w:autoSpaceDN/>
        <w:rPr>
          <w:rFonts w:ascii="Arial" w:eastAsia="Times New Roman" w:hAnsi="Arial" w:cs="Arial"/>
          <w:sz w:val="20"/>
          <w:szCs w:val="20"/>
          <w:lang w:val="en-AU" w:eastAsia="en-AU" w:bidi="ar-SA"/>
        </w:rPr>
      </w:pPr>
    </w:p>
    <w:tbl>
      <w:tblPr>
        <w:tblStyle w:val="TableGrid"/>
        <w:tblW w:w="0" w:type="auto"/>
        <w:tblInd w:w="704" w:type="dxa"/>
        <w:tblLook w:val="04A0" w:firstRow="1" w:lastRow="0" w:firstColumn="1" w:lastColumn="0" w:noHBand="0" w:noVBand="1"/>
        <w:tblCaption w:val="income - revenue"/>
        <w:tblDescription w:val="table showing figures for income (revenue) as part of the statement of comprehensive income"/>
      </w:tblPr>
      <w:tblGrid>
        <w:gridCol w:w="7229"/>
        <w:gridCol w:w="1006"/>
        <w:gridCol w:w="995"/>
        <w:gridCol w:w="1134"/>
        <w:gridCol w:w="972"/>
        <w:gridCol w:w="1847"/>
        <w:gridCol w:w="2268"/>
      </w:tblGrid>
      <w:tr w:rsidR="00151A75" w:rsidRPr="00C72E15" w:rsidTr="006604EC">
        <w:trPr>
          <w:tblHeader/>
        </w:trPr>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Income</w:t>
            </w:r>
            <w:r>
              <w:rPr>
                <w:rFonts w:ascii="Arial" w:eastAsia="Times New Roman" w:hAnsi="Arial" w:cs="Arial"/>
                <w:sz w:val="20"/>
                <w:szCs w:val="20"/>
                <w:lang w:eastAsia="en-AU"/>
              </w:rPr>
              <w:t xml:space="preserve"> - Revenue</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Note</w:t>
            </w: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Estimate 2018 $000</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2018 $000</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2017 $000</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estimate and actual $000</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actual results for 2018 and 2017 $000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Revenue</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Grants and subsidies</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6</w:t>
            </w: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7053</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5415</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4030</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(1638)</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1385</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Other revenue</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0</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10</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15</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10</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revenue</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7053</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5425</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4045</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(1628)</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1380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income other than income from State Government</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7053</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5425</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4045</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(1628)</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1380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Net cost of services</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(6262)</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(1317)</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(5385)</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4945</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4068</w:t>
            </w:r>
          </w:p>
        </w:tc>
      </w:tr>
    </w:tbl>
    <w:p w:rsidR="00151A75" w:rsidRPr="00C72E15" w:rsidRDefault="00151A75" w:rsidP="00C72E15">
      <w:pPr>
        <w:widowControl/>
        <w:autoSpaceDE/>
        <w:autoSpaceDN/>
        <w:rPr>
          <w:rFonts w:ascii="Arial" w:eastAsia="Times New Roman" w:hAnsi="Arial" w:cs="Arial"/>
          <w:sz w:val="20"/>
          <w:szCs w:val="20"/>
          <w:lang w:val="en-AU" w:eastAsia="en-AU" w:bidi="ar-SA"/>
        </w:rPr>
      </w:pPr>
    </w:p>
    <w:tbl>
      <w:tblPr>
        <w:tblStyle w:val="TableGrid"/>
        <w:tblW w:w="0" w:type="auto"/>
        <w:tblInd w:w="704" w:type="dxa"/>
        <w:tblLook w:val="04A0" w:firstRow="1" w:lastRow="0" w:firstColumn="1" w:lastColumn="0" w:noHBand="0" w:noVBand="1"/>
        <w:tblCaption w:val="income from state government"/>
        <w:tblDescription w:val="table showing figures for income from state government as part of the statement of comprehensive income "/>
      </w:tblPr>
      <w:tblGrid>
        <w:gridCol w:w="7229"/>
        <w:gridCol w:w="1006"/>
        <w:gridCol w:w="995"/>
        <w:gridCol w:w="1134"/>
        <w:gridCol w:w="972"/>
        <w:gridCol w:w="1847"/>
        <w:gridCol w:w="2268"/>
      </w:tblGrid>
      <w:tr w:rsidR="00151A75" w:rsidRPr="00C72E15" w:rsidTr="006604EC">
        <w:trPr>
          <w:tblHeader/>
        </w:trPr>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Income from State Government</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Note</w:t>
            </w: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Estimate 2018 $000</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2018 $000</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Actual 2017 $000</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estimate and actual $000</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Variance between actual results for 2018 and 2017 $000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Service appropriation</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w:t>
            </w: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3404</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3403</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7413</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(4010)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Services received free of charge</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93</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111</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53</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(18)</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income State Government</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3444</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3496</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7524</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52</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(4028)</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Surplus/(deficit) for the period</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(2818)</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2179</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2139</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4997</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w:t>
            </w:r>
          </w:p>
        </w:tc>
      </w:tr>
      <w:tr w:rsidR="00151A75" w:rsidRPr="00C72E15" w:rsidTr="000E1D3A">
        <w:tc>
          <w:tcPr>
            <w:tcW w:w="7229" w:type="dxa"/>
          </w:tcPr>
          <w:p w:rsidR="00151A7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Total comprehensive income for the period</w:t>
            </w:r>
          </w:p>
        </w:tc>
        <w:tc>
          <w:tcPr>
            <w:tcW w:w="1006" w:type="dxa"/>
          </w:tcPr>
          <w:p w:rsidR="00151A75" w:rsidRPr="00C72E15" w:rsidRDefault="00151A75" w:rsidP="000E1D3A">
            <w:pPr>
              <w:widowControl/>
              <w:autoSpaceDE/>
              <w:autoSpaceDN/>
              <w:rPr>
                <w:rFonts w:ascii="Arial" w:eastAsia="Times New Roman" w:hAnsi="Arial" w:cs="Arial"/>
                <w:sz w:val="20"/>
                <w:szCs w:val="20"/>
                <w:lang w:val="en-AU" w:eastAsia="en-AU" w:bidi="ar-SA"/>
              </w:rPr>
            </w:pPr>
          </w:p>
        </w:tc>
        <w:tc>
          <w:tcPr>
            <w:tcW w:w="995"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(2818)</w:t>
            </w:r>
          </w:p>
        </w:tc>
        <w:tc>
          <w:tcPr>
            <w:tcW w:w="1134"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2179</w:t>
            </w:r>
          </w:p>
        </w:tc>
        <w:tc>
          <w:tcPr>
            <w:tcW w:w="972"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2139</w:t>
            </w:r>
          </w:p>
        </w:tc>
        <w:tc>
          <w:tcPr>
            <w:tcW w:w="1847"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4997</w:t>
            </w:r>
          </w:p>
        </w:tc>
        <w:tc>
          <w:tcPr>
            <w:tcW w:w="2268" w:type="dxa"/>
          </w:tcPr>
          <w:p w:rsidR="00151A75" w:rsidRPr="00C72E15" w:rsidRDefault="00151A75"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40</w:t>
            </w:r>
          </w:p>
        </w:tc>
      </w:tr>
    </w:tbl>
    <w:p w:rsidR="001A32F8" w:rsidRDefault="001A32F8" w:rsidP="001A32F8">
      <w:pPr>
        <w:pStyle w:val="Heading3"/>
        <w:ind w:left="567"/>
      </w:pPr>
    </w:p>
    <w:p w:rsidR="001A32F8" w:rsidRDefault="001A32F8">
      <w:pPr>
        <w:rPr>
          <w:sz w:val="28"/>
          <w:szCs w:val="28"/>
        </w:rPr>
      </w:pPr>
      <w:r>
        <w:br w:type="page"/>
      </w:r>
    </w:p>
    <w:p w:rsidR="00A1463E" w:rsidRDefault="00F52429" w:rsidP="001A32F8">
      <w:pPr>
        <w:pStyle w:val="Heading3"/>
        <w:ind w:left="709"/>
      </w:pPr>
      <w:r>
        <w:lastRenderedPageBreak/>
        <w:t>Major Estimate and Actual (2018) Variance Narratives</w:t>
      </w:r>
    </w:p>
    <w:p w:rsidR="00A1463E" w:rsidRDefault="00F52429" w:rsidP="004151B8">
      <w:pPr>
        <w:pStyle w:val="ListParagraph"/>
        <w:numPr>
          <w:ilvl w:val="0"/>
          <w:numId w:val="15"/>
        </w:numPr>
        <w:tabs>
          <w:tab w:val="left" w:pos="922"/>
        </w:tabs>
        <w:spacing w:before="166" w:line="230" w:lineRule="auto"/>
        <w:ind w:right="795" w:firstLine="0"/>
      </w:pPr>
      <w:r>
        <w:t>The</w:t>
      </w:r>
      <w:r>
        <w:rPr>
          <w:spacing w:val="-4"/>
        </w:rPr>
        <w:t xml:space="preserve"> </w:t>
      </w:r>
      <w:r>
        <w:t>reduction</w:t>
      </w:r>
      <w:r>
        <w:rPr>
          <w:spacing w:val="-3"/>
        </w:rPr>
        <w:t xml:space="preserve"> </w:t>
      </w:r>
      <w:r>
        <w:t>in</w:t>
      </w:r>
      <w:r>
        <w:rPr>
          <w:spacing w:val="-4"/>
        </w:rPr>
        <w:t xml:space="preserve"> </w:t>
      </w:r>
      <w:r>
        <w:t>the</w:t>
      </w:r>
      <w:r>
        <w:rPr>
          <w:spacing w:val="-3"/>
        </w:rPr>
        <w:t xml:space="preserve"> </w:t>
      </w:r>
      <w:r>
        <w:t>2018</w:t>
      </w:r>
      <w:r>
        <w:rPr>
          <w:spacing w:val="-3"/>
        </w:rPr>
        <w:t xml:space="preserve"> </w:t>
      </w:r>
      <w:r>
        <w:t>actual</w:t>
      </w:r>
      <w:r>
        <w:rPr>
          <w:spacing w:val="-4"/>
        </w:rPr>
        <w:t xml:space="preserve"> </w:t>
      </w:r>
      <w:r>
        <w:t>is</w:t>
      </w:r>
      <w:r>
        <w:rPr>
          <w:spacing w:val="-4"/>
        </w:rPr>
        <w:t xml:space="preserve"> </w:t>
      </w:r>
      <w:r>
        <w:t>mainly</w:t>
      </w:r>
      <w:r>
        <w:rPr>
          <w:spacing w:val="-3"/>
        </w:rPr>
        <w:t xml:space="preserve"> </w:t>
      </w:r>
      <w:r>
        <w:t>due</w:t>
      </w:r>
      <w:r>
        <w:rPr>
          <w:spacing w:val="-4"/>
        </w:rPr>
        <w:t xml:space="preserve"> </w:t>
      </w:r>
      <w:r>
        <w:t>to</w:t>
      </w:r>
      <w:r>
        <w:rPr>
          <w:spacing w:val="-4"/>
        </w:rPr>
        <w:t xml:space="preserve"> </w:t>
      </w:r>
      <w:r>
        <w:t>the</w:t>
      </w:r>
      <w:r>
        <w:rPr>
          <w:spacing w:val="-3"/>
        </w:rPr>
        <w:t xml:space="preserve"> </w:t>
      </w:r>
      <w:proofErr w:type="spellStart"/>
      <w:r>
        <w:t>capitalisation</w:t>
      </w:r>
      <w:proofErr w:type="spellEnd"/>
      <w:r>
        <w:rPr>
          <w:spacing w:val="-4"/>
        </w:rPr>
        <w:t xml:space="preserve"> </w:t>
      </w:r>
      <w:r>
        <w:t>of</w:t>
      </w:r>
      <w:r>
        <w:rPr>
          <w:spacing w:val="-4"/>
        </w:rPr>
        <w:t xml:space="preserve"> </w:t>
      </w:r>
      <w:r>
        <w:t>salary</w:t>
      </w:r>
      <w:r>
        <w:rPr>
          <w:spacing w:val="-3"/>
        </w:rPr>
        <w:t xml:space="preserve"> </w:t>
      </w:r>
      <w:r>
        <w:t>costs</w:t>
      </w:r>
      <w:r>
        <w:rPr>
          <w:spacing w:val="-3"/>
        </w:rPr>
        <w:t xml:space="preserve"> for</w:t>
      </w:r>
      <w:r>
        <w:rPr>
          <w:spacing w:val="-4"/>
        </w:rPr>
        <w:t xml:space="preserve"> </w:t>
      </w:r>
      <w:r>
        <w:t>the</w:t>
      </w:r>
      <w:r>
        <w:rPr>
          <w:spacing w:val="-3"/>
        </w:rPr>
        <w:t xml:space="preserve"> </w:t>
      </w:r>
      <w:proofErr w:type="spellStart"/>
      <w:r>
        <w:rPr>
          <w:spacing w:val="-3"/>
        </w:rPr>
        <w:t>MyWA</w:t>
      </w:r>
      <w:proofErr w:type="spellEnd"/>
      <w:r>
        <w:rPr>
          <w:spacing w:val="-3"/>
        </w:rPr>
        <w:t xml:space="preserve"> </w:t>
      </w:r>
      <w:r>
        <w:t>website</w:t>
      </w:r>
      <w:r>
        <w:rPr>
          <w:spacing w:val="-3"/>
        </w:rPr>
        <w:t xml:space="preserve"> </w:t>
      </w:r>
      <w:r>
        <w:t>and</w:t>
      </w:r>
      <w:r>
        <w:rPr>
          <w:spacing w:val="-4"/>
        </w:rPr>
        <w:t xml:space="preserve"> </w:t>
      </w:r>
      <w:r>
        <w:t>employee</w:t>
      </w:r>
      <w:r>
        <w:rPr>
          <w:spacing w:val="-3"/>
        </w:rPr>
        <w:t xml:space="preserve"> </w:t>
      </w:r>
      <w:r>
        <w:t>positions</w:t>
      </w:r>
      <w:r>
        <w:rPr>
          <w:spacing w:val="-4"/>
        </w:rPr>
        <w:t xml:space="preserve"> </w:t>
      </w:r>
      <w:r>
        <w:t>not</w:t>
      </w:r>
      <w:r>
        <w:rPr>
          <w:spacing w:val="-4"/>
        </w:rPr>
        <w:t xml:space="preserve"> </w:t>
      </w:r>
      <w:r>
        <w:t>filled</w:t>
      </w:r>
      <w:r>
        <w:rPr>
          <w:spacing w:val="-4"/>
        </w:rPr>
        <w:t xml:space="preserve"> </w:t>
      </w:r>
      <w:r>
        <w:t>as</w:t>
      </w:r>
      <w:r>
        <w:rPr>
          <w:spacing w:val="-4"/>
        </w:rPr>
        <w:t xml:space="preserve"> </w:t>
      </w:r>
      <w:r>
        <w:t>a</w:t>
      </w:r>
      <w:r>
        <w:rPr>
          <w:spacing w:val="-4"/>
        </w:rPr>
        <w:t xml:space="preserve"> </w:t>
      </w:r>
      <w:r>
        <w:t>result</w:t>
      </w:r>
      <w:r>
        <w:rPr>
          <w:spacing w:val="-3"/>
        </w:rPr>
        <w:t xml:space="preserve"> </w:t>
      </w:r>
      <w:r>
        <w:t>of</w:t>
      </w:r>
      <w:r>
        <w:rPr>
          <w:spacing w:val="-4"/>
        </w:rPr>
        <w:t xml:space="preserve"> </w:t>
      </w:r>
      <w:r>
        <w:t>the extension of the Office function in the 2018/19 financial</w:t>
      </w:r>
      <w:r>
        <w:rPr>
          <w:spacing w:val="-7"/>
        </w:rPr>
        <w:t xml:space="preserve"> </w:t>
      </w:r>
      <w:r>
        <w:rPr>
          <w:spacing w:val="-6"/>
        </w:rPr>
        <w:t>year.</w:t>
      </w:r>
    </w:p>
    <w:p w:rsidR="00A1463E" w:rsidRDefault="00F52429" w:rsidP="004151B8">
      <w:pPr>
        <w:pStyle w:val="ListParagraph"/>
        <w:numPr>
          <w:ilvl w:val="0"/>
          <w:numId w:val="15"/>
        </w:numPr>
        <w:tabs>
          <w:tab w:val="left" w:pos="922"/>
        </w:tabs>
        <w:spacing w:before="171" w:line="235" w:lineRule="auto"/>
        <w:ind w:right="979" w:firstLine="0"/>
      </w:pPr>
      <w:r>
        <w:t>The</w:t>
      </w:r>
      <w:r>
        <w:rPr>
          <w:spacing w:val="-5"/>
        </w:rPr>
        <w:t xml:space="preserve"> </w:t>
      </w:r>
      <w:r>
        <w:t>lower</w:t>
      </w:r>
      <w:r>
        <w:rPr>
          <w:spacing w:val="-4"/>
        </w:rPr>
        <w:t xml:space="preserve"> </w:t>
      </w:r>
      <w:r>
        <w:t>2018</w:t>
      </w:r>
      <w:r>
        <w:rPr>
          <w:spacing w:val="-4"/>
        </w:rPr>
        <w:t xml:space="preserve"> </w:t>
      </w:r>
      <w:r>
        <w:t>actual</w:t>
      </w:r>
      <w:r>
        <w:rPr>
          <w:spacing w:val="-5"/>
        </w:rPr>
        <w:t xml:space="preserve"> </w:t>
      </w:r>
      <w:r>
        <w:t>expenditure</w:t>
      </w:r>
      <w:r>
        <w:rPr>
          <w:spacing w:val="-4"/>
        </w:rPr>
        <w:t xml:space="preserve"> </w:t>
      </w:r>
      <w:r>
        <w:t>is</w:t>
      </w:r>
      <w:r>
        <w:rPr>
          <w:spacing w:val="-5"/>
        </w:rPr>
        <w:t xml:space="preserve"> </w:t>
      </w:r>
      <w:r>
        <w:t>predominantly</w:t>
      </w:r>
      <w:r>
        <w:rPr>
          <w:spacing w:val="-4"/>
        </w:rPr>
        <w:t xml:space="preserve"> </w:t>
      </w:r>
      <w:r>
        <w:t>due</w:t>
      </w:r>
      <w:r>
        <w:rPr>
          <w:spacing w:val="-5"/>
        </w:rPr>
        <w:t xml:space="preserve"> </w:t>
      </w:r>
      <w:r>
        <w:t>to</w:t>
      </w:r>
      <w:r>
        <w:rPr>
          <w:spacing w:val="-5"/>
        </w:rPr>
        <w:t xml:space="preserve"> </w:t>
      </w:r>
      <w:r>
        <w:t>the</w:t>
      </w:r>
      <w:r>
        <w:rPr>
          <w:spacing w:val="-4"/>
        </w:rPr>
        <w:t xml:space="preserve"> </w:t>
      </w:r>
      <w:r>
        <w:t>transfer</w:t>
      </w:r>
      <w:r>
        <w:rPr>
          <w:spacing w:val="-4"/>
        </w:rPr>
        <w:t xml:space="preserve"> </w:t>
      </w:r>
      <w:r>
        <w:t>of</w:t>
      </w:r>
      <w:r>
        <w:rPr>
          <w:spacing w:val="-5"/>
        </w:rPr>
        <w:t xml:space="preserve"> </w:t>
      </w:r>
      <w:r>
        <w:t>budgeted</w:t>
      </w:r>
      <w:r>
        <w:rPr>
          <w:spacing w:val="-4"/>
        </w:rPr>
        <w:t xml:space="preserve"> </w:t>
      </w:r>
      <w:r>
        <w:t>supplies</w:t>
      </w:r>
      <w:r>
        <w:rPr>
          <w:spacing w:val="-5"/>
        </w:rPr>
        <w:t xml:space="preserve"> </w:t>
      </w:r>
      <w:r>
        <w:t>and</w:t>
      </w:r>
      <w:r>
        <w:rPr>
          <w:spacing w:val="-5"/>
        </w:rPr>
        <w:t xml:space="preserve"> </w:t>
      </w:r>
      <w:r>
        <w:t>services</w:t>
      </w:r>
      <w:r>
        <w:rPr>
          <w:spacing w:val="-4"/>
        </w:rPr>
        <w:t xml:space="preserve"> </w:t>
      </w:r>
      <w:r>
        <w:t>into</w:t>
      </w:r>
      <w:r>
        <w:rPr>
          <w:spacing w:val="-5"/>
        </w:rPr>
        <w:t xml:space="preserve"> </w:t>
      </w:r>
      <w:r>
        <w:t>2018/19</w:t>
      </w:r>
      <w:r>
        <w:rPr>
          <w:spacing w:val="-4"/>
        </w:rPr>
        <w:t xml:space="preserve"> </w:t>
      </w:r>
      <w:r>
        <w:t>as</w:t>
      </w:r>
      <w:r>
        <w:rPr>
          <w:spacing w:val="-5"/>
        </w:rPr>
        <w:t xml:space="preserve"> </w:t>
      </w:r>
      <w:r>
        <w:t>a</w:t>
      </w:r>
      <w:r>
        <w:rPr>
          <w:spacing w:val="-5"/>
        </w:rPr>
        <w:t xml:space="preserve"> </w:t>
      </w:r>
      <w:r>
        <w:t>result</w:t>
      </w:r>
      <w:r>
        <w:rPr>
          <w:spacing w:val="-4"/>
        </w:rPr>
        <w:t xml:space="preserve"> </w:t>
      </w:r>
      <w:r>
        <w:t>of</w:t>
      </w:r>
      <w:r>
        <w:rPr>
          <w:spacing w:val="-5"/>
        </w:rPr>
        <w:t xml:space="preserve"> </w:t>
      </w:r>
      <w:r>
        <w:t>the</w:t>
      </w:r>
      <w:r>
        <w:rPr>
          <w:spacing w:val="-4"/>
        </w:rPr>
        <w:t xml:space="preserve"> </w:t>
      </w:r>
      <w:r>
        <w:t>extension</w:t>
      </w:r>
      <w:r>
        <w:rPr>
          <w:spacing w:val="-4"/>
        </w:rPr>
        <w:t xml:space="preserve"> </w:t>
      </w:r>
      <w:r>
        <w:t>of</w:t>
      </w:r>
      <w:r>
        <w:rPr>
          <w:spacing w:val="-5"/>
        </w:rPr>
        <w:t xml:space="preserve"> </w:t>
      </w:r>
      <w:r>
        <w:t>the Office function in the 2018/19 financial</w:t>
      </w:r>
      <w:r>
        <w:rPr>
          <w:spacing w:val="-5"/>
        </w:rPr>
        <w:t xml:space="preserve"> </w:t>
      </w:r>
      <w:r>
        <w:rPr>
          <w:spacing w:val="-6"/>
        </w:rPr>
        <w:t>year.</w:t>
      </w:r>
    </w:p>
    <w:p w:rsidR="00A1463E" w:rsidRDefault="00F52429" w:rsidP="004151B8">
      <w:pPr>
        <w:pStyle w:val="ListParagraph"/>
        <w:numPr>
          <w:ilvl w:val="0"/>
          <w:numId w:val="14"/>
        </w:numPr>
        <w:tabs>
          <w:tab w:val="left" w:pos="922"/>
        </w:tabs>
        <w:spacing w:before="172" w:line="235" w:lineRule="auto"/>
        <w:ind w:right="1372" w:firstLine="0"/>
      </w:pPr>
      <w:r>
        <w:t>The</w:t>
      </w:r>
      <w:r>
        <w:rPr>
          <w:spacing w:val="-7"/>
        </w:rPr>
        <w:t xml:space="preserve"> </w:t>
      </w:r>
      <w:r>
        <w:t>variance</w:t>
      </w:r>
      <w:r>
        <w:rPr>
          <w:spacing w:val="-7"/>
        </w:rPr>
        <w:t xml:space="preserve"> </w:t>
      </w:r>
      <w:r>
        <w:t>between</w:t>
      </w:r>
      <w:r>
        <w:rPr>
          <w:spacing w:val="-6"/>
        </w:rPr>
        <w:t xml:space="preserve"> </w:t>
      </w:r>
      <w:r>
        <w:t>estimate</w:t>
      </w:r>
      <w:r>
        <w:rPr>
          <w:spacing w:val="-6"/>
        </w:rPr>
        <w:t xml:space="preserve"> </w:t>
      </w:r>
      <w:r>
        <w:t>and</w:t>
      </w:r>
      <w:r>
        <w:rPr>
          <w:spacing w:val="-7"/>
        </w:rPr>
        <w:t xml:space="preserve"> </w:t>
      </w:r>
      <w:r>
        <w:t>actual</w:t>
      </w:r>
      <w:r>
        <w:rPr>
          <w:spacing w:val="-7"/>
        </w:rPr>
        <w:t xml:space="preserve"> </w:t>
      </w:r>
      <w:r>
        <w:t>relates</w:t>
      </w:r>
      <w:r>
        <w:rPr>
          <w:spacing w:val="-6"/>
        </w:rPr>
        <w:t xml:space="preserve"> </w:t>
      </w:r>
      <w:r>
        <w:t>to</w:t>
      </w:r>
      <w:r>
        <w:rPr>
          <w:spacing w:val="-7"/>
        </w:rPr>
        <w:t xml:space="preserve"> </w:t>
      </w:r>
      <w:r>
        <w:t>unexpended</w:t>
      </w:r>
      <w:r>
        <w:rPr>
          <w:spacing w:val="-7"/>
        </w:rPr>
        <w:t xml:space="preserve"> </w:t>
      </w:r>
      <w:r>
        <w:t>Innovation</w:t>
      </w:r>
      <w:r>
        <w:rPr>
          <w:spacing w:val="-7"/>
        </w:rPr>
        <w:t xml:space="preserve"> </w:t>
      </w:r>
      <w:r>
        <w:t>funding</w:t>
      </w:r>
      <w:r>
        <w:rPr>
          <w:spacing w:val="-7"/>
        </w:rPr>
        <w:t xml:space="preserve"> </w:t>
      </w:r>
      <w:r>
        <w:t>estimated</w:t>
      </w:r>
      <w:r>
        <w:rPr>
          <w:spacing w:val="-6"/>
        </w:rPr>
        <w:t xml:space="preserve"> </w:t>
      </w:r>
      <w:r>
        <w:t>to</w:t>
      </w:r>
      <w:r>
        <w:rPr>
          <w:spacing w:val="-7"/>
        </w:rPr>
        <w:t xml:space="preserve"> </w:t>
      </w:r>
      <w:r>
        <w:t>be</w:t>
      </w:r>
      <w:r>
        <w:rPr>
          <w:spacing w:val="-7"/>
        </w:rPr>
        <w:t xml:space="preserve"> </w:t>
      </w:r>
      <w:r>
        <w:t>transferred</w:t>
      </w:r>
      <w:r>
        <w:rPr>
          <w:spacing w:val="-6"/>
        </w:rPr>
        <w:t xml:space="preserve"> </w:t>
      </w:r>
      <w:r>
        <w:t>to</w:t>
      </w:r>
      <w:r>
        <w:rPr>
          <w:spacing w:val="-7"/>
        </w:rPr>
        <w:t xml:space="preserve"> </w:t>
      </w:r>
      <w:r>
        <w:t>the</w:t>
      </w:r>
      <w:r>
        <w:rPr>
          <w:spacing w:val="-6"/>
        </w:rPr>
        <w:t xml:space="preserve"> </w:t>
      </w:r>
      <w:r>
        <w:t>Department</w:t>
      </w:r>
      <w:r>
        <w:rPr>
          <w:spacing w:val="-6"/>
        </w:rPr>
        <w:t xml:space="preserve"> </w:t>
      </w:r>
      <w:r>
        <w:t>of</w:t>
      </w:r>
      <w:r>
        <w:rPr>
          <w:spacing w:val="-7"/>
        </w:rPr>
        <w:t xml:space="preserve"> </w:t>
      </w:r>
      <w:r>
        <w:t>Jobs,</w:t>
      </w:r>
      <w:r>
        <w:rPr>
          <w:spacing w:val="-7"/>
        </w:rPr>
        <w:t xml:space="preserve"> </w:t>
      </w:r>
      <w:r>
        <w:rPr>
          <w:spacing w:val="-4"/>
        </w:rPr>
        <w:t xml:space="preserve">Tourism, </w:t>
      </w:r>
      <w:r>
        <w:t>Science and</w:t>
      </w:r>
      <w:r>
        <w:rPr>
          <w:spacing w:val="-3"/>
        </w:rPr>
        <w:t xml:space="preserve"> </w:t>
      </w:r>
      <w:r>
        <w:t>Innovation.</w:t>
      </w:r>
    </w:p>
    <w:p w:rsidR="00A1463E" w:rsidRDefault="00F52429" w:rsidP="004151B8">
      <w:pPr>
        <w:pStyle w:val="ListParagraph"/>
        <w:numPr>
          <w:ilvl w:val="0"/>
          <w:numId w:val="14"/>
        </w:numPr>
        <w:tabs>
          <w:tab w:val="left" w:pos="922"/>
        </w:tabs>
        <w:spacing w:before="172" w:line="235" w:lineRule="auto"/>
        <w:ind w:right="878" w:firstLine="0"/>
      </w:pPr>
      <w:r>
        <w:t>The</w:t>
      </w:r>
      <w:r>
        <w:rPr>
          <w:spacing w:val="-5"/>
        </w:rPr>
        <w:t xml:space="preserve"> </w:t>
      </w:r>
      <w:r>
        <w:t>lower</w:t>
      </w:r>
      <w:r>
        <w:rPr>
          <w:spacing w:val="-4"/>
        </w:rPr>
        <w:t xml:space="preserve"> </w:t>
      </w:r>
      <w:r>
        <w:t>2018</w:t>
      </w:r>
      <w:r>
        <w:rPr>
          <w:spacing w:val="-4"/>
        </w:rPr>
        <w:t xml:space="preserve"> </w:t>
      </w:r>
      <w:r>
        <w:t>actual</w:t>
      </w:r>
      <w:r>
        <w:rPr>
          <w:spacing w:val="-5"/>
        </w:rPr>
        <w:t xml:space="preserve"> </w:t>
      </w:r>
      <w:r>
        <w:t>is</w:t>
      </w:r>
      <w:r>
        <w:rPr>
          <w:spacing w:val="-5"/>
        </w:rPr>
        <w:t xml:space="preserve"> </w:t>
      </w:r>
      <w:r>
        <w:t>mainly</w:t>
      </w:r>
      <w:r>
        <w:rPr>
          <w:spacing w:val="-4"/>
        </w:rPr>
        <w:t xml:space="preserve"> </w:t>
      </w:r>
      <w:r>
        <w:t>due</w:t>
      </w:r>
      <w:r>
        <w:rPr>
          <w:spacing w:val="-5"/>
        </w:rPr>
        <w:t xml:space="preserve"> </w:t>
      </w:r>
      <w:r>
        <w:t>to</w:t>
      </w:r>
      <w:r>
        <w:rPr>
          <w:spacing w:val="-5"/>
        </w:rPr>
        <w:t xml:space="preserve"> </w:t>
      </w:r>
      <w:r>
        <w:t>the</w:t>
      </w:r>
      <w:r>
        <w:rPr>
          <w:spacing w:val="-4"/>
        </w:rPr>
        <w:t xml:space="preserve"> </w:t>
      </w:r>
      <w:r>
        <w:t>transfer</w:t>
      </w:r>
      <w:r>
        <w:rPr>
          <w:spacing w:val="-4"/>
        </w:rPr>
        <w:t xml:space="preserve"> </w:t>
      </w:r>
      <w:r>
        <w:t>of</w:t>
      </w:r>
      <w:r>
        <w:rPr>
          <w:spacing w:val="-5"/>
        </w:rPr>
        <w:t xml:space="preserve"> </w:t>
      </w:r>
      <w:r>
        <w:t>budgeted</w:t>
      </w:r>
      <w:r>
        <w:rPr>
          <w:spacing w:val="-4"/>
        </w:rPr>
        <w:t xml:space="preserve"> </w:t>
      </w:r>
      <w:r>
        <w:t>expenditure</w:t>
      </w:r>
      <w:r>
        <w:rPr>
          <w:spacing w:val="-4"/>
        </w:rPr>
        <w:t xml:space="preserve"> </w:t>
      </w:r>
      <w:r>
        <w:t>into</w:t>
      </w:r>
      <w:r>
        <w:rPr>
          <w:spacing w:val="-5"/>
        </w:rPr>
        <w:t xml:space="preserve"> </w:t>
      </w:r>
      <w:r>
        <w:t>2018/19</w:t>
      </w:r>
      <w:r>
        <w:rPr>
          <w:spacing w:val="-4"/>
        </w:rPr>
        <w:t xml:space="preserve"> </w:t>
      </w:r>
      <w:r>
        <w:t>as</w:t>
      </w:r>
      <w:r>
        <w:rPr>
          <w:spacing w:val="-5"/>
        </w:rPr>
        <w:t xml:space="preserve"> </w:t>
      </w:r>
      <w:r>
        <w:t>a</w:t>
      </w:r>
      <w:r>
        <w:rPr>
          <w:spacing w:val="-5"/>
        </w:rPr>
        <w:t xml:space="preserve"> </w:t>
      </w:r>
      <w:r>
        <w:t>result</w:t>
      </w:r>
      <w:r>
        <w:rPr>
          <w:spacing w:val="-4"/>
        </w:rPr>
        <w:t xml:space="preserve"> </w:t>
      </w:r>
      <w:r>
        <w:t>of</w:t>
      </w:r>
      <w:r>
        <w:rPr>
          <w:spacing w:val="-5"/>
        </w:rPr>
        <w:t xml:space="preserve"> </w:t>
      </w:r>
      <w:r>
        <w:t>the</w:t>
      </w:r>
      <w:r>
        <w:rPr>
          <w:spacing w:val="-4"/>
        </w:rPr>
        <w:t xml:space="preserve"> </w:t>
      </w:r>
      <w:r>
        <w:t>extension</w:t>
      </w:r>
      <w:r>
        <w:rPr>
          <w:spacing w:val="-4"/>
        </w:rPr>
        <w:t xml:space="preserve"> </w:t>
      </w:r>
      <w:r>
        <w:t>of</w:t>
      </w:r>
      <w:r>
        <w:rPr>
          <w:spacing w:val="-5"/>
        </w:rPr>
        <w:t xml:space="preserve"> </w:t>
      </w:r>
      <w:r>
        <w:t>the</w:t>
      </w:r>
      <w:r>
        <w:rPr>
          <w:spacing w:val="-4"/>
        </w:rPr>
        <w:t xml:space="preserve"> </w:t>
      </w:r>
      <w:r>
        <w:t>Office</w:t>
      </w:r>
      <w:r>
        <w:rPr>
          <w:spacing w:val="-5"/>
        </w:rPr>
        <w:t xml:space="preserve"> </w:t>
      </w:r>
      <w:r>
        <w:t>function</w:t>
      </w:r>
      <w:r>
        <w:rPr>
          <w:spacing w:val="-5"/>
        </w:rPr>
        <w:t xml:space="preserve"> </w:t>
      </w:r>
      <w:r>
        <w:t>in</w:t>
      </w:r>
      <w:r>
        <w:rPr>
          <w:spacing w:val="-5"/>
        </w:rPr>
        <w:t xml:space="preserve"> </w:t>
      </w:r>
      <w:r>
        <w:t>the</w:t>
      </w:r>
      <w:r>
        <w:rPr>
          <w:spacing w:val="-4"/>
        </w:rPr>
        <w:t xml:space="preserve"> </w:t>
      </w:r>
      <w:r>
        <w:t>2018/19 financial</w:t>
      </w:r>
      <w:r>
        <w:rPr>
          <w:spacing w:val="-2"/>
        </w:rPr>
        <w:t xml:space="preserve"> </w:t>
      </w:r>
      <w:r>
        <w:rPr>
          <w:spacing w:val="-6"/>
        </w:rPr>
        <w:t>year.</w:t>
      </w:r>
    </w:p>
    <w:p w:rsidR="00A1463E" w:rsidRDefault="00A1463E">
      <w:pPr>
        <w:pStyle w:val="BodyText"/>
      </w:pPr>
    </w:p>
    <w:p w:rsidR="00A1463E" w:rsidRDefault="00A1463E">
      <w:pPr>
        <w:pStyle w:val="BodyText"/>
        <w:spacing w:before="7"/>
        <w:rPr>
          <w:sz w:val="26"/>
        </w:rPr>
      </w:pPr>
    </w:p>
    <w:p w:rsidR="00A1463E" w:rsidRDefault="00F52429">
      <w:pPr>
        <w:pStyle w:val="Heading4"/>
        <w:ind w:left="685"/>
      </w:pPr>
      <w:r>
        <w:t>Major Actual (2018) and Comparative (2017) Variance Narratives</w:t>
      </w:r>
    </w:p>
    <w:p w:rsidR="00A1463E" w:rsidRDefault="00F52429" w:rsidP="004151B8">
      <w:pPr>
        <w:pStyle w:val="ListParagraph"/>
        <w:numPr>
          <w:ilvl w:val="0"/>
          <w:numId w:val="13"/>
        </w:numPr>
        <w:tabs>
          <w:tab w:val="left" w:pos="922"/>
        </w:tabs>
        <w:spacing w:before="170" w:line="235" w:lineRule="auto"/>
        <w:ind w:right="698" w:firstLine="0"/>
      </w:pPr>
      <w:r>
        <w:t>The</w:t>
      </w:r>
      <w:r>
        <w:rPr>
          <w:spacing w:val="-6"/>
        </w:rPr>
        <w:t xml:space="preserve"> </w:t>
      </w:r>
      <w:r>
        <w:t>higher</w:t>
      </w:r>
      <w:r>
        <w:rPr>
          <w:spacing w:val="-6"/>
        </w:rPr>
        <w:t xml:space="preserve"> </w:t>
      </w:r>
      <w:r>
        <w:t>2017</w:t>
      </w:r>
      <w:r>
        <w:rPr>
          <w:spacing w:val="-5"/>
        </w:rPr>
        <w:t xml:space="preserve"> </w:t>
      </w:r>
      <w:r>
        <w:t>actual</w:t>
      </w:r>
      <w:r>
        <w:rPr>
          <w:spacing w:val="-6"/>
        </w:rPr>
        <w:t xml:space="preserve"> </w:t>
      </w:r>
      <w:r>
        <w:t>is</w:t>
      </w:r>
      <w:r>
        <w:rPr>
          <w:spacing w:val="-6"/>
        </w:rPr>
        <w:t xml:space="preserve"> </w:t>
      </w:r>
      <w:r>
        <w:t>mainly</w:t>
      </w:r>
      <w:r>
        <w:rPr>
          <w:spacing w:val="-5"/>
        </w:rPr>
        <w:t xml:space="preserve"> </w:t>
      </w:r>
      <w:r>
        <w:t>due</w:t>
      </w:r>
      <w:r>
        <w:rPr>
          <w:spacing w:val="-6"/>
        </w:rPr>
        <w:t xml:space="preserve"> </w:t>
      </w:r>
      <w:r>
        <w:t>to</w:t>
      </w:r>
      <w:r>
        <w:rPr>
          <w:spacing w:val="-6"/>
        </w:rPr>
        <w:t xml:space="preserve"> </w:t>
      </w:r>
      <w:r>
        <w:t>Innovation</w:t>
      </w:r>
      <w:r>
        <w:rPr>
          <w:spacing w:val="-6"/>
        </w:rPr>
        <w:t xml:space="preserve"> </w:t>
      </w:r>
      <w:r>
        <w:t>expenditure.</w:t>
      </w:r>
      <w:r>
        <w:rPr>
          <w:spacing w:val="-5"/>
        </w:rPr>
        <w:t xml:space="preserve"> </w:t>
      </w:r>
      <w:r>
        <w:t>This</w:t>
      </w:r>
      <w:r>
        <w:rPr>
          <w:spacing w:val="-6"/>
        </w:rPr>
        <w:t xml:space="preserve"> </w:t>
      </w:r>
      <w:r>
        <w:t>function</w:t>
      </w:r>
      <w:r>
        <w:rPr>
          <w:spacing w:val="-6"/>
        </w:rPr>
        <w:t xml:space="preserve"> </w:t>
      </w:r>
      <w:r>
        <w:t>was</w:t>
      </w:r>
      <w:r>
        <w:rPr>
          <w:spacing w:val="-6"/>
        </w:rPr>
        <w:t xml:space="preserve"> </w:t>
      </w:r>
      <w:r>
        <w:t>subsequently</w:t>
      </w:r>
      <w:r>
        <w:rPr>
          <w:spacing w:val="-5"/>
        </w:rPr>
        <w:t xml:space="preserve"> </w:t>
      </w:r>
      <w:r>
        <w:t>transferred</w:t>
      </w:r>
      <w:r>
        <w:rPr>
          <w:spacing w:val="-5"/>
        </w:rPr>
        <w:t xml:space="preserve"> </w:t>
      </w:r>
      <w:r>
        <w:t>to</w:t>
      </w:r>
      <w:r>
        <w:rPr>
          <w:spacing w:val="-6"/>
        </w:rPr>
        <w:t xml:space="preserve"> </w:t>
      </w:r>
      <w:r>
        <w:t>the</w:t>
      </w:r>
      <w:r>
        <w:rPr>
          <w:spacing w:val="-5"/>
        </w:rPr>
        <w:t xml:space="preserve"> </w:t>
      </w:r>
      <w:r>
        <w:t>Department</w:t>
      </w:r>
      <w:r>
        <w:rPr>
          <w:spacing w:val="-5"/>
        </w:rPr>
        <w:t xml:space="preserve"> </w:t>
      </w:r>
      <w:r>
        <w:t>of</w:t>
      </w:r>
      <w:r>
        <w:rPr>
          <w:spacing w:val="-6"/>
        </w:rPr>
        <w:t xml:space="preserve"> </w:t>
      </w:r>
      <w:r>
        <w:t>Jobs,</w:t>
      </w:r>
      <w:r>
        <w:rPr>
          <w:spacing w:val="-6"/>
        </w:rPr>
        <w:t xml:space="preserve"> </w:t>
      </w:r>
      <w:r>
        <w:rPr>
          <w:spacing w:val="-4"/>
        </w:rPr>
        <w:t>Tourism,</w:t>
      </w:r>
      <w:r>
        <w:rPr>
          <w:spacing w:val="-6"/>
        </w:rPr>
        <w:t xml:space="preserve"> </w:t>
      </w:r>
      <w:r>
        <w:t>Science</w:t>
      </w:r>
      <w:r>
        <w:rPr>
          <w:spacing w:val="-6"/>
        </w:rPr>
        <w:t xml:space="preserve"> </w:t>
      </w:r>
      <w:r>
        <w:t>and Innovation on 1 July</w:t>
      </w:r>
      <w:r>
        <w:rPr>
          <w:spacing w:val="-3"/>
        </w:rPr>
        <w:t xml:space="preserve"> </w:t>
      </w:r>
      <w:r>
        <w:t>2017.</w:t>
      </w:r>
    </w:p>
    <w:p w:rsidR="00A1463E" w:rsidRDefault="00F52429" w:rsidP="004151B8">
      <w:pPr>
        <w:pStyle w:val="ListParagraph"/>
        <w:numPr>
          <w:ilvl w:val="0"/>
          <w:numId w:val="13"/>
        </w:numPr>
        <w:tabs>
          <w:tab w:val="left" w:pos="922"/>
        </w:tabs>
        <w:spacing w:before="167"/>
        <w:ind w:firstLine="0"/>
      </w:pPr>
      <w:r>
        <w:t>The</w:t>
      </w:r>
      <w:r>
        <w:rPr>
          <w:spacing w:val="-3"/>
        </w:rPr>
        <w:t xml:space="preserve"> </w:t>
      </w:r>
      <w:r>
        <w:t>variance</w:t>
      </w:r>
      <w:r>
        <w:rPr>
          <w:spacing w:val="-3"/>
        </w:rPr>
        <w:t xml:space="preserve"> </w:t>
      </w:r>
      <w:r>
        <w:t>between</w:t>
      </w:r>
      <w:r>
        <w:rPr>
          <w:spacing w:val="-2"/>
        </w:rPr>
        <w:t xml:space="preserve"> </w:t>
      </w:r>
      <w:r>
        <w:t>actual</w:t>
      </w:r>
      <w:r>
        <w:rPr>
          <w:spacing w:val="-3"/>
        </w:rPr>
        <w:t xml:space="preserve"> </w:t>
      </w:r>
      <w:r>
        <w:t>and</w:t>
      </w:r>
      <w:r>
        <w:rPr>
          <w:spacing w:val="-3"/>
        </w:rPr>
        <w:t xml:space="preserve"> </w:t>
      </w:r>
      <w:r>
        <w:t>comparative</w:t>
      </w:r>
      <w:r>
        <w:rPr>
          <w:spacing w:val="-2"/>
        </w:rPr>
        <w:t xml:space="preserve"> </w:t>
      </w:r>
      <w:r>
        <w:t>is</w:t>
      </w:r>
      <w:r>
        <w:rPr>
          <w:spacing w:val="-3"/>
        </w:rPr>
        <w:t xml:space="preserve"> </w:t>
      </w:r>
      <w:r>
        <w:t>due</w:t>
      </w:r>
      <w:r>
        <w:rPr>
          <w:spacing w:val="-3"/>
        </w:rPr>
        <w:t xml:space="preserve"> </w:t>
      </w:r>
      <w:r>
        <w:t>to</w:t>
      </w:r>
      <w:r>
        <w:rPr>
          <w:spacing w:val="-3"/>
        </w:rPr>
        <w:t xml:space="preserve"> </w:t>
      </w:r>
      <w:r>
        <w:t>additional</w:t>
      </w:r>
      <w:r>
        <w:rPr>
          <w:spacing w:val="-3"/>
        </w:rPr>
        <w:t xml:space="preserve"> </w:t>
      </w:r>
      <w:r>
        <w:t>rental</w:t>
      </w:r>
      <w:r>
        <w:rPr>
          <w:spacing w:val="-3"/>
        </w:rPr>
        <w:t xml:space="preserve"> </w:t>
      </w:r>
      <w:r>
        <w:t>costs</w:t>
      </w:r>
      <w:r>
        <w:rPr>
          <w:spacing w:val="-2"/>
        </w:rPr>
        <w:t xml:space="preserve"> </w:t>
      </w:r>
      <w:r>
        <w:t>associated</w:t>
      </w:r>
      <w:r>
        <w:rPr>
          <w:spacing w:val="-2"/>
        </w:rPr>
        <w:t xml:space="preserve"> </w:t>
      </w:r>
      <w:r>
        <w:t>with</w:t>
      </w:r>
      <w:r>
        <w:rPr>
          <w:spacing w:val="-2"/>
        </w:rPr>
        <w:t xml:space="preserve"> </w:t>
      </w:r>
      <w:r>
        <w:t>higher</w:t>
      </w:r>
      <w:r>
        <w:rPr>
          <w:spacing w:val="-3"/>
        </w:rPr>
        <w:t xml:space="preserve"> </w:t>
      </w:r>
      <w:r>
        <w:t>staffing</w:t>
      </w:r>
      <w:r>
        <w:rPr>
          <w:spacing w:val="-2"/>
        </w:rPr>
        <w:t xml:space="preserve"> </w:t>
      </w:r>
      <w:r>
        <w:t>levels</w:t>
      </w:r>
      <w:r>
        <w:rPr>
          <w:spacing w:val="-2"/>
        </w:rPr>
        <w:t xml:space="preserve"> </w:t>
      </w:r>
      <w:r>
        <w:t>at</w:t>
      </w:r>
      <w:r>
        <w:rPr>
          <w:spacing w:val="-2"/>
        </w:rPr>
        <w:t xml:space="preserve"> </w:t>
      </w:r>
      <w:r>
        <w:t>the</w:t>
      </w:r>
      <w:r>
        <w:rPr>
          <w:spacing w:val="-2"/>
        </w:rPr>
        <w:t xml:space="preserve"> </w:t>
      </w:r>
      <w:r>
        <w:t>OGCIO</w:t>
      </w:r>
      <w:r>
        <w:rPr>
          <w:spacing w:val="-3"/>
        </w:rPr>
        <w:t xml:space="preserve"> </w:t>
      </w:r>
      <w:r>
        <w:t>in</w:t>
      </w:r>
      <w:r>
        <w:rPr>
          <w:spacing w:val="-3"/>
        </w:rPr>
        <w:t xml:space="preserve"> </w:t>
      </w:r>
      <w:r>
        <w:t>2018.</w:t>
      </w:r>
    </w:p>
    <w:p w:rsidR="00A1463E" w:rsidRDefault="00F52429" w:rsidP="004151B8">
      <w:pPr>
        <w:pStyle w:val="ListParagraph"/>
        <w:numPr>
          <w:ilvl w:val="0"/>
          <w:numId w:val="13"/>
        </w:numPr>
        <w:tabs>
          <w:tab w:val="left" w:pos="922"/>
        </w:tabs>
        <w:spacing w:before="165"/>
        <w:ind w:firstLine="0"/>
      </w:pPr>
      <w:r>
        <w:t xml:space="preserve">The higher 2017 actual reflects innovation grants expenditure including Innovator of the </w:t>
      </w:r>
      <w:r>
        <w:rPr>
          <w:spacing w:val="-5"/>
        </w:rPr>
        <w:t>Year</w:t>
      </w:r>
      <w:r>
        <w:rPr>
          <w:spacing w:val="-18"/>
        </w:rPr>
        <w:t xml:space="preserve"> </w:t>
      </w:r>
      <w:r>
        <w:t>awards.</w:t>
      </w:r>
    </w:p>
    <w:p w:rsidR="00A1463E" w:rsidRDefault="00F52429" w:rsidP="004151B8">
      <w:pPr>
        <w:pStyle w:val="ListParagraph"/>
        <w:numPr>
          <w:ilvl w:val="0"/>
          <w:numId w:val="12"/>
        </w:numPr>
        <w:tabs>
          <w:tab w:val="left" w:pos="922"/>
        </w:tabs>
        <w:spacing w:before="165"/>
        <w:ind w:hanging="236"/>
      </w:pPr>
      <w:r>
        <w:t xml:space="preserve">The 2018 actuals </w:t>
      </w:r>
      <w:proofErr w:type="gramStart"/>
      <w:r>
        <w:t>reflects</w:t>
      </w:r>
      <w:proofErr w:type="gramEnd"/>
      <w:r>
        <w:t xml:space="preserve"> increased funding mainly due to the </w:t>
      </w:r>
      <w:proofErr w:type="spellStart"/>
      <w:r>
        <w:rPr>
          <w:spacing w:val="-3"/>
        </w:rPr>
        <w:t>MyWA</w:t>
      </w:r>
      <w:proofErr w:type="spellEnd"/>
      <w:r>
        <w:rPr>
          <w:spacing w:val="-9"/>
        </w:rPr>
        <w:t xml:space="preserve"> </w:t>
      </w:r>
      <w:r>
        <w:t>project.</w:t>
      </w:r>
    </w:p>
    <w:p w:rsidR="00A1463E" w:rsidRDefault="00A1463E">
      <w:pPr>
        <w:pStyle w:val="BodyText"/>
        <w:spacing w:before="5"/>
        <w:rPr>
          <w:sz w:val="21"/>
        </w:rPr>
      </w:pPr>
    </w:p>
    <w:p w:rsidR="00A1463E" w:rsidRDefault="00F52429" w:rsidP="004151B8">
      <w:pPr>
        <w:pStyle w:val="ListParagraph"/>
        <w:numPr>
          <w:ilvl w:val="0"/>
          <w:numId w:val="12"/>
        </w:numPr>
        <w:tabs>
          <w:tab w:val="left" w:pos="922"/>
        </w:tabs>
        <w:ind w:hanging="236"/>
      </w:pPr>
      <w:r>
        <w:t xml:space="preserve">The reduced 2018 actual represents the transfer of the Innovation program to the Department of Jobs, </w:t>
      </w:r>
      <w:r>
        <w:rPr>
          <w:spacing w:val="-4"/>
        </w:rPr>
        <w:t xml:space="preserve">Tourism, </w:t>
      </w:r>
      <w:r>
        <w:t>Science and</w:t>
      </w:r>
      <w:r>
        <w:rPr>
          <w:spacing w:val="-32"/>
        </w:rPr>
        <w:t xml:space="preserve"> </w:t>
      </w:r>
      <w:r>
        <w:t>Innovation.</w:t>
      </w:r>
    </w:p>
    <w:p w:rsidR="00A1463E" w:rsidRDefault="00A1463E">
      <w:pPr>
        <w:rPr>
          <w:sz w:val="24"/>
        </w:rPr>
        <w:sectPr w:rsidR="00A1463E">
          <w:pgSz w:w="16840" w:h="11910" w:orient="landscape"/>
          <w:pgMar w:top="540" w:right="0" w:bottom="360" w:left="0" w:header="229" w:footer="145" w:gutter="0"/>
          <w:cols w:space="720"/>
        </w:sectPr>
      </w:pPr>
    </w:p>
    <w:p w:rsidR="00A1463E" w:rsidRDefault="00F52429" w:rsidP="000F195D">
      <w:pPr>
        <w:pStyle w:val="Heading2"/>
        <w:spacing w:before="50"/>
        <w:ind w:left="709"/>
        <w:rPr>
          <w:color w:val="353434"/>
        </w:rPr>
      </w:pPr>
      <w:r>
        <w:rPr>
          <w:color w:val="353434"/>
        </w:rPr>
        <w:lastRenderedPageBreak/>
        <w:t>Note 29. Explanatory statement</w:t>
      </w:r>
    </w:p>
    <w:p w:rsidR="001A32F8" w:rsidRDefault="001A32F8" w:rsidP="001A32F8">
      <w:pPr>
        <w:pStyle w:val="Heading3"/>
        <w:ind w:left="709"/>
      </w:pPr>
      <w:r>
        <w:t>Statement of Financial Position (Controlled Operations)</w:t>
      </w:r>
    </w:p>
    <w:p w:rsidR="00A1463E" w:rsidRDefault="00A1463E">
      <w:pPr>
        <w:pStyle w:val="BodyText"/>
        <w:rPr>
          <w:sz w:val="20"/>
        </w:rPr>
      </w:pPr>
    </w:p>
    <w:tbl>
      <w:tblPr>
        <w:tblW w:w="134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2"/>
        <w:gridCol w:w="1843"/>
        <w:gridCol w:w="2126"/>
        <w:gridCol w:w="3969"/>
      </w:tblGrid>
      <w:tr w:rsidR="00B14B3A" w:rsidRPr="000F195D" w:rsidTr="003A3BEF">
        <w:trPr>
          <w:trHeight w:val="508"/>
        </w:trPr>
        <w:tc>
          <w:tcPr>
            <w:tcW w:w="3681" w:type="dxa"/>
            <w:shd w:val="clear" w:color="auto" w:fill="auto"/>
            <w:noWrap/>
            <w:hideMark/>
          </w:tcPr>
          <w:p w:rsidR="00B14B3A" w:rsidRPr="000F195D" w:rsidRDefault="00B14B3A" w:rsidP="003A3BEF">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 </w:t>
            </w:r>
          </w:p>
          <w:p w:rsidR="00B14B3A" w:rsidRPr="000F195D" w:rsidRDefault="00B14B3A" w:rsidP="003A3BEF">
            <w:pPr>
              <w:widowControl/>
              <w:autoSpaceDE/>
              <w:autoSpaceDN/>
              <w:rPr>
                <w:rFonts w:ascii="Arial" w:eastAsia="Times New Roman" w:hAnsi="Arial" w:cs="Arial"/>
                <w:sz w:val="20"/>
                <w:szCs w:val="20"/>
                <w:lang w:val="en-AU" w:eastAsia="en-AU" w:bidi="ar-SA"/>
              </w:rPr>
            </w:pPr>
            <w:r w:rsidRPr="003A3BEF">
              <w:rPr>
                <w:rFonts w:ascii="Arial" w:eastAsia="Times New Roman" w:hAnsi="Arial" w:cs="Arial"/>
                <w:b/>
                <w:bCs/>
                <w:sz w:val="20"/>
                <w:szCs w:val="20"/>
                <w:lang w:val="en-AU" w:eastAsia="en-AU" w:bidi="ar-SA"/>
              </w:rPr>
              <w:t> </w:t>
            </w:r>
            <w:r w:rsidR="001A32F8" w:rsidRPr="003A3BEF">
              <w:rPr>
                <w:rFonts w:ascii="Arial" w:eastAsia="Times New Roman" w:hAnsi="Arial" w:cs="Arial"/>
                <w:b/>
                <w:bCs/>
                <w:sz w:val="20"/>
                <w:szCs w:val="20"/>
                <w:lang w:val="en-AU" w:eastAsia="en-AU" w:bidi="ar-SA"/>
              </w:rPr>
              <w:t>Assets – current</w:t>
            </w:r>
          </w:p>
        </w:tc>
        <w:tc>
          <w:tcPr>
            <w:tcW w:w="1842" w:type="dxa"/>
            <w:shd w:val="clear" w:color="auto" w:fill="auto"/>
            <w:hideMark/>
          </w:tcPr>
          <w:p w:rsidR="00B14B3A" w:rsidRPr="000F195D" w:rsidRDefault="003A3BEF" w:rsidP="003A3BEF">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w:t>
            </w:r>
            <w:r w:rsidR="00B14B3A" w:rsidRPr="000F195D">
              <w:rPr>
                <w:rFonts w:ascii="Arial" w:eastAsia="Times New Roman" w:hAnsi="Arial" w:cs="Arial"/>
                <w:b/>
                <w:bCs/>
                <w:sz w:val="20"/>
                <w:szCs w:val="20"/>
                <w:lang w:val="en-AU" w:eastAsia="en-AU" w:bidi="ar-SA"/>
              </w:rPr>
              <w:t xml:space="preserve">Note </w:t>
            </w:r>
            <w:r w:rsidR="00B14B3A" w:rsidRPr="000F195D">
              <w:rPr>
                <w:rFonts w:ascii="Arial" w:eastAsia="Times New Roman" w:hAnsi="Arial" w:cs="Arial"/>
                <w:b/>
                <w:bCs/>
                <w:sz w:val="20"/>
                <w:szCs w:val="20"/>
                <w:vertAlign w:val="superscript"/>
                <w:lang w:val="en-AU" w:eastAsia="en-AU" w:bidi="ar-SA"/>
              </w:rPr>
              <w:t>(a)</w:t>
            </w:r>
          </w:p>
        </w:tc>
        <w:tc>
          <w:tcPr>
            <w:tcW w:w="1843" w:type="dxa"/>
            <w:shd w:val="clear" w:color="auto" w:fill="auto"/>
            <w:hideMark/>
          </w:tcPr>
          <w:p w:rsidR="00B14B3A" w:rsidRPr="000F195D" w:rsidRDefault="003A3BEF" w:rsidP="003A3BEF">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Actual 2018 </w:t>
            </w:r>
            <w:r w:rsidR="00B14B3A" w:rsidRPr="000F195D">
              <w:rPr>
                <w:rFonts w:ascii="Arial" w:eastAsia="Times New Roman" w:hAnsi="Arial" w:cs="Arial"/>
                <w:b/>
                <w:bCs/>
                <w:sz w:val="20"/>
                <w:szCs w:val="20"/>
                <w:lang w:val="en-AU" w:eastAsia="en-AU" w:bidi="ar-SA"/>
              </w:rPr>
              <w:t>$000</w:t>
            </w:r>
          </w:p>
        </w:tc>
        <w:tc>
          <w:tcPr>
            <w:tcW w:w="2126" w:type="dxa"/>
            <w:shd w:val="clear" w:color="auto" w:fill="auto"/>
            <w:hideMark/>
          </w:tcPr>
          <w:p w:rsidR="00B14B3A" w:rsidRPr="000F195D" w:rsidRDefault="003A3BEF" w:rsidP="003A3BEF">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Actual 2017 </w:t>
            </w:r>
            <w:r w:rsidR="00B14B3A" w:rsidRPr="000F195D">
              <w:rPr>
                <w:rFonts w:ascii="Arial" w:eastAsia="Times New Roman" w:hAnsi="Arial" w:cs="Arial"/>
                <w:b/>
                <w:bCs/>
                <w:sz w:val="20"/>
                <w:szCs w:val="20"/>
                <w:lang w:val="en-AU" w:eastAsia="en-AU" w:bidi="ar-SA"/>
              </w:rPr>
              <w:t>$000</w:t>
            </w:r>
          </w:p>
        </w:tc>
        <w:tc>
          <w:tcPr>
            <w:tcW w:w="3969" w:type="dxa"/>
            <w:shd w:val="clear" w:color="auto" w:fill="auto"/>
            <w:hideMark/>
          </w:tcPr>
          <w:p w:rsidR="00B14B3A" w:rsidRPr="000F195D" w:rsidRDefault="00B14B3A" w:rsidP="003A3BEF">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Vari</w:t>
            </w:r>
            <w:r w:rsidR="003A3BEF">
              <w:rPr>
                <w:rFonts w:ascii="Arial" w:eastAsia="Times New Roman" w:hAnsi="Arial" w:cs="Arial"/>
                <w:b/>
                <w:bCs/>
                <w:sz w:val="20"/>
                <w:szCs w:val="20"/>
                <w:lang w:val="en-AU" w:eastAsia="en-AU" w:bidi="ar-SA"/>
              </w:rPr>
              <w:t xml:space="preserve">ance between actual results for 2018 and 2017 </w:t>
            </w:r>
            <w:r w:rsidRPr="000F195D">
              <w:rPr>
                <w:rFonts w:ascii="Arial" w:eastAsia="Times New Roman" w:hAnsi="Arial" w:cs="Arial"/>
                <w:b/>
                <w:bCs/>
                <w:sz w:val="20"/>
                <w:szCs w:val="20"/>
                <w:lang w:val="en-AU" w:eastAsia="en-AU" w:bidi="ar-SA"/>
              </w:rPr>
              <w:t>$000</w:t>
            </w:r>
          </w:p>
        </w:tc>
      </w:tr>
      <w:tr w:rsidR="000F195D" w:rsidRPr="000F195D" w:rsidTr="003A3BEF">
        <w:trPr>
          <w:trHeight w:val="255"/>
        </w:trPr>
        <w:tc>
          <w:tcPr>
            <w:tcW w:w="3681" w:type="dxa"/>
            <w:shd w:val="clear" w:color="auto" w:fill="auto"/>
            <w:noWrap/>
            <w:hideMark/>
          </w:tcPr>
          <w:p w:rsidR="000F195D" w:rsidRPr="000F195D" w:rsidRDefault="000F195D" w:rsidP="000F195D">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Cash and cash equivalents</w:t>
            </w:r>
          </w:p>
        </w:tc>
        <w:tc>
          <w:tcPr>
            <w:tcW w:w="1842" w:type="dxa"/>
            <w:shd w:val="clear" w:color="auto" w:fill="auto"/>
            <w:noWrap/>
            <w:hideMark/>
          </w:tcPr>
          <w:p w:rsidR="000F195D" w:rsidRPr="000F195D" w:rsidRDefault="000F195D" w:rsidP="000F195D">
            <w:pPr>
              <w:widowControl/>
              <w:autoSpaceDE/>
              <w:autoSpaceDN/>
              <w:rPr>
                <w:rFonts w:ascii="Arial" w:eastAsia="Times New Roman" w:hAnsi="Arial" w:cs="Arial"/>
                <w:sz w:val="20"/>
                <w:szCs w:val="20"/>
                <w:lang w:val="en-AU" w:eastAsia="en-AU" w:bidi="ar-SA"/>
              </w:rPr>
            </w:pPr>
          </w:p>
        </w:tc>
        <w:tc>
          <w:tcPr>
            <w:tcW w:w="1843" w:type="dxa"/>
            <w:shd w:val="clear" w:color="auto" w:fill="auto"/>
            <w:noWrap/>
            <w:hideMark/>
          </w:tcPr>
          <w:p w:rsidR="000F195D" w:rsidRPr="000F195D" w:rsidRDefault="000F195D"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3,062</w:t>
            </w:r>
          </w:p>
        </w:tc>
        <w:tc>
          <w:tcPr>
            <w:tcW w:w="2126" w:type="dxa"/>
            <w:shd w:val="clear" w:color="auto" w:fill="auto"/>
            <w:noWrap/>
            <w:hideMark/>
          </w:tcPr>
          <w:p w:rsidR="000F195D" w:rsidRPr="000F195D" w:rsidRDefault="000F195D"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5,177</w:t>
            </w:r>
          </w:p>
        </w:tc>
        <w:tc>
          <w:tcPr>
            <w:tcW w:w="3969" w:type="dxa"/>
            <w:shd w:val="clear" w:color="auto" w:fill="auto"/>
            <w:noWrap/>
            <w:hideMark/>
          </w:tcPr>
          <w:p w:rsidR="000F195D" w:rsidRPr="000F195D" w:rsidRDefault="000F195D"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(2,115)</w:t>
            </w:r>
          </w:p>
        </w:tc>
      </w:tr>
      <w:tr w:rsidR="00B14B3A" w:rsidRPr="000F195D" w:rsidTr="003A3BEF">
        <w:trPr>
          <w:trHeight w:val="255"/>
        </w:trPr>
        <w:tc>
          <w:tcPr>
            <w:tcW w:w="3681" w:type="dxa"/>
            <w:shd w:val="clear" w:color="auto" w:fill="auto"/>
            <w:noWrap/>
            <w:hideMark/>
          </w:tcPr>
          <w:p w:rsidR="00B14B3A" w:rsidRPr="000F195D" w:rsidRDefault="00B14B3A" w:rsidP="000F195D">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Receivables</w:t>
            </w:r>
          </w:p>
        </w:tc>
        <w:tc>
          <w:tcPr>
            <w:tcW w:w="1842" w:type="dxa"/>
            <w:shd w:val="clear" w:color="auto" w:fill="auto"/>
            <w:noWrap/>
            <w:hideMark/>
          </w:tcPr>
          <w:p w:rsidR="00B14B3A" w:rsidRPr="000F195D" w:rsidRDefault="00B14B3A" w:rsidP="000F195D">
            <w:pPr>
              <w:widowControl/>
              <w:autoSpaceDE/>
              <w:autoSpaceDN/>
              <w:rPr>
                <w:rFonts w:ascii="Times New Roman" w:eastAsia="Times New Roman" w:hAnsi="Times New Roman" w:cs="Times New Roman"/>
                <w:sz w:val="20"/>
                <w:szCs w:val="20"/>
                <w:lang w:val="en-AU" w:eastAsia="en-AU" w:bidi="ar-SA"/>
              </w:rPr>
            </w:pPr>
          </w:p>
        </w:tc>
        <w:tc>
          <w:tcPr>
            <w:tcW w:w="1843" w:type="dxa"/>
            <w:shd w:val="clear" w:color="auto" w:fill="auto"/>
            <w:noWrap/>
            <w:hideMark/>
          </w:tcPr>
          <w:p w:rsidR="00B14B3A" w:rsidRPr="000F195D" w:rsidRDefault="00B14B3A"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176</w:t>
            </w:r>
          </w:p>
        </w:tc>
        <w:tc>
          <w:tcPr>
            <w:tcW w:w="2126" w:type="dxa"/>
            <w:shd w:val="clear" w:color="auto" w:fill="auto"/>
            <w:noWrap/>
            <w:hideMark/>
          </w:tcPr>
          <w:p w:rsidR="00B14B3A" w:rsidRPr="000F195D" w:rsidRDefault="00B14B3A"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206</w:t>
            </w:r>
          </w:p>
        </w:tc>
        <w:tc>
          <w:tcPr>
            <w:tcW w:w="3969" w:type="dxa"/>
            <w:shd w:val="clear" w:color="auto" w:fill="auto"/>
            <w:noWrap/>
            <w:hideMark/>
          </w:tcPr>
          <w:p w:rsidR="00B14B3A" w:rsidRPr="000F195D" w:rsidRDefault="00B14B3A" w:rsidP="000F195D">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(30)</w:t>
            </w:r>
          </w:p>
        </w:tc>
      </w:tr>
      <w:tr w:rsidR="000F195D" w:rsidRPr="000F195D" w:rsidTr="003A3BEF">
        <w:trPr>
          <w:trHeight w:val="255"/>
        </w:trPr>
        <w:tc>
          <w:tcPr>
            <w:tcW w:w="3681" w:type="dxa"/>
            <w:shd w:val="clear" w:color="auto" w:fill="auto"/>
            <w:noWrap/>
            <w:vAlign w:val="bottom"/>
            <w:hideMark/>
          </w:tcPr>
          <w:p w:rsidR="000F195D" w:rsidRPr="000F195D" w:rsidRDefault="000F195D" w:rsidP="000F195D">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Current Assets</w:t>
            </w:r>
          </w:p>
        </w:tc>
        <w:tc>
          <w:tcPr>
            <w:tcW w:w="1842" w:type="dxa"/>
            <w:shd w:val="clear" w:color="auto" w:fill="auto"/>
            <w:noWrap/>
            <w:hideMark/>
          </w:tcPr>
          <w:p w:rsidR="000F195D" w:rsidRPr="000F195D" w:rsidRDefault="000F195D" w:rsidP="000F195D">
            <w:pPr>
              <w:widowControl/>
              <w:autoSpaceDE/>
              <w:autoSpaceDN/>
              <w:rPr>
                <w:rFonts w:ascii="Arial" w:eastAsia="Times New Roman" w:hAnsi="Arial" w:cs="Arial"/>
                <w:b/>
                <w:bCs/>
                <w:sz w:val="20"/>
                <w:szCs w:val="20"/>
                <w:lang w:val="en-AU" w:eastAsia="en-AU" w:bidi="ar-SA"/>
              </w:rPr>
            </w:pPr>
          </w:p>
        </w:tc>
        <w:tc>
          <w:tcPr>
            <w:tcW w:w="1843" w:type="dxa"/>
            <w:shd w:val="clear" w:color="auto" w:fill="auto"/>
            <w:noWrap/>
            <w:hideMark/>
          </w:tcPr>
          <w:p w:rsidR="000F195D" w:rsidRPr="000F195D" w:rsidRDefault="000F195D" w:rsidP="000F195D">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3,238</w:t>
            </w:r>
          </w:p>
        </w:tc>
        <w:tc>
          <w:tcPr>
            <w:tcW w:w="2126" w:type="dxa"/>
            <w:shd w:val="clear" w:color="auto" w:fill="auto"/>
            <w:noWrap/>
            <w:hideMark/>
          </w:tcPr>
          <w:p w:rsidR="000F195D" w:rsidRPr="000F195D" w:rsidRDefault="000F195D" w:rsidP="000F195D">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5,383</w:t>
            </w:r>
          </w:p>
        </w:tc>
        <w:tc>
          <w:tcPr>
            <w:tcW w:w="3969" w:type="dxa"/>
            <w:shd w:val="clear" w:color="auto" w:fill="auto"/>
            <w:noWrap/>
            <w:hideMark/>
          </w:tcPr>
          <w:p w:rsidR="000F195D" w:rsidRPr="000F195D" w:rsidRDefault="000F195D" w:rsidP="000F195D">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(2,145)</w:t>
            </w:r>
          </w:p>
        </w:tc>
      </w:tr>
      <w:tr w:rsidR="00417327" w:rsidRPr="000F195D" w:rsidTr="003A3BEF">
        <w:trPr>
          <w:trHeight w:val="255"/>
        </w:trPr>
        <w:tc>
          <w:tcPr>
            <w:tcW w:w="3681" w:type="dxa"/>
            <w:shd w:val="clear" w:color="auto" w:fill="auto"/>
            <w:noWrap/>
            <w:vAlign w:val="bottom"/>
          </w:tcPr>
          <w:p w:rsidR="00417327" w:rsidRPr="000F195D" w:rsidRDefault="00417327" w:rsidP="000F195D">
            <w:pPr>
              <w:widowControl/>
              <w:autoSpaceDE/>
              <w:autoSpaceDN/>
              <w:rPr>
                <w:rFonts w:ascii="Arial" w:eastAsia="Times New Roman" w:hAnsi="Arial" w:cs="Arial"/>
                <w:b/>
                <w:bCs/>
                <w:sz w:val="20"/>
                <w:szCs w:val="20"/>
                <w:lang w:val="en-AU" w:eastAsia="en-AU" w:bidi="ar-SA"/>
              </w:rPr>
            </w:pPr>
          </w:p>
        </w:tc>
        <w:tc>
          <w:tcPr>
            <w:tcW w:w="1842" w:type="dxa"/>
            <w:shd w:val="clear" w:color="auto" w:fill="auto"/>
            <w:noWrap/>
          </w:tcPr>
          <w:p w:rsidR="00417327" w:rsidRPr="000F195D" w:rsidRDefault="00417327" w:rsidP="000F195D">
            <w:pPr>
              <w:widowControl/>
              <w:autoSpaceDE/>
              <w:autoSpaceDN/>
              <w:rPr>
                <w:rFonts w:ascii="Arial" w:eastAsia="Times New Roman" w:hAnsi="Arial" w:cs="Arial"/>
                <w:b/>
                <w:bCs/>
                <w:sz w:val="20"/>
                <w:szCs w:val="20"/>
                <w:lang w:val="en-AU" w:eastAsia="en-AU" w:bidi="ar-SA"/>
              </w:rPr>
            </w:pPr>
          </w:p>
        </w:tc>
        <w:tc>
          <w:tcPr>
            <w:tcW w:w="1843" w:type="dxa"/>
            <w:shd w:val="clear" w:color="auto" w:fill="auto"/>
            <w:noWrap/>
          </w:tcPr>
          <w:p w:rsidR="00417327" w:rsidRPr="000F195D" w:rsidRDefault="00417327" w:rsidP="000F195D">
            <w:pPr>
              <w:widowControl/>
              <w:autoSpaceDE/>
              <w:autoSpaceDN/>
              <w:jc w:val="right"/>
              <w:rPr>
                <w:rFonts w:ascii="Arial" w:eastAsia="Times New Roman" w:hAnsi="Arial" w:cs="Arial"/>
                <w:b/>
                <w:bCs/>
                <w:sz w:val="20"/>
                <w:szCs w:val="20"/>
                <w:lang w:val="en-AU" w:eastAsia="en-AU" w:bidi="ar-SA"/>
              </w:rPr>
            </w:pPr>
          </w:p>
        </w:tc>
        <w:tc>
          <w:tcPr>
            <w:tcW w:w="2126" w:type="dxa"/>
            <w:shd w:val="clear" w:color="auto" w:fill="auto"/>
            <w:noWrap/>
          </w:tcPr>
          <w:p w:rsidR="00417327" w:rsidRPr="000F195D" w:rsidRDefault="00417327" w:rsidP="000F195D">
            <w:pPr>
              <w:widowControl/>
              <w:autoSpaceDE/>
              <w:autoSpaceDN/>
              <w:jc w:val="right"/>
              <w:rPr>
                <w:rFonts w:ascii="Arial" w:eastAsia="Times New Roman" w:hAnsi="Arial" w:cs="Arial"/>
                <w:b/>
                <w:bCs/>
                <w:sz w:val="20"/>
                <w:szCs w:val="20"/>
                <w:lang w:val="en-AU" w:eastAsia="en-AU" w:bidi="ar-SA"/>
              </w:rPr>
            </w:pPr>
          </w:p>
        </w:tc>
        <w:tc>
          <w:tcPr>
            <w:tcW w:w="3969" w:type="dxa"/>
            <w:shd w:val="clear" w:color="auto" w:fill="auto"/>
            <w:noWrap/>
          </w:tcPr>
          <w:p w:rsidR="00417327" w:rsidRPr="000F195D" w:rsidRDefault="00417327" w:rsidP="000F195D">
            <w:pPr>
              <w:widowControl/>
              <w:autoSpaceDE/>
              <w:autoSpaceDN/>
              <w:jc w:val="right"/>
              <w:rPr>
                <w:rFonts w:ascii="Arial" w:eastAsia="Times New Roman" w:hAnsi="Arial" w:cs="Arial"/>
                <w:b/>
                <w:bCs/>
                <w:sz w:val="20"/>
                <w:szCs w:val="20"/>
                <w:lang w:val="en-AU" w:eastAsia="en-AU" w:bidi="ar-SA"/>
              </w:rPr>
            </w:pPr>
          </w:p>
        </w:tc>
      </w:tr>
    </w:tbl>
    <w:p w:rsidR="00A1463E" w:rsidRDefault="00A1463E">
      <w:pPr>
        <w:rPr>
          <w:sz w:val="26"/>
        </w:rPr>
        <w:sectPr w:rsidR="00A1463E">
          <w:pgSz w:w="16840" w:h="11910" w:orient="landscape"/>
          <w:pgMar w:top="540" w:right="0" w:bottom="360" w:left="0" w:header="229" w:footer="145" w:gutter="0"/>
          <w:cols w:space="720"/>
        </w:sectPr>
      </w:pPr>
    </w:p>
    <w:tbl>
      <w:tblPr>
        <w:tblW w:w="134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2"/>
        <w:gridCol w:w="1843"/>
        <w:gridCol w:w="2126"/>
        <w:gridCol w:w="3969"/>
      </w:tblGrid>
      <w:tr w:rsidR="001A32F8" w:rsidRPr="000F195D" w:rsidTr="003A3BEF">
        <w:trPr>
          <w:trHeight w:val="255"/>
        </w:trPr>
        <w:tc>
          <w:tcPr>
            <w:tcW w:w="3681" w:type="dxa"/>
            <w:shd w:val="clear" w:color="auto" w:fill="auto"/>
            <w:noWrap/>
            <w:hideMark/>
          </w:tcPr>
          <w:p w:rsidR="001A32F8" w:rsidRPr="000F195D" w:rsidRDefault="001A32F8"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Non-Current Assets</w:t>
            </w:r>
          </w:p>
        </w:tc>
        <w:tc>
          <w:tcPr>
            <w:tcW w:w="1842" w:type="dxa"/>
            <w:shd w:val="clear" w:color="auto" w:fill="auto"/>
            <w:noWrap/>
            <w:hideMark/>
          </w:tcPr>
          <w:p w:rsidR="001A32F8" w:rsidRPr="000F195D" w:rsidRDefault="003A3BEF" w:rsidP="000E1D3A">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w:t>
            </w:r>
            <w:r w:rsidR="001A32F8" w:rsidRPr="000F195D">
              <w:rPr>
                <w:rFonts w:ascii="Arial" w:eastAsia="Times New Roman" w:hAnsi="Arial" w:cs="Arial"/>
                <w:b/>
                <w:bCs/>
                <w:sz w:val="20"/>
                <w:szCs w:val="20"/>
                <w:lang w:val="en-AU" w:eastAsia="en-AU" w:bidi="ar-SA"/>
              </w:rPr>
              <w:t xml:space="preserve">Note </w:t>
            </w:r>
            <w:r w:rsidR="001A32F8" w:rsidRPr="000F195D">
              <w:rPr>
                <w:rFonts w:ascii="Arial" w:eastAsia="Times New Roman" w:hAnsi="Arial" w:cs="Arial"/>
                <w:b/>
                <w:bCs/>
                <w:sz w:val="20"/>
                <w:szCs w:val="20"/>
                <w:vertAlign w:val="superscript"/>
                <w:lang w:val="en-AU" w:eastAsia="en-AU" w:bidi="ar-SA"/>
              </w:rPr>
              <w:t>(a</w:t>
            </w:r>
            <w:r>
              <w:rPr>
                <w:rFonts w:ascii="Arial" w:eastAsia="Times New Roman" w:hAnsi="Arial" w:cs="Arial"/>
                <w:b/>
                <w:bCs/>
                <w:sz w:val="20"/>
                <w:szCs w:val="20"/>
                <w:vertAlign w:val="superscript"/>
                <w:lang w:val="en-AU" w:eastAsia="en-AU" w:bidi="ar-SA"/>
              </w:rPr>
              <w:t>)</w:t>
            </w:r>
          </w:p>
        </w:tc>
        <w:tc>
          <w:tcPr>
            <w:tcW w:w="1843" w:type="dxa"/>
            <w:shd w:val="clear" w:color="auto" w:fill="auto"/>
            <w:noWrap/>
            <w:hideMark/>
          </w:tcPr>
          <w:p w:rsidR="001A32F8"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2018 </w:t>
            </w:r>
            <w:r w:rsidR="001A32F8" w:rsidRPr="000F195D">
              <w:rPr>
                <w:rFonts w:ascii="Arial" w:eastAsia="Times New Roman" w:hAnsi="Arial" w:cs="Arial"/>
                <w:b/>
                <w:bCs/>
                <w:sz w:val="20"/>
                <w:szCs w:val="20"/>
                <w:lang w:val="en-AU" w:eastAsia="en-AU" w:bidi="ar-SA"/>
              </w:rPr>
              <w:t>$000</w:t>
            </w:r>
          </w:p>
        </w:tc>
        <w:tc>
          <w:tcPr>
            <w:tcW w:w="2126" w:type="dxa"/>
            <w:shd w:val="clear" w:color="auto" w:fill="auto"/>
            <w:noWrap/>
            <w:hideMark/>
          </w:tcPr>
          <w:p w:rsidR="001A32F8"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2017 </w:t>
            </w:r>
            <w:r w:rsidR="001A32F8" w:rsidRPr="000F195D">
              <w:rPr>
                <w:rFonts w:ascii="Arial" w:eastAsia="Times New Roman" w:hAnsi="Arial" w:cs="Arial"/>
                <w:b/>
                <w:bCs/>
                <w:sz w:val="20"/>
                <w:szCs w:val="20"/>
                <w:lang w:val="en-AU" w:eastAsia="en-AU" w:bidi="ar-SA"/>
              </w:rPr>
              <w:t>$000</w:t>
            </w:r>
          </w:p>
        </w:tc>
        <w:tc>
          <w:tcPr>
            <w:tcW w:w="3969" w:type="dxa"/>
            <w:shd w:val="clear" w:color="auto" w:fill="auto"/>
            <w:noWrap/>
            <w:hideMark/>
          </w:tcPr>
          <w:p w:rsidR="001A32F8" w:rsidRPr="000F195D" w:rsidRDefault="001A32F8" w:rsidP="000E1D3A">
            <w:pPr>
              <w:widowControl/>
              <w:autoSpaceDE/>
              <w:autoSpaceDN/>
              <w:rPr>
                <w:rFonts w:ascii="Times New Roman" w:eastAsia="Times New Roman" w:hAnsi="Times New Roman" w:cs="Times New Roman"/>
                <w:sz w:val="20"/>
                <w:szCs w:val="20"/>
                <w:lang w:val="en-AU" w:eastAsia="en-AU" w:bidi="ar-SA"/>
              </w:rPr>
            </w:pPr>
            <w:r w:rsidRPr="000F195D">
              <w:rPr>
                <w:rFonts w:ascii="Arial" w:eastAsia="Times New Roman" w:hAnsi="Arial" w:cs="Arial"/>
                <w:b/>
                <w:bCs/>
                <w:sz w:val="20"/>
                <w:szCs w:val="20"/>
                <w:lang w:val="en-AU" w:eastAsia="en-AU" w:bidi="ar-SA"/>
              </w:rPr>
              <w:t>Variance between a</w:t>
            </w:r>
            <w:r w:rsidR="003A3BEF">
              <w:rPr>
                <w:rFonts w:ascii="Arial" w:eastAsia="Times New Roman" w:hAnsi="Arial" w:cs="Arial"/>
                <w:b/>
                <w:bCs/>
                <w:sz w:val="20"/>
                <w:szCs w:val="20"/>
                <w:lang w:val="en-AU" w:eastAsia="en-AU" w:bidi="ar-SA"/>
              </w:rPr>
              <w:t xml:space="preserve">ctual results for 2018 and 2017 </w:t>
            </w:r>
            <w:r w:rsidRPr="000F195D">
              <w:rPr>
                <w:rFonts w:ascii="Arial" w:eastAsia="Times New Roman" w:hAnsi="Arial" w:cs="Arial"/>
                <w:b/>
                <w:bCs/>
                <w:sz w:val="20"/>
                <w:szCs w:val="20"/>
                <w:lang w:val="en-AU" w:eastAsia="en-AU" w:bidi="ar-SA"/>
              </w:rPr>
              <w:t>$000</w:t>
            </w:r>
          </w:p>
        </w:tc>
      </w:tr>
      <w:tr w:rsidR="001A32F8" w:rsidRPr="000F195D" w:rsidTr="003A3BEF">
        <w:trPr>
          <w:trHeight w:val="255"/>
        </w:trPr>
        <w:tc>
          <w:tcPr>
            <w:tcW w:w="3681" w:type="dxa"/>
            <w:shd w:val="clear" w:color="auto" w:fill="auto"/>
            <w:noWrap/>
            <w:hideMark/>
          </w:tcPr>
          <w:p w:rsidR="001A32F8" w:rsidRPr="000F195D" w:rsidRDefault="001A32F8"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Intangible assets</w:t>
            </w:r>
          </w:p>
        </w:tc>
        <w:tc>
          <w:tcPr>
            <w:tcW w:w="1842" w:type="dxa"/>
            <w:shd w:val="clear" w:color="auto" w:fill="auto"/>
            <w:noWrap/>
            <w:hideMark/>
          </w:tcPr>
          <w:p w:rsidR="001A32F8" w:rsidRPr="000F195D" w:rsidRDefault="001A32F8" w:rsidP="000E1D3A">
            <w:pPr>
              <w:widowControl/>
              <w:autoSpaceDE/>
              <w:autoSpaceDN/>
              <w:jc w:val="center"/>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w:t>
            </w:r>
          </w:p>
        </w:tc>
        <w:tc>
          <w:tcPr>
            <w:tcW w:w="1843"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1,499</w:t>
            </w:r>
          </w:p>
        </w:tc>
        <w:tc>
          <w:tcPr>
            <w:tcW w:w="2126"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3969"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1,499</w:t>
            </w:r>
          </w:p>
        </w:tc>
      </w:tr>
      <w:tr w:rsidR="001A32F8" w:rsidRPr="000F195D" w:rsidTr="003A3BEF">
        <w:trPr>
          <w:trHeight w:val="255"/>
        </w:trPr>
        <w:tc>
          <w:tcPr>
            <w:tcW w:w="3681" w:type="dxa"/>
            <w:shd w:val="clear" w:color="auto" w:fill="auto"/>
            <w:noWrap/>
            <w:hideMark/>
          </w:tcPr>
          <w:p w:rsidR="001A32F8" w:rsidRPr="000F195D" w:rsidRDefault="001A32F8"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Amounts receivable for services</w:t>
            </w:r>
          </w:p>
        </w:tc>
        <w:tc>
          <w:tcPr>
            <w:tcW w:w="1842" w:type="dxa"/>
            <w:shd w:val="clear" w:color="auto" w:fill="auto"/>
            <w:noWrap/>
            <w:hideMark/>
          </w:tcPr>
          <w:p w:rsidR="001A32F8" w:rsidRPr="000F195D" w:rsidRDefault="001A32F8" w:rsidP="000E1D3A">
            <w:pPr>
              <w:widowControl/>
              <w:autoSpaceDE/>
              <w:autoSpaceDN/>
              <w:rPr>
                <w:rFonts w:ascii="Arial" w:eastAsia="Times New Roman" w:hAnsi="Arial" w:cs="Arial"/>
                <w:sz w:val="20"/>
                <w:szCs w:val="20"/>
                <w:lang w:val="en-AU" w:eastAsia="en-AU" w:bidi="ar-SA"/>
              </w:rPr>
            </w:pPr>
          </w:p>
        </w:tc>
        <w:tc>
          <w:tcPr>
            <w:tcW w:w="1843"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2126"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3969" w:type="dxa"/>
            <w:shd w:val="clear" w:color="auto" w:fill="auto"/>
            <w:noWrap/>
            <w:hideMark/>
          </w:tcPr>
          <w:p w:rsidR="001A32F8" w:rsidRPr="000F195D" w:rsidRDefault="001A32F8"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r>
      <w:tr w:rsidR="001A32F8" w:rsidRPr="000F195D" w:rsidTr="003A3BEF">
        <w:trPr>
          <w:trHeight w:val="255"/>
        </w:trPr>
        <w:tc>
          <w:tcPr>
            <w:tcW w:w="3681" w:type="dxa"/>
            <w:shd w:val="clear" w:color="auto" w:fill="auto"/>
            <w:noWrap/>
            <w:vAlign w:val="bottom"/>
            <w:hideMark/>
          </w:tcPr>
          <w:p w:rsidR="001A32F8" w:rsidRPr="000F195D" w:rsidRDefault="001A32F8"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Non-Current Assets</w:t>
            </w:r>
          </w:p>
        </w:tc>
        <w:tc>
          <w:tcPr>
            <w:tcW w:w="1842" w:type="dxa"/>
            <w:shd w:val="clear" w:color="auto" w:fill="auto"/>
            <w:noWrap/>
            <w:hideMark/>
          </w:tcPr>
          <w:p w:rsidR="001A32F8" w:rsidRPr="000F195D" w:rsidRDefault="001A32F8" w:rsidP="000E1D3A">
            <w:pPr>
              <w:widowControl/>
              <w:autoSpaceDE/>
              <w:autoSpaceDN/>
              <w:rPr>
                <w:rFonts w:ascii="Arial" w:eastAsia="Times New Roman" w:hAnsi="Arial" w:cs="Arial"/>
                <w:b/>
                <w:bCs/>
                <w:sz w:val="20"/>
                <w:szCs w:val="20"/>
                <w:lang w:val="en-AU" w:eastAsia="en-AU" w:bidi="ar-SA"/>
              </w:rPr>
            </w:pPr>
          </w:p>
        </w:tc>
        <w:tc>
          <w:tcPr>
            <w:tcW w:w="1843"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1,499</w:t>
            </w:r>
          </w:p>
        </w:tc>
        <w:tc>
          <w:tcPr>
            <w:tcW w:w="2126"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0</w:t>
            </w:r>
          </w:p>
        </w:tc>
        <w:tc>
          <w:tcPr>
            <w:tcW w:w="3969"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1,499</w:t>
            </w:r>
          </w:p>
        </w:tc>
      </w:tr>
      <w:tr w:rsidR="001A32F8" w:rsidRPr="000F195D" w:rsidTr="003A3BEF">
        <w:trPr>
          <w:trHeight w:val="270"/>
        </w:trPr>
        <w:tc>
          <w:tcPr>
            <w:tcW w:w="3681" w:type="dxa"/>
            <w:shd w:val="clear" w:color="auto" w:fill="auto"/>
            <w:noWrap/>
            <w:vAlign w:val="bottom"/>
            <w:hideMark/>
          </w:tcPr>
          <w:p w:rsidR="001A32F8" w:rsidRPr="000F195D" w:rsidRDefault="001A32F8"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ASSETS</w:t>
            </w:r>
          </w:p>
        </w:tc>
        <w:tc>
          <w:tcPr>
            <w:tcW w:w="1842" w:type="dxa"/>
            <w:shd w:val="clear" w:color="auto" w:fill="auto"/>
            <w:noWrap/>
            <w:hideMark/>
          </w:tcPr>
          <w:p w:rsidR="001A32F8" w:rsidRPr="000F195D" w:rsidRDefault="001A32F8" w:rsidP="000E1D3A">
            <w:pPr>
              <w:widowControl/>
              <w:autoSpaceDE/>
              <w:autoSpaceDN/>
              <w:rPr>
                <w:rFonts w:ascii="Arial" w:eastAsia="Times New Roman" w:hAnsi="Arial" w:cs="Arial"/>
                <w:b/>
                <w:bCs/>
                <w:sz w:val="20"/>
                <w:szCs w:val="20"/>
                <w:lang w:val="en-AU" w:eastAsia="en-AU" w:bidi="ar-SA"/>
              </w:rPr>
            </w:pPr>
          </w:p>
        </w:tc>
        <w:tc>
          <w:tcPr>
            <w:tcW w:w="1843"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4,737</w:t>
            </w:r>
          </w:p>
        </w:tc>
        <w:tc>
          <w:tcPr>
            <w:tcW w:w="2126"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5,383</w:t>
            </w:r>
          </w:p>
        </w:tc>
        <w:tc>
          <w:tcPr>
            <w:tcW w:w="3969" w:type="dxa"/>
            <w:shd w:val="clear" w:color="auto" w:fill="auto"/>
            <w:noWrap/>
            <w:hideMark/>
          </w:tcPr>
          <w:p w:rsidR="001A32F8" w:rsidRPr="000F195D" w:rsidRDefault="001A32F8"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(646)</w:t>
            </w:r>
          </w:p>
        </w:tc>
      </w:tr>
    </w:tbl>
    <w:p w:rsidR="001A32F8" w:rsidRDefault="001A32F8" w:rsidP="000F195D">
      <w:pPr>
        <w:ind w:left="709"/>
        <w:rPr>
          <w:b/>
        </w:rPr>
      </w:pPr>
    </w:p>
    <w:tbl>
      <w:tblPr>
        <w:tblW w:w="134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2"/>
        <w:gridCol w:w="1843"/>
        <w:gridCol w:w="2126"/>
        <w:gridCol w:w="3969"/>
      </w:tblGrid>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LIABILITIES</w:t>
            </w:r>
            <w:r>
              <w:rPr>
                <w:rFonts w:ascii="Arial" w:eastAsia="Times New Roman" w:hAnsi="Arial" w:cs="Arial"/>
                <w:b/>
                <w:bCs/>
                <w:sz w:val="20"/>
                <w:szCs w:val="20"/>
                <w:lang w:eastAsia="en-AU"/>
              </w:rPr>
              <w:t xml:space="preserve"> - current</w:t>
            </w:r>
          </w:p>
        </w:tc>
        <w:tc>
          <w:tcPr>
            <w:tcW w:w="1842" w:type="dxa"/>
            <w:shd w:val="clear" w:color="auto" w:fill="auto"/>
            <w:noWrap/>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w:t>
            </w:r>
            <w:r w:rsidRPr="000F195D">
              <w:rPr>
                <w:rFonts w:ascii="Arial" w:eastAsia="Times New Roman" w:hAnsi="Arial" w:cs="Arial"/>
                <w:b/>
                <w:bCs/>
                <w:sz w:val="20"/>
                <w:szCs w:val="20"/>
                <w:lang w:val="en-AU" w:eastAsia="en-AU" w:bidi="ar-SA"/>
              </w:rPr>
              <w:t xml:space="preserve">Note </w:t>
            </w:r>
            <w:r w:rsidRPr="000F195D">
              <w:rPr>
                <w:rFonts w:ascii="Arial" w:eastAsia="Times New Roman" w:hAnsi="Arial" w:cs="Arial"/>
                <w:b/>
                <w:bCs/>
                <w:sz w:val="20"/>
                <w:szCs w:val="20"/>
                <w:vertAlign w:val="superscript"/>
                <w:lang w:val="en-AU" w:eastAsia="en-AU" w:bidi="ar-SA"/>
              </w:rPr>
              <w:t>(a</w:t>
            </w:r>
            <w:r>
              <w:rPr>
                <w:rFonts w:ascii="Arial" w:eastAsia="Times New Roman" w:hAnsi="Arial" w:cs="Arial"/>
                <w:b/>
                <w:bCs/>
                <w:sz w:val="20"/>
                <w:szCs w:val="20"/>
                <w:vertAlign w:val="superscript"/>
                <w:lang w:val="en-AU" w:eastAsia="en-AU" w:bidi="ar-SA"/>
              </w:rPr>
              <w:t>)</w:t>
            </w:r>
          </w:p>
        </w:tc>
        <w:tc>
          <w:tcPr>
            <w:tcW w:w="1843"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2018 </w:t>
            </w:r>
            <w:r w:rsidRPr="000F195D">
              <w:rPr>
                <w:rFonts w:ascii="Arial" w:eastAsia="Times New Roman" w:hAnsi="Arial" w:cs="Arial"/>
                <w:b/>
                <w:bCs/>
                <w:sz w:val="20"/>
                <w:szCs w:val="20"/>
                <w:lang w:val="en-AU" w:eastAsia="en-AU" w:bidi="ar-SA"/>
              </w:rPr>
              <w:t>$000</w:t>
            </w:r>
          </w:p>
        </w:tc>
        <w:tc>
          <w:tcPr>
            <w:tcW w:w="2126"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2017 </w:t>
            </w:r>
            <w:r w:rsidRPr="000F195D">
              <w:rPr>
                <w:rFonts w:ascii="Arial" w:eastAsia="Times New Roman" w:hAnsi="Arial" w:cs="Arial"/>
                <w:b/>
                <w:bCs/>
                <w:sz w:val="20"/>
                <w:szCs w:val="20"/>
                <w:lang w:val="en-AU" w:eastAsia="en-AU" w:bidi="ar-SA"/>
              </w:rPr>
              <w:t>$000</w:t>
            </w:r>
          </w:p>
        </w:tc>
        <w:tc>
          <w:tcPr>
            <w:tcW w:w="3969" w:type="dxa"/>
            <w:shd w:val="clear" w:color="auto" w:fill="auto"/>
            <w:noWrap/>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r w:rsidRPr="000F195D">
              <w:rPr>
                <w:rFonts w:ascii="Arial" w:eastAsia="Times New Roman" w:hAnsi="Arial" w:cs="Arial"/>
                <w:b/>
                <w:bCs/>
                <w:sz w:val="20"/>
                <w:szCs w:val="20"/>
                <w:lang w:val="en-AU" w:eastAsia="en-AU" w:bidi="ar-SA"/>
              </w:rPr>
              <w:t>Variance between a</w:t>
            </w:r>
            <w:r>
              <w:rPr>
                <w:rFonts w:ascii="Arial" w:eastAsia="Times New Roman" w:hAnsi="Arial" w:cs="Arial"/>
                <w:b/>
                <w:bCs/>
                <w:sz w:val="20"/>
                <w:szCs w:val="20"/>
                <w:lang w:val="en-AU" w:eastAsia="en-AU" w:bidi="ar-SA"/>
              </w:rPr>
              <w:t xml:space="preserve">ctual results for 2018 and 2017 </w:t>
            </w:r>
            <w:r w:rsidRPr="000F195D">
              <w:rPr>
                <w:rFonts w:ascii="Arial" w:eastAsia="Times New Roman" w:hAnsi="Arial" w:cs="Arial"/>
                <w:b/>
                <w:bCs/>
                <w:sz w:val="20"/>
                <w:szCs w:val="20"/>
                <w:lang w:val="en-AU" w:eastAsia="en-AU" w:bidi="ar-SA"/>
              </w:rPr>
              <w:t>$000</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Payables</w:t>
            </w:r>
          </w:p>
        </w:tc>
        <w:tc>
          <w:tcPr>
            <w:tcW w:w="1842" w:type="dxa"/>
            <w:shd w:val="clear" w:color="auto" w:fill="auto"/>
            <w:noWrap/>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p>
        </w:tc>
        <w:tc>
          <w:tcPr>
            <w:tcW w:w="1843"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126</w:t>
            </w:r>
          </w:p>
        </w:tc>
        <w:tc>
          <w:tcPr>
            <w:tcW w:w="2126"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1,209</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(1,083)</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Other current liabilities</w:t>
            </w:r>
          </w:p>
        </w:tc>
        <w:tc>
          <w:tcPr>
            <w:tcW w:w="1842" w:type="dxa"/>
            <w:shd w:val="clear" w:color="auto" w:fill="auto"/>
            <w:noWrap/>
            <w:hideMark/>
          </w:tcPr>
          <w:p w:rsidR="003A3BEF" w:rsidRPr="000F195D" w:rsidRDefault="003A3BEF" w:rsidP="000E1D3A">
            <w:pPr>
              <w:widowControl/>
              <w:autoSpaceDE/>
              <w:autoSpaceDN/>
              <w:jc w:val="center"/>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2</w:t>
            </w:r>
          </w:p>
        </w:tc>
        <w:tc>
          <w:tcPr>
            <w:tcW w:w="1843"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2126"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1,746</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(1,746)</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Provisions</w:t>
            </w:r>
          </w:p>
        </w:tc>
        <w:tc>
          <w:tcPr>
            <w:tcW w:w="1842" w:type="dxa"/>
            <w:shd w:val="clear" w:color="auto" w:fill="auto"/>
            <w:noWrap/>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p>
        </w:tc>
        <w:tc>
          <w:tcPr>
            <w:tcW w:w="1843"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777</w:t>
            </w:r>
          </w:p>
        </w:tc>
        <w:tc>
          <w:tcPr>
            <w:tcW w:w="2126"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844</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(67)</w:t>
            </w:r>
          </w:p>
        </w:tc>
      </w:tr>
      <w:tr w:rsidR="003A3BEF" w:rsidRPr="000F195D" w:rsidTr="003A3BEF">
        <w:trPr>
          <w:trHeight w:val="255"/>
        </w:trPr>
        <w:tc>
          <w:tcPr>
            <w:tcW w:w="3681"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Current Liabilities</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p>
        </w:tc>
        <w:tc>
          <w:tcPr>
            <w:tcW w:w="1843"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903</w:t>
            </w:r>
          </w:p>
        </w:tc>
        <w:tc>
          <w:tcPr>
            <w:tcW w:w="2126"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3,799</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(2,896)</w:t>
            </w:r>
          </w:p>
        </w:tc>
      </w:tr>
    </w:tbl>
    <w:p w:rsidR="001A32F8" w:rsidRDefault="001A32F8" w:rsidP="000F195D">
      <w:pPr>
        <w:ind w:left="709"/>
        <w:rPr>
          <w:b/>
        </w:rPr>
      </w:pPr>
    </w:p>
    <w:tbl>
      <w:tblPr>
        <w:tblW w:w="134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2"/>
        <w:gridCol w:w="1985"/>
        <w:gridCol w:w="1984"/>
        <w:gridCol w:w="3969"/>
      </w:tblGrid>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Non-Current Liabilities</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w:t>
            </w:r>
            <w:r w:rsidRPr="000F195D">
              <w:rPr>
                <w:rFonts w:ascii="Arial" w:eastAsia="Times New Roman" w:hAnsi="Arial" w:cs="Arial"/>
                <w:b/>
                <w:bCs/>
                <w:sz w:val="20"/>
                <w:szCs w:val="20"/>
                <w:lang w:val="en-AU" w:eastAsia="en-AU" w:bidi="ar-SA"/>
              </w:rPr>
              <w:t xml:space="preserve">Note </w:t>
            </w:r>
            <w:r w:rsidRPr="000F195D">
              <w:rPr>
                <w:rFonts w:ascii="Arial" w:eastAsia="Times New Roman" w:hAnsi="Arial" w:cs="Arial"/>
                <w:b/>
                <w:bCs/>
                <w:sz w:val="20"/>
                <w:szCs w:val="20"/>
                <w:vertAlign w:val="superscript"/>
                <w:lang w:val="en-AU" w:eastAsia="en-AU" w:bidi="ar-SA"/>
              </w:rPr>
              <w:t>(a</w:t>
            </w:r>
            <w:r>
              <w:rPr>
                <w:rFonts w:ascii="Arial" w:eastAsia="Times New Roman" w:hAnsi="Arial" w:cs="Arial"/>
                <w:b/>
                <w:bCs/>
                <w:sz w:val="20"/>
                <w:szCs w:val="20"/>
                <w:vertAlign w:val="superscript"/>
                <w:lang w:val="en-AU" w:eastAsia="en-AU" w:bidi="ar-SA"/>
              </w:rPr>
              <w:t>)</w:t>
            </w:r>
          </w:p>
        </w:tc>
        <w:tc>
          <w:tcPr>
            <w:tcW w:w="1985"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2018 </w:t>
            </w:r>
            <w:r w:rsidRPr="000F195D">
              <w:rPr>
                <w:rFonts w:ascii="Arial" w:eastAsia="Times New Roman" w:hAnsi="Arial" w:cs="Arial"/>
                <w:b/>
                <w:bCs/>
                <w:sz w:val="20"/>
                <w:szCs w:val="20"/>
                <w:lang w:val="en-AU" w:eastAsia="en-AU" w:bidi="ar-SA"/>
              </w:rPr>
              <w:t>$000</w:t>
            </w:r>
          </w:p>
        </w:tc>
        <w:tc>
          <w:tcPr>
            <w:tcW w:w="1984"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2017 </w:t>
            </w:r>
            <w:r w:rsidRPr="000F195D">
              <w:rPr>
                <w:rFonts w:ascii="Arial" w:eastAsia="Times New Roman" w:hAnsi="Arial" w:cs="Arial"/>
                <w:b/>
                <w:bCs/>
                <w:sz w:val="20"/>
                <w:szCs w:val="20"/>
                <w:lang w:val="en-AU" w:eastAsia="en-AU" w:bidi="ar-SA"/>
              </w:rPr>
              <w:t>$000</w:t>
            </w:r>
          </w:p>
        </w:tc>
        <w:tc>
          <w:tcPr>
            <w:tcW w:w="3969" w:type="dxa"/>
            <w:shd w:val="clear" w:color="auto" w:fill="auto"/>
            <w:noWrap/>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r w:rsidRPr="000F195D">
              <w:rPr>
                <w:rFonts w:ascii="Arial" w:eastAsia="Times New Roman" w:hAnsi="Arial" w:cs="Arial"/>
                <w:b/>
                <w:bCs/>
                <w:sz w:val="20"/>
                <w:szCs w:val="20"/>
                <w:lang w:val="en-AU" w:eastAsia="en-AU" w:bidi="ar-SA"/>
              </w:rPr>
              <w:t>Variance between a</w:t>
            </w:r>
            <w:r>
              <w:rPr>
                <w:rFonts w:ascii="Arial" w:eastAsia="Times New Roman" w:hAnsi="Arial" w:cs="Arial"/>
                <w:b/>
                <w:bCs/>
                <w:sz w:val="20"/>
                <w:szCs w:val="20"/>
                <w:lang w:val="en-AU" w:eastAsia="en-AU" w:bidi="ar-SA"/>
              </w:rPr>
              <w:t xml:space="preserve">ctual results for 2018 and 2017 </w:t>
            </w:r>
            <w:r w:rsidRPr="000F195D">
              <w:rPr>
                <w:rFonts w:ascii="Arial" w:eastAsia="Times New Roman" w:hAnsi="Arial" w:cs="Arial"/>
                <w:b/>
                <w:bCs/>
                <w:sz w:val="20"/>
                <w:szCs w:val="20"/>
                <w:lang w:val="en-AU" w:eastAsia="en-AU" w:bidi="ar-SA"/>
              </w:rPr>
              <w:t>$000</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Provisions</w:t>
            </w:r>
          </w:p>
        </w:tc>
        <w:tc>
          <w:tcPr>
            <w:tcW w:w="1842" w:type="dxa"/>
            <w:shd w:val="clear" w:color="auto" w:fill="auto"/>
            <w:noWrap/>
            <w:vAlign w:val="bottom"/>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p>
        </w:tc>
        <w:tc>
          <w:tcPr>
            <w:tcW w:w="1985"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215</w:t>
            </w:r>
          </w:p>
        </w:tc>
        <w:tc>
          <w:tcPr>
            <w:tcW w:w="1984"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144</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71</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Non-Current Liabilities</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p>
        </w:tc>
        <w:tc>
          <w:tcPr>
            <w:tcW w:w="1985"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215</w:t>
            </w:r>
          </w:p>
        </w:tc>
        <w:tc>
          <w:tcPr>
            <w:tcW w:w="1984"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144</w:t>
            </w:r>
          </w:p>
        </w:tc>
        <w:tc>
          <w:tcPr>
            <w:tcW w:w="3969"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71</w:t>
            </w:r>
          </w:p>
        </w:tc>
      </w:tr>
      <w:tr w:rsidR="003A3BEF" w:rsidRPr="000F195D" w:rsidTr="003A3BEF">
        <w:trPr>
          <w:trHeight w:val="270"/>
        </w:trPr>
        <w:tc>
          <w:tcPr>
            <w:tcW w:w="3681"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LIABILITIES</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p>
        </w:tc>
        <w:tc>
          <w:tcPr>
            <w:tcW w:w="1985"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1,118</w:t>
            </w:r>
          </w:p>
        </w:tc>
        <w:tc>
          <w:tcPr>
            <w:tcW w:w="1984"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3,943</w:t>
            </w:r>
          </w:p>
        </w:tc>
        <w:tc>
          <w:tcPr>
            <w:tcW w:w="3969" w:type="dxa"/>
            <w:shd w:val="clear" w:color="auto" w:fill="auto"/>
            <w:noWrap/>
            <w:vAlign w:val="bottom"/>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(2,825)</w:t>
            </w:r>
          </w:p>
        </w:tc>
      </w:tr>
      <w:tr w:rsidR="003A3BEF" w:rsidRPr="000F195D" w:rsidTr="003A3BEF">
        <w:trPr>
          <w:trHeight w:val="270"/>
        </w:trPr>
        <w:tc>
          <w:tcPr>
            <w:tcW w:w="3681"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NET ASSETS</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p>
        </w:tc>
        <w:tc>
          <w:tcPr>
            <w:tcW w:w="1985"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3,619</w:t>
            </w:r>
          </w:p>
        </w:tc>
        <w:tc>
          <w:tcPr>
            <w:tcW w:w="1984"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1,440</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2,179</w:t>
            </w:r>
          </w:p>
        </w:tc>
      </w:tr>
    </w:tbl>
    <w:p w:rsidR="001A32F8" w:rsidRDefault="001A32F8" w:rsidP="000F195D">
      <w:pPr>
        <w:ind w:left="709"/>
        <w:rPr>
          <w:b/>
        </w:rPr>
      </w:pPr>
    </w:p>
    <w:tbl>
      <w:tblPr>
        <w:tblW w:w="134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2"/>
        <w:gridCol w:w="1985"/>
        <w:gridCol w:w="1984"/>
        <w:gridCol w:w="3969"/>
      </w:tblGrid>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EQUITY</w:t>
            </w:r>
          </w:p>
        </w:tc>
        <w:tc>
          <w:tcPr>
            <w:tcW w:w="1842" w:type="dxa"/>
            <w:shd w:val="clear" w:color="auto" w:fill="auto"/>
            <w:noWrap/>
            <w:vAlign w:val="bottom"/>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r>
              <w:rPr>
                <w:rFonts w:ascii="Arial" w:eastAsia="Times New Roman" w:hAnsi="Arial" w:cs="Arial"/>
                <w:b/>
                <w:bCs/>
                <w:sz w:val="20"/>
                <w:szCs w:val="20"/>
                <w:lang w:val="en-AU" w:eastAsia="en-AU" w:bidi="ar-SA"/>
              </w:rPr>
              <w:t xml:space="preserve">Variance </w:t>
            </w:r>
            <w:r w:rsidRPr="000F195D">
              <w:rPr>
                <w:rFonts w:ascii="Arial" w:eastAsia="Times New Roman" w:hAnsi="Arial" w:cs="Arial"/>
                <w:b/>
                <w:bCs/>
                <w:sz w:val="20"/>
                <w:szCs w:val="20"/>
                <w:lang w:val="en-AU" w:eastAsia="en-AU" w:bidi="ar-SA"/>
              </w:rPr>
              <w:t xml:space="preserve">Note </w:t>
            </w:r>
            <w:r w:rsidRPr="000F195D">
              <w:rPr>
                <w:rFonts w:ascii="Arial" w:eastAsia="Times New Roman" w:hAnsi="Arial" w:cs="Arial"/>
                <w:b/>
                <w:bCs/>
                <w:sz w:val="20"/>
                <w:szCs w:val="20"/>
                <w:vertAlign w:val="superscript"/>
                <w:lang w:val="en-AU" w:eastAsia="en-AU" w:bidi="ar-SA"/>
              </w:rPr>
              <w:t>(a</w:t>
            </w:r>
            <w:r>
              <w:rPr>
                <w:rFonts w:ascii="Arial" w:eastAsia="Times New Roman" w:hAnsi="Arial" w:cs="Arial"/>
                <w:b/>
                <w:bCs/>
                <w:sz w:val="20"/>
                <w:szCs w:val="20"/>
                <w:vertAlign w:val="superscript"/>
                <w:lang w:val="en-AU" w:eastAsia="en-AU" w:bidi="ar-SA"/>
              </w:rPr>
              <w:t>)</w:t>
            </w:r>
          </w:p>
        </w:tc>
        <w:tc>
          <w:tcPr>
            <w:tcW w:w="1985"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 </w:t>
            </w:r>
            <w:r>
              <w:rPr>
                <w:rFonts w:ascii="Arial" w:eastAsia="Times New Roman" w:hAnsi="Arial" w:cs="Arial"/>
                <w:b/>
                <w:bCs/>
                <w:sz w:val="20"/>
                <w:szCs w:val="20"/>
                <w:lang w:val="en-AU" w:eastAsia="en-AU" w:bidi="ar-SA"/>
              </w:rPr>
              <w:t xml:space="preserve">Actual 2018 </w:t>
            </w:r>
            <w:r w:rsidRPr="000F195D">
              <w:rPr>
                <w:rFonts w:ascii="Arial" w:eastAsia="Times New Roman" w:hAnsi="Arial" w:cs="Arial"/>
                <w:b/>
                <w:bCs/>
                <w:sz w:val="20"/>
                <w:szCs w:val="20"/>
                <w:lang w:val="en-AU" w:eastAsia="en-AU" w:bidi="ar-SA"/>
              </w:rPr>
              <w:t>$000</w:t>
            </w:r>
          </w:p>
        </w:tc>
        <w:tc>
          <w:tcPr>
            <w:tcW w:w="1984"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Pr>
                <w:rFonts w:ascii="Arial" w:eastAsia="Times New Roman" w:hAnsi="Arial" w:cs="Arial"/>
                <w:b/>
                <w:bCs/>
                <w:sz w:val="20"/>
                <w:szCs w:val="20"/>
                <w:lang w:val="en-AU" w:eastAsia="en-AU" w:bidi="ar-SA"/>
              </w:rPr>
              <w:t xml:space="preserve">Actual 2017 </w:t>
            </w:r>
            <w:r w:rsidRPr="000F195D">
              <w:rPr>
                <w:rFonts w:ascii="Arial" w:eastAsia="Times New Roman" w:hAnsi="Arial" w:cs="Arial"/>
                <w:b/>
                <w:bCs/>
                <w:sz w:val="20"/>
                <w:szCs w:val="20"/>
                <w:lang w:val="en-AU" w:eastAsia="en-AU" w:bidi="ar-SA"/>
              </w:rPr>
              <w:t>$000</w:t>
            </w:r>
          </w:p>
        </w:tc>
        <w:tc>
          <w:tcPr>
            <w:tcW w:w="3969" w:type="dxa"/>
            <w:shd w:val="clear" w:color="auto" w:fill="auto"/>
            <w:noWrap/>
            <w:hideMark/>
          </w:tcPr>
          <w:p w:rsidR="003A3BEF" w:rsidRPr="000F195D" w:rsidRDefault="003A3BEF" w:rsidP="000E1D3A">
            <w:pPr>
              <w:widowControl/>
              <w:autoSpaceDE/>
              <w:autoSpaceDN/>
              <w:rPr>
                <w:rFonts w:ascii="Times New Roman" w:eastAsia="Times New Roman" w:hAnsi="Times New Roman" w:cs="Times New Roman"/>
                <w:sz w:val="20"/>
                <w:szCs w:val="20"/>
                <w:lang w:val="en-AU" w:eastAsia="en-AU" w:bidi="ar-SA"/>
              </w:rPr>
            </w:pPr>
            <w:r w:rsidRPr="000F195D">
              <w:rPr>
                <w:rFonts w:ascii="Arial" w:eastAsia="Times New Roman" w:hAnsi="Arial" w:cs="Arial"/>
                <w:b/>
                <w:bCs/>
                <w:sz w:val="20"/>
                <w:szCs w:val="20"/>
                <w:lang w:val="en-AU" w:eastAsia="en-AU" w:bidi="ar-SA"/>
              </w:rPr>
              <w:t>Variance between a</w:t>
            </w:r>
            <w:r>
              <w:rPr>
                <w:rFonts w:ascii="Arial" w:eastAsia="Times New Roman" w:hAnsi="Arial" w:cs="Arial"/>
                <w:b/>
                <w:bCs/>
                <w:sz w:val="20"/>
                <w:szCs w:val="20"/>
                <w:lang w:val="en-AU" w:eastAsia="en-AU" w:bidi="ar-SA"/>
              </w:rPr>
              <w:t xml:space="preserve">ctual results for 2018 and 2017 </w:t>
            </w:r>
            <w:r w:rsidRPr="000F195D">
              <w:rPr>
                <w:rFonts w:ascii="Arial" w:eastAsia="Times New Roman" w:hAnsi="Arial" w:cs="Arial"/>
                <w:b/>
                <w:bCs/>
                <w:sz w:val="20"/>
                <w:szCs w:val="20"/>
                <w:lang w:val="en-AU" w:eastAsia="en-AU" w:bidi="ar-SA"/>
              </w:rPr>
              <w:t>$000</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Contributed equity</w:t>
            </w:r>
          </w:p>
        </w:tc>
        <w:tc>
          <w:tcPr>
            <w:tcW w:w="1842"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p>
        </w:tc>
        <w:tc>
          <w:tcPr>
            <w:tcW w:w="1985"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1984"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0</w:t>
            </w:r>
          </w:p>
        </w:tc>
      </w:tr>
      <w:tr w:rsidR="003A3BEF" w:rsidRPr="000F195D" w:rsidTr="003A3BEF">
        <w:trPr>
          <w:trHeight w:val="255"/>
        </w:trPr>
        <w:tc>
          <w:tcPr>
            <w:tcW w:w="3681"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Accumulated surplus</w:t>
            </w:r>
          </w:p>
        </w:tc>
        <w:tc>
          <w:tcPr>
            <w:tcW w:w="1842" w:type="dxa"/>
            <w:shd w:val="clear" w:color="auto" w:fill="auto"/>
            <w:noWrap/>
            <w:hideMark/>
          </w:tcPr>
          <w:p w:rsidR="003A3BEF" w:rsidRPr="000F195D" w:rsidRDefault="003A3BEF" w:rsidP="000E1D3A">
            <w:pPr>
              <w:widowControl/>
              <w:autoSpaceDE/>
              <w:autoSpaceDN/>
              <w:rPr>
                <w:rFonts w:ascii="Arial" w:eastAsia="Times New Roman" w:hAnsi="Arial" w:cs="Arial"/>
                <w:sz w:val="20"/>
                <w:szCs w:val="20"/>
                <w:lang w:val="en-AU" w:eastAsia="en-AU" w:bidi="ar-SA"/>
              </w:rPr>
            </w:pPr>
          </w:p>
        </w:tc>
        <w:tc>
          <w:tcPr>
            <w:tcW w:w="1985"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3,619</w:t>
            </w:r>
          </w:p>
        </w:tc>
        <w:tc>
          <w:tcPr>
            <w:tcW w:w="1984"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1,440</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sz w:val="20"/>
                <w:szCs w:val="20"/>
                <w:lang w:val="en-AU" w:eastAsia="en-AU" w:bidi="ar-SA"/>
              </w:rPr>
            </w:pPr>
            <w:r w:rsidRPr="000F195D">
              <w:rPr>
                <w:rFonts w:ascii="Arial" w:eastAsia="Times New Roman" w:hAnsi="Arial" w:cs="Arial"/>
                <w:sz w:val="20"/>
                <w:szCs w:val="20"/>
                <w:lang w:val="en-AU" w:eastAsia="en-AU" w:bidi="ar-SA"/>
              </w:rPr>
              <w:t>2,179</w:t>
            </w:r>
          </w:p>
        </w:tc>
      </w:tr>
      <w:tr w:rsidR="003A3BEF" w:rsidRPr="000F195D" w:rsidTr="003A3BEF">
        <w:trPr>
          <w:trHeight w:val="270"/>
        </w:trPr>
        <w:tc>
          <w:tcPr>
            <w:tcW w:w="3681"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TOTAL EQUITY</w:t>
            </w:r>
          </w:p>
        </w:tc>
        <w:tc>
          <w:tcPr>
            <w:tcW w:w="1842" w:type="dxa"/>
            <w:shd w:val="clear" w:color="auto" w:fill="auto"/>
            <w:noWrap/>
            <w:vAlign w:val="bottom"/>
            <w:hideMark/>
          </w:tcPr>
          <w:p w:rsidR="003A3BEF" w:rsidRPr="000F195D" w:rsidRDefault="003A3BEF" w:rsidP="000E1D3A">
            <w:pPr>
              <w:widowControl/>
              <w:autoSpaceDE/>
              <w:autoSpaceDN/>
              <w:rPr>
                <w:rFonts w:ascii="Arial" w:eastAsia="Times New Roman" w:hAnsi="Arial" w:cs="Arial"/>
                <w:b/>
                <w:bCs/>
                <w:sz w:val="20"/>
                <w:szCs w:val="20"/>
                <w:lang w:val="en-AU" w:eastAsia="en-AU" w:bidi="ar-SA"/>
              </w:rPr>
            </w:pPr>
          </w:p>
        </w:tc>
        <w:tc>
          <w:tcPr>
            <w:tcW w:w="1985"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3,619</w:t>
            </w:r>
          </w:p>
        </w:tc>
        <w:tc>
          <w:tcPr>
            <w:tcW w:w="1984"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1,440</w:t>
            </w:r>
          </w:p>
        </w:tc>
        <w:tc>
          <w:tcPr>
            <w:tcW w:w="3969" w:type="dxa"/>
            <w:shd w:val="clear" w:color="auto" w:fill="auto"/>
            <w:noWrap/>
            <w:hideMark/>
          </w:tcPr>
          <w:p w:rsidR="003A3BEF" w:rsidRPr="000F195D" w:rsidRDefault="003A3BEF" w:rsidP="000E1D3A">
            <w:pPr>
              <w:widowControl/>
              <w:autoSpaceDE/>
              <w:autoSpaceDN/>
              <w:jc w:val="right"/>
              <w:rPr>
                <w:rFonts w:ascii="Arial" w:eastAsia="Times New Roman" w:hAnsi="Arial" w:cs="Arial"/>
                <w:b/>
                <w:bCs/>
                <w:sz w:val="20"/>
                <w:szCs w:val="20"/>
                <w:lang w:val="en-AU" w:eastAsia="en-AU" w:bidi="ar-SA"/>
              </w:rPr>
            </w:pPr>
            <w:r w:rsidRPr="000F195D">
              <w:rPr>
                <w:rFonts w:ascii="Arial" w:eastAsia="Times New Roman" w:hAnsi="Arial" w:cs="Arial"/>
                <w:b/>
                <w:bCs/>
                <w:sz w:val="20"/>
                <w:szCs w:val="20"/>
                <w:lang w:val="en-AU" w:eastAsia="en-AU" w:bidi="ar-SA"/>
              </w:rPr>
              <w:t>2,179</w:t>
            </w:r>
          </w:p>
        </w:tc>
      </w:tr>
    </w:tbl>
    <w:p w:rsidR="001A32F8" w:rsidRDefault="001A32F8" w:rsidP="003A3BEF">
      <w:pPr>
        <w:rPr>
          <w:b/>
        </w:rPr>
      </w:pPr>
    </w:p>
    <w:p w:rsidR="00A1463E" w:rsidRPr="00373DAF" w:rsidRDefault="000F195D" w:rsidP="000F195D">
      <w:pPr>
        <w:ind w:left="709"/>
        <w:rPr>
          <w:b/>
        </w:rPr>
      </w:pPr>
      <w:r w:rsidRPr="00373DAF">
        <w:rPr>
          <w:b/>
        </w:rPr>
        <w:t>Major Actual (2018) and Comparative (2017) Variance Narratives</w:t>
      </w:r>
    </w:p>
    <w:p w:rsidR="000F195D" w:rsidRDefault="000F195D" w:rsidP="000F195D">
      <w:pPr>
        <w:ind w:left="709"/>
      </w:pPr>
      <w:r w:rsidRPr="000F195D">
        <w:t xml:space="preserve">1. Variance relates to </w:t>
      </w:r>
      <w:proofErr w:type="spellStart"/>
      <w:r w:rsidRPr="000F195D">
        <w:t>capitalisation</w:t>
      </w:r>
      <w:proofErr w:type="spellEnd"/>
      <w:r w:rsidRPr="000F195D">
        <w:t xml:space="preserve"> of </w:t>
      </w:r>
      <w:proofErr w:type="spellStart"/>
      <w:r w:rsidRPr="000F195D">
        <w:t>MyWA</w:t>
      </w:r>
      <w:proofErr w:type="spellEnd"/>
      <w:r w:rsidRPr="000F195D">
        <w:t xml:space="preserve"> intangible asset in 2018.</w:t>
      </w:r>
    </w:p>
    <w:p w:rsidR="000F195D" w:rsidRDefault="000F195D" w:rsidP="000F195D">
      <w:pPr>
        <w:ind w:left="709"/>
      </w:pPr>
      <w:r w:rsidRPr="000F195D">
        <w:t xml:space="preserve">2. The 2017 amount reflects the unspent Innovation funds returned to the Department of Treasury. </w:t>
      </w:r>
    </w:p>
    <w:p w:rsidR="000F195D" w:rsidRDefault="000F195D" w:rsidP="000F195D">
      <w:pPr>
        <w:ind w:left="709"/>
      </w:pPr>
      <w:r w:rsidRPr="000F195D">
        <w:lastRenderedPageBreak/>
        <w:t>(a) For the 2017-18 financial year, no balance sheet items were budgeted for the sub-department.</w:t>
      </w:r>
    </w:p>
    <w:p w:rsidR="00CF025C" w:rsidRDefault="003A3BEF" w:rsidP="003A3BEF">
      <w:pPr>
        <w:pStyle w:val="Heading3"/>
        <w:ind w:left="709"/>
      </w:pPr>
      <w:r>
        <w:t>Statement of Cash Flows (Controlled Operations)</w:t>
      </w:r>
    </w:p>
    <w:tbl>
      <w:tblPr>
        <w:tblW w:w="153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1050"/>
        <w:gridCol w:w="1156"/>
        <w:gridCol w:w="1155"/>
        <w:gridCol w:w="1155"/>
        <w:gridCol w:w="1954"/>
        <w:gridCol w:w="2977"/>
      </w:tblGrid>
      <w:tr w:rsidR="00B14B3A" w:rsidRPr="00CF025C" w:rsidTr="000E1D3A">
        <w:trPr>
          <w:trHeight w:val="1350"/>
        </w:trPr>
        <w:tc>
          <w:tcPr>
            <w:tcW w:w="5857" w:type="dxa"/>
            <w:shd w:val="clear" w:color="auto" w:fill="auto"/>
            <w:noWrap/>
            <w:vAlign w:val="bottom"/>
            <w:hideMark/>
          </w:tcPr>
          <w:p w:rsidR="00B14B3A" w:rsidRPr="00CF025C" w:rsidRDefault="00B14B3A" w:rsidP="00CF025C">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 </w:t>
            </w:r>
            <w:r w:rsidR="003A3BEF" w:rsidRPr="00CF025C">
              <w:rPr>
                <w:rFonts w:ascii="Arial" w:eastAsia="Times New Roman" w:hAnsi="Arial" w:cs="Arial"/>
                <w:b/>
                <w:bCs/>
                <w:sz w:val="20"/>
                <w:szCs w:val="20"/>
                <w:lang w:val="en-AU" w:eastAsia="en-AU" w:bidi="ar-SA"/>
              </w:rPr>
              <w:t>CASH FLOWS FROM STATE GOVERNMENT</w:t>
            </w:r>
          </w:p>
          <w:p w:rsidR="00B14B3A" w:rsidRPr="00CF025C" w:rsidRDefault="00B14B3A" w:rsidP="00CF025C">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 </w:t>
            </w:r>
          </w:p>
        </w:tc>
        <w:tc>
          <w:tcPr>
            <w:tcW w:w="1050" w:type="dxa"/>
            <w:shd w:val="clear" w:color="auto" w:fill="auto"/>
            <w:vAlign w:val="bottom"/>
            <w:hideMark/>
          </w:tcPr>
          <w:p w:rsidR="00B14B3A" w:rsidRPr="00CF025C" w:rsidRDefault="000E1D3A" w:rsidP="00CF025C">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w:t>
            </w:r>
            <w:r w:rsidR="00B14B3A" w:rsidRPr="00CF025C">
              <w:rPr>
                <w:rFonts w:ascii="Arial" w:eastAsia="Times New Roman" w:hAnsi="Arial" w:cs="Arial"/>
                <w:b/>
                <w:bCs/>
                <w:sz w:val="20"/>
                <w:szCs w:val="20"/>
                <w:lang w:val="en-AU" w:eastAsia="en-AU" w:bidi="ar-SA"/>
              </w:rPr>
              <w:t>Note</w:t>
            </w:r>
          </w:p>
        </w:tc>
        <w:tc>
          <w:tcPr>
            <w:tcW w:w="1156" w:type="dxa"/>
            <w:shd w:val="clear" w:color="auto" w:fill="auto"/>
            <w:vAlign w:val="bottom"/>
            <w:hideMark/>
          </w:tcPr>
          <w:p w:rsidR="00B14B3A" w:rsidRPr="00CF025C" w:rsidRDefault="000E1D3A" w:rsidP="00CF025C">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Estimate 2018 </w:t>
            </w:r>
            <w:r w:rsidR="00B14B3A" w:rsidRPr="00CF025C">
              <w:rPr>
                <w:rFonts w:ascii="Arial" w:eastAsia="Times New Roman" w:hAnsi="Arial" w:cs="Arial"/>
                <w:b/>
                <w:bCs/>
                <w:sz w:val="20"/>
                <w:szCs w:val="20"/>
                <w:lang w:val="en-AU" w:eastAsia="en-AU" w:bidi="ar-SA"/>
              </w:rPr>
              <w:t>$000</w:t>
            </w:r>
          </w:p>
        </w:tc>
        <w:tc>
          <w:tcPr>
            <w:tcW w:w="1155" w:type="dxa"/>
            <w:shd w:val="clear" w:color="auto" w:fill="auto"/>
            <w:vAlign w:val="bottom"/>
            <w:hideMark/>
          </w:tcPr>
          <w:p w:rsidR="00B14B3A" w:rsidRPr="00CF025C" w:rsidRDefault="00B14B3A"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p>
        </w:tc>
        <w:tc>
          <w:tcPr>
            <w:tcW w:w="1155" w:type="dxa"/>
            <w:shd w:val="clear" w:color="auto" w:fill="auto"/>
            <w:vAlign w:val="bottom"/>
            <w:hideMark/>
          </w:tcPr>
          <w:p w:rsidR="00B14B3A" w:rsidRPr="00CF025C" w:rsidRDefault="00B14B3A"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2017</w:t>
            </w:r>
            <w:r w:rsidRPr="00CF025C">
              <w:rPr>
                <w:rFonts w:ascii="Arial" w:eastAsia="Times New Roman" w:hAnsi="Arial" w:cs="Arial"/>
                <w:b/>
                <w:bCs/>
                <w:sz w:val="20"/>
                <w:szCs w:val="20"/>
                <w:lang w:val="en-AU" w:eastAsia="en-AU" w:bidi="ar-SA"/>
              </w:rPr>
              <w:br/>
              <w:t>$000</w:t>
            </w:r>
          </w:p>
        </w:tc>
        <w:tc>
          <w:tcPr>
            <w:tcW w:w="1954" w:type="dxa"/>
            <w:shd w:val="clear" w:color="auto" w:fill="auto"/>
            <w:vAlign w:val="bottom"/>
            <w:hideMark/>
          </w:tcPr>
          <w:p w:rsidR="00B14B3A" w:rsidRPr="00CF025C" w:rsidRDefault="000E1D3A" w:rsidP="00CF025C">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between estimate and actual  </w:t>
            </w:r>
            <w:r w:rsidR="00B14B3A" w:rsidRPr="00CF025C">
              <w:rPr>
                <w:rFonts w:ascii="Arial" w:eastAsia="Times New Roman" w:hAnsi="Arial" w:cs="Arial"/>
                <w:b/>
                <w:bCs/>
                <w:sz w:val="20"/>
                <w:szCs w:val="20"/>
                <w:lang w:val="en-AU" w:eastAsia="en-AU" w:bidi="ar-SA"/>
              </w:rPr>
              <w:t>$000</w:t>
            </w:r>
          </w:p>
        </w:tc>
        <w:tc>
          <w:tcPr>
            <w:tcW w:w="2977" w:type="dxa"/>
            <w:shd w:val="clear" w:color="auto" w:fill="auto"/>
            <w:vAlign w:val="bottom"/>
            <w:hideMark/>
          </w:tcPr>
          <w:p w:rsidR="00B14B3A" w:rsidRPr="00CF025C" w:rsidRDefault="000E1D3A" w:rsidP="00CF025C">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Variance between actual results </w:t>
            </w:r>
            <w:r w:rsidR="00B14B3A" w:rsidRPr="00CF025C">
              <w:rPr>
                <w:rFonts w:ascii="Arial" w:eastAsia="Times New Roman" w:hAnsi="Arial" w:cs="Arial"/>
                <w:b/>
                <w:bCs/>
                <w:sz w:val="20"/>
                <w:szCs w:val="20"/>
                <w:lang w:val="en-AU" w:eastAsia="en-AU" w:bidi="ar-SA"/>
              </w:rPr>
              <w:t>for 2018</w:t>
            </w:r>
            <w:r>
              <w:rPr>
                <w:rFonts w:ascii="Arial" w:eastAsia="Times New Roman" w:hAnsi="Arial" w:cs="Arial"/>
                <w:b/>
                <w:bCs/>
                <w:sz w:val="20"/>
                <w:szCs w:val="20"/>
                <w:lang w:val="en-AU" w:eastAsia="en-AU" w:bidi="ar-SA"/>
              </w:rPr>
              <w:t xml:space="preserve"> and 2017 </w:t>
            </w:r>
            <w:r w:rsidR="00B14B3A" w:rsidRPr="00CF025C">
              <w:rPr>
                <w:rFonts w:ascii="Arial" w:eastAsia="Times New Roman" w:hAnsi="Arial" w:cs="Arial"/>
                <w:b/>
                <w:bCs/>
                <w:sz w:val="20"/>
                <w:szCs w:val="20"/>
                <w:lang w:val="en-AU" w:eastAsia="en-AU" w:bidi="ar-SA"/>
              </w:rPr>
              <w:t>$000</w:t>
            </w:r>
          </w:p>
        </w:tc>
      </w:tr>
      <w:tr w:rsidR="00CF025C" w:rsidRPr="00CF025C" w:rsidTr="000E1D3A">
        <w:trPr>
          <w:trHeight w:val="255"/>
        </w:trPr>
        <w:tc>
          <w:tcPr>
            <w:tcW w:w="5857" w:type="dxa"/>
            <w:shd w:val="clear" w:color="auto" w:fill="auto"/>
            <w:noWrap/>
            <w:hideMark/>
          </w:tcPr>
          <w:p w:rsidR="00CF025C" w:rsidRPr="00CF025C" w:rsidRDefault="00CF025C" w:rsidP="00CF025C">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Service appropriation</w:t>
            </w:r>
          </w:p>
        </w:tc>
        <w:tc>
          <w:tcPr>
            <w:tcW w:w="1050" w:type="dxa"/>
            <w:shd w:val="clear" w:color="auto" w:fill="auto"/>
            <w:noWrap/>
            <w:hideMark/>
          </w:tcPr>
          <w:p w:rsidR="00CF025C" w:rsidRPr="00CF025C" w:rsidRDefault="00CF025C" w:rsidP="00CF025C">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w:t>
            </w:r>
          </w:p>
        </w:tc>
        <w:tc>
          <w:tcPr>
            <w:tcW w:w="1156" w:type="dxa"/>
            <w:shd w:val="clear" w:color="auto" w:fill="auto"/>
            <w:noWrap/>
            <w:hideMark/>
          </w:tcPr>
          <w:p w:rsidR="00CF025C" w:rsidRPr="00CF025C" w:rsidRDefault="00CF025C" w:rsidP="00CF025C">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3,404</w:t>
            </w:r>
          </w:p>
        </w:tc>
        <w:tc>
          <w:tcPr>
            <w:tcW w:w="1155" w:type="dxa"/>
            <w:shd w:val="clear" w:color="auto" w:fill="auto"/>
            <w:noWrap/>
            <w:hideMark/>
          </w:tcPr>
          <w:p w:rsidR="00CF025C" w:rsidRPr="00CF025C" w:rsidRDefault="00CF025C" w:rsidP="00CF025C">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1,657</w:t>
            </w:r>
          </w:p>
        </w:tc>
        <w:tc>
          <w:tcPr>
            <w:tcW w:w="1155" w:type="dxa"/>
            <w:shd w:val="clear" w:color="auto" w:fill="auto"/>
            <w:noWrap/>
            <w:hideMark/>
          </w:tcPr>
          <w:p w:rsidR="00CF025C" w:rsidRPr="00CF025C" w:rsidRDefault="00CF025C" w:rsidP="00CF025C">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9,159</w:t>
            </w:r>
          </w:p>
        </w:tc>
        <w:tc>
          <w:tcPr>
            <w:tcW w:w="1954" w:type="dxa"/>
            <w:shd w:val="clear" w:color="auto" w:fill="auto"/>
            <w:noWrap/>
            <w:hideMark/>
          </w:tcPr>
          <w:p w:rsidR="00CF025C" w:rsidRPr="00CF025C" w:rsidRDefault="00CF025C" w:rsidP="00CF025C">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(1,747)</w:t>
            </w:r>
          </w:p>
        </w:tc>
        <w:tc>
          <w:tcPr>
            <w:tcW w:w="2977" w:type="dxa"/>
            <w:shd w:val="clear" w:color="auto" w:fill="auto"/>
            <w:noWrap/>
            <w:hideMark/>
          </w:tcPr>
          <w:p w:rsidR="00CF025C" w:rsidRPr="00CF025C" w:rsidRDefault="00CF025C" w:rsidP="00CF025C">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(7,502)</w:t>
            </w:r>
          </w:p>
        </w:tc>
      </w:tr>
      <w:tr w:rsidR="00CF025C" w:rsidRPr="00CF025C" w:rsidTr="000E1D3A">
        <w:trPr>
          <w:trHeight w:val="255"/>
        </w:trPr>
        <w:tc>
          <w:tcPr>
            <w:tcW w:w="5857" w:type="dxa"/>
            <w:shd w:val="clear" w:color="auto" w:fill="auto"/>
            <w:noWrap/>
            <w:vAlign w:val="bottom"/>
            <w:hideMark/>
          </w:tcPr>
          <w:p w:rsidR="00CF025C" w:rsidRPr="00CF025C" w:rsidRDefault="00CF025C" w:rsidP="00CF025C">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Net cash provided by State Government</w:t>
            </w:r>
          </w:p>
        </w:tc>
        <w:tc>
          <w:tcPr>
            <w:tcW w:w="1050" w:type="dxa"/>
            <w:shd w:val="clear" w:color="auto" w:fill="auto"/>
            <w:noWrap/>
            <w:hideMark/>
          </w:tcPr>
          <w:p w:rsidR="00CF025C" w:rsidRPr="00CF025C" w:rsidRDefault="00CF025C" w:rsidP="00CF025C">
            <w:pPr>
              <w:widowControl/>
              <w:autoSpaceDE/>
              <w:autoSpaceDN/>
              <w:rPr>
                <w:rFonts w:ascii="Arial" w:eastAsia="Times New Roman" w:hAnsi="Arial" w:cs="Arial"/>
                <w:b/>
                <w:bCs/>
                <w:sz w:val="20"/>
                <w:szCs w:val="20"/>
                <w:lang w:val="en-AU" w:eastAsia="en-AU" w:bidi="ar-SA"/>
              </w:rPr>
            </w:pPr>
          </w:p>
        </w:tc>
        <w:tc>
          <w:tcPr>
            <w:tcW w:w="1156" w:type="dxa"/>
            <w:shd w:val="clear" w:color="auto" w:fill="auto"/>
            <w:noWrap/>
            <w:vAlign w:val="bottom"/>
            <w:hideMark/>
          </w:tcPr>
          <w:p w:rsidR="00CF025C" w:rsidRPr="00CF025C" w:rsidRDefault="00CF025C"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3,404</w:t>
            </w:r>
          </w:p>
        </w:tc>
        <w:tc>
          <w:tcPr>
            <w:tcW w:w="1155" w:type="dxa"/>
            <w:shd w:val="clear" w:color="auto" w:fill="auto"/>
            <w:noWrap/>
            <w:vAlign w:val="bottom"/>
            <w:hideMark/>
          </w:tcPr>
          <w:p w:rsidR="00CF025C" w:rsidRPr="00CF025C" w:rsidRDefault="00CF025C"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1,657</w:t>
            </w:r>
          </w:p>
        </w:tc>
        <w:tc>
          <w:tcPr>
            <w:tcW w:w="1155" w:type="dxa"/>
            <w:shd w:val="clear" w:color="auto" w:fill="auto"/>
            <w:noWrap/>
            <w:vAlign w:val="bottom"/>
            <w:hideMark/>
          </w:tcPr>
          <w:p w:rsidR="00CF025C" w:rsidRPr="00CF025C" w:rsidRDefault="00CF025C"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9,159</w:t>
            </w:r>
          </w:p>
        </w:tc>
        <w:tc>
          <w:tcPr>
            <w:tcW w:w="1954" w:type="dxa"/>
            <w:shd w:val="clear" w:color="auto" w:fill="auto"/>
            <w:noWrap/>
            <w:vAlign w:val="bottom"/>
            <w:hideMark/>
          </w:tcPr>
          <w:p w:rsidR="00CF025C" w:rsidRPr="00CF025C" w:rsidRDefault="00CF025C"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(1,747)</w:t>
            </w:r>
          </w:p>
        </w:tc>
        <w:tc>
          <w:tcPr>
            <w:tcW w:w="2977" w:type="dxa"/>
            <w:shd w:val="clear" w:color="auto" w:fill="auto"/>
            <w:noWrap/>
            <w:vAlign w:val="bottom"/>
            <w:hideMark/>
          </w:tcPr>
          <w:p w:rsidR="00CF025C" w:rsidRPr="00CF025C" w:rsidRDefault="00CF025C" w:rsidP="00CF025C">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(7,502)</w:t>
            </w:r>
          </w:p>
        </w:tc>
      </w:tr>
    </w:tbl>
    <w:p w:rsidR="000E1D3A" w:rsidRDefault="000E1D3A" w:rsidP="000E1D3A"/>
    <w:tbl>
      <w:tblPr>
        <w:tblW w:w="153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1050"/>
        <w:gridCol w:w="1156"/>
        <w:gridCol w:w="1155"/>
        <w:gridCol w:w="1155"/>
        <w:gridCol w:w="1954"/>
        <w:gridCol w:w="2977"/>
      </w:tblGrid>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CASH FLOWS FROM OPERATING ACTIVITIES</w:t>
            </w:r>
            <w:r>
              <w:rPr>
                <w:rFonts w:ascii="Arial" w:eastAsia="Times New Roman" w:hAnsi="Arial" w:cs="Arial"/>
                <w:b/>
                <w:bCs/>
                <w:sz w:val="20"/>
                <w:szCs w:val="20"/>
                <w:lang w:val="en-AU" w:eastAsia="en-AU" w:bidi="ar-SA"/>
              </w:rPr>
              <w:t xml:space="preserve"> - payments</w:t>
            </w:r>
          </w:p>
        </w:tc>
        <w:tc>
          <w:tcPr>
            <w:tcW w:w="1050" w:type="dxa"/>
            <w:shd w:val="clear" w:color="auto" w:fill="auto"/>
            <w:noWrap/>
            <w:hideMark/>
          </w:tcPr>
          <w:p w:rsidR="000E1D3A" w:rsidRPr="00CF025C" w:rsidRDefault="000E1D3A" w:rsidP="000E1D3A">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Variance</w:t>
            </w:r>
            <w:r w:rsidRPr="00CF025C">
              <w:rPr>
                <w:rFonts w:ascii="Arial" w:eastAsia="Times New Roman" w:hAnsi="Arial" w:cs="Arial"/>
                <w:b/>
                <w:bCs/>
                <w:sz w:val="20"/>
                <w:szCs w:val="20"/>
                <w:lang w:val="en-AU" w:eastAsia="en-AU" w:bidi="ar-SA"/>
              </w:rPr>
              <w:br/>
              <w:t>Note</w:t>
            </w:r>
          </w:p>
        </w:tc>
        <w:tc>
          <w:tcPr>
            <w:tcW w:w="1156" w:type="dxa"/>
            <w:shd w:val="clear" w:color="auto" w:fill="auto"/>
            <w:noWrap/>
            <w:hideMark/>
          </w:tcPr>
          <w:p w:rsidR="000E1D3A" w:rsidRPr="00CF025C" w:rsidRDefault="000E1D3A" w:rsidP="000E1D3A">
            <w:pPr>
              <w:widowControl/>
              <w:autoSpaceDE/>
              <w:autoSpaceDN/>
              <w:jc w:val="center"/>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Estimate</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p>
        </w:tc>
        <w:tc>
          <w:tcPr>
            <w:tcW w:w="1155"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 </w:t>
            </w: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p>
        </w:tc>
        <w:tc>
          <w:tcPr>
            <w:tcW w:w="1155" w:type="dxa"/>
            <w:shd w:val="clear" w:color="auto" w:fill="auto"/>
            <w:noWrap/>
            <w:hideMark/>
          </w:tcPr>
          <w:p w:rsidR="000E1D3A" w:rsidRDefault="000E1D3A" w:rsidP="000E1D3A">
            <w:pPr>
              <w:rPr>
                <w:rFonts w:ascii="Arial" w:eastAsia="Times New Roman" w:hAnsi="Arial" w:cs="Arial"/>
                <w:sz w:val="20"/>
                <w:szCs w:val="20"/>
                <w:lang w:eastAsia="en-AU"/>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2017</w:t>
            </w:r>
            <w:r w:rsidRPr="00CF025C">
              <w:rPr>
                <w:rFonts w:ascii="Arial" w:eastAsia="Times New Roman" w:hAnsi="Arial" w:cs="Arial"/>
                <w:b/>
                <w:bCs/>
                <w:sz w:val="20"/>
                <w:szCs w:val="20"/>
                <w:lang w:val="en-AU" w:eastAsia="en-AU" w:bidi="ar-SA"/>
              </w:rPr>
              <w:br/>
              <w:t>$000</w:t>
            </w:r>
          </w:p>
          <w:p w:rsidR="000E1D3A" w:rsidRPr="00E55195" w:rsidRDefault="000E1D3A" w:rsidP="000E1D3A">
            <w:pPr>
              <w:rPr>
                <w:rFonts w:ascii="Arial" w:eastAsia="Times New Roman" w:hAnsi="Arial" w:cs="Arial"/>
                <w:sz w:val="20"/>
                <w:szCs w:val="20"/>
                <w:lang w:eastAsia="en-AU"/>
              </w:rPr>
            </w:pPr>
          </w:p>
        </w:tc>
        <w:tc>
          <w:tcPr>
            <w:tcW w:w="1954" w:type="dxa"/>
            <w:shd w:val="clear" w:color="auto" w:fill="auto"/>
            <w:noWrap/>
            <w:hideMark/>
          </w:tcPr>
          <w:p w:rsidR="000E1D3A" w:rsidRPr="00CF025C" w:rsidRDefault="000E1D3A" w:rsidP="000E1D3A">
            <w:pPr>
              <w:widowControl/>
              <w:autoSpaceDE/>
              <w:autoSpaceDN/>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Varian</w:t>
            </w:r>
            <w:r>
              <w:rPr>
                <w:rFonts w:ascii="Arial" w:eastAsia="Times New Roman" w:hAnsi="Arial" w:cs="Arial"/>
                <w:b/>
                <w:bCs/>
                <w:sz w:val="20"/>
                <w:szCs w:val="20"/>
                <w:lang w:val="en-AU" w:eastAsia="en-AU" w:bidi="ar-SA"/>
              </w:rPr>
              <w:t xml:space="preserve">ce between estimate and actual  </w:t>
            </w:r>
            <w:r w:rsidRPr="00CF025C">
              <w:rPr>
                <w:rFonts w:ascii="Arial" w:eastAsia="Times New Roman" w:hAnsi="Arial" w:cs="Arial"/>
                <w:b/>
                <w:bCs/>
                <w:sz w:val="20"/>
                <w:szCs w:val="20"/>
                <w:lang w:val="en-AU" w:eastAsia="en-AU" w:bidi="ar-SA"/>
              </w:rPr>
              <w:t>$000</w:t>
            </w:r>
          </w:p>
        </w:tc>
        <w:tc>
          <w:tcPr>
            <w:tcW w:w="2977" w:type="dxa"/>
            <w:shd w:val="clear" w:color="auto" w:fill="auto"/>
            <w:noWrap/>
            <w:hideMark/>
          </w:tcPr>
          <w:p w:rsidR="000E1D3A" w:rsidRPr="00CF025C" w:rsidRDefault="000E1D3A" w:rsidP="000E1D3A">
            <w:pPr>
              <w:widowControl/>
              <w:autoSpaceDE/>
              <w:autoSpaceDN/>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Variance between actual results for 2018</w:t>
            </w:r>
            <w:r>
              <w:rPr>
                <w:rFonts w:ascii="Arial" w:eastAsia="Times New Roman" w:hAnsi="Arial" w:cs="Arial"/>
                <w:b/>
                <w:bCs/>
                <w:sz w:val="20"/>
                <w:szCs w:val="20"/>
                <w:lang w:val="en-AU" w:eastAsia="en-AU" w:bidi="ar-SA"/>
              </w:rPr>
              <w:t xml:space="preserve"> and 2017 </w:t>
            </w:r>
            <w:r w:rsidRPr="00CF025C">
              <w:rPr>
                <w:rFonts w:ascii="Arial" w:eastAsia="Times New Roman" w:hAnsi="Arial" w:cs="Arial"/>
                <w:b/>
                <w:bCs/>
                <w:sz w:val="20"/>
                <w:szCs w:val="20"/>
                <w:lang w:val="en-AU" w:eastAsia="en-AU" w:bidi="ar-SA"/>
              </w:rPr>
              <w:t>$000</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Employee benefits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(7,944)</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(4,881)</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(3,862)</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3,063</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(1,019)</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Supplies and services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(3,146)</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(1,983)</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(3,945)</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1,163</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1,962</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Accommodation</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(579)</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(535)</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(313)</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44</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(222)</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Grants and subsidies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(195)</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(369)</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(195)</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174</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GST payments on purchases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6</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(331)</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(453)</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(331)</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122</w:t>
            </w:r>
          </w:p>
        </w:tc>
      </w:tr>
      <w:tr w:rsidR="000E1D3A" w:rsidRPr="00CF025C" w:rsidTr="000E1D3A">
        <w:trPr>
          <w:trHeight w:val="300"/>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Other payments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(2,385)</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(85)</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(58)</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2,300</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(27)</w:t>
            </w:r>
          </w:p>
        </w:tc>
      </w:tr>
    </w:tbl>
    <w:p w:rsidR="000E1D3A" w:rsidRDefault="000E1D3A" w:rsidP="000E1D3A"/>
    <w:tbl>
      <w:tblPr>
        <w:tblW w:w="153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1050"/>
        <w:gridCol w:w="1156"/>
        <w:gridCol w:w="1155"/>
        <w:gridCol w:w="1155"/>
        <w:gridCol w:w="1954"/>
        <w:gridCol w:w="2977"/>
      </w:tblGrid>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 xml:space="preserve">Cash Flows From Operating Activities - </w:t>
            </w:r>
            <w:r w:rsidRPr="00CF025C">
              <w:rPr>
                <w:rFonts w:ascii="Arial" w:eastAsia="Times New Roman" w:hAnsi="Arial" w:cs="Arial"/>
                <w:b/>
                <w:bCs/>
                <w:sz w:val="20"/>
                <w:szCs w:val="20"/>
                <w:lang w:val="en-AU" w:eastAsia="en-AU" w:bidi="ar-SA"/>
              </w:rPr>
              <w:t>Receipts</w:t>
            </w:r>
          </w:p>
        </w:tc>
        <w:tc>
          <w:tcPr>
            <w:tcW w:w="1050" w:type="dxa"/>
            <w:shd w:val="clear" w:color="auto" w:fill="auto"/>
            <w:noWrap/>
            <w:hideMark/>
          </w:tcPr>
          <w:p w:rsidR="000E1D3A" w:rsidRPr="00CF025C" w:rsidRDefault="000E1D3A" w:rsidP="000E1D3A">
            <w:pPr>
              <w:widowControl/>
              <w:autoSpaceDE/>
              <w:autoSpaceDN/>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Variance</w:t>
            </w:r>
            <w:r w:rsidRPr="00CF025C">
              <w:rPr>
                <w:rFonts w:ascii="Arial" w:eastAsia="Times New Roman" w:hAnsi="Arial" w:cs="Arial"/>
                <w:b/>
                <w:bCs/>
                <w:sz w:val="20"/>
                <w:szCs w:val="20"/>
                <w:lang w:val="en-AU" w:eastAsia="en-AU" w:bidi="ar-SA"/>
              </w:rPr>
              <w:br/>
              <w:t>Note</w:t>
            </w:r>
          </w:p>
        </w:tc>
        <w:tc>
          <w:tcPr>
            <w:tcW w:w="1156" w:type="dxa"/>
            <w:shd w:val="clear" w:color="auto" w:fill="auto"/>
            <w:noWrap/>
            <w:hideMark/>
          </w:tcPr>
          <w:p w:rsidR="000E1D3A" w:rsidRPr="00CF025C" w:rsidRDefault="000E1D3A" w:rsidP="000E1D3A">
            <w:pPr>
              <w:widowControl/>
              <w:autoSpaceDE/>
              <w:autoSpaceDN/>
              <w:jc w:val="center"/>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Estimate</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p>
        </w:tc>
        <w:tc>
          <w:tcPr>
            <w:tcW w:w="1155"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r w:rsidRPr="00CF025C">
              <w:rPr>
                <w:rFonts w:ascii="Arial" w:eastAsia="Times New Roman" w:hAnsi="Arial" w:cs="Arial"/>
                <w:sz w:val="20"/>
                <w:szCs w:val="20"/>
                <w:lang w:val="en-AU" w:eastAsia="en-AU" w:bidi="ar-SA"/>
              </w:rPr>
              <w:t> </w:t>
            </w:r>
          </w:p>
        </w:tc>
        <w:tc>
          <w:tcPr>
            <w:tcW w:w="1155" w:type="dxa"/>
            <w:shd w:val="clear" w:color="auto" w:fill="auto"/>
            <w:noWrap/>
            <w:hideMark/>
          </w:tcPr>
          <w:p w:rsidR="000E1D3A" w:rsidRDefault="000E1D3A" w:rsidP="000E1D3A">
            <w:pPr>
              <w:rPr>
                <w:rFonts w:ascii="Arial" w:eastAsia="Times New Roman" w:hAnsi="Arial" w:cs="Arial"/>
                <w:sz w:val="20"/>
                <w:szCs w:val="20"/>
                <w:lang w:eastAsia="en-AU"/>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2017</w:t>
            </w:r>
            <w:r w:rsidRPr="00CF025C">
              <w:rPr>
                <w:rFonts w:ascii="Arial" w:eastAsia="Times New Roman" w:hAnsi="Arial" w:cs="Arial"/>
                <w:b/>
                <w:bCs/>
                <w:sz w:val="20"/>
                <w:szCs w:val="20"/>
                <w:lang w:val="en-AU" w:eastAsia="en-AU" w:bidi="ar-SA"/>
              </w:rPr>
              <w:br/>
              <w:t>$000</w:t>
            </w:r>
          </w:p>
          <w:p w:rsidR="000E1D3A" w:rsidRPr="00CF025C" w:rsidRDefault="000E1D3A" w:rsidP="000E1D3A">
            <w:pPr>
              <w:widowControl/>
              <w:autoSpaceDE/>
              <w:autoSpaceDN/>
              <w:rPr>
                <w:rFonts w:ascii="Arial" w:eastAsia="Times New Roman" w:hAnsi="Arial" w:cs="Arial"/>
                <w:sz w:val="20"/>
                <w:szCs w:val="20"/>
                <w:lang w:val="en-AU" w:eastAsia="en-AU" w:bidi="ar-SA"/>
              </w:rPr>
            </w:pPr>
          </w:p>
        </w:tc>
        <w:tc>
          <w:tcPr>
            <w:tcW w:w="1954" w:type="dxa"/>
            <w:shd w:val="clear" w:color="auto" w:fill="auto"/>
            <w:noWrap/>
            <w:hideMark/>
          </w:tcPr>
          <w:p w:rsidR="000E1D3A" w:rsidRPr="00E55195" w:rsidRDefault="000E1D3A" w:rsidP="000E1D3A">
            <w:pPr>
              <w:widowControl/>
              <w:autoSpaceDE/>
              <w:autoSpaceDN/>
              <w:rPr>
                <w:rFonts w:ascii="Times New Roman" w:eastAsia="Times New Roman" w:hAnsi="Times New Roman" w:cs="Times New Roman"/>
                <w:sz w:val="20"/>
                <w:szCs w:val="20"/>
                <w:lang w:val="en-AU" w:eastAsia="en-AU" w:bidi="ar-SA"/>
              </w:rPr>
            </w:pPr>
            <w:r w:rsidRPr="00E55195">
              <w:rPr>
                <w:rFonts w:ascii="Arial" w:eastAsia="Times New Roman" w:hAnsi="Arial" w:cs="Arial"/>
                <w:b/>
                <w:bCs/>
                <w:sz w:val="20"/>
                <w:szCs w:val="20"/>
                <w:lang w:val="en-AU" w:eastAsia="en-AU" w:bidi="ar-SA"/>
              </w:rPr>
              <w:t>Varian</w:t>
            </w:r>
            <w:r>
              <w:rPr>
                <w:rFonts w:ascii="Arial" w:eastAsia="Times New Roman" w:hAnsi="Arial" w:cs="Arial"/>
                <w:b/>
                <w:bCs/>
                <w:sz w:val="20"/>
                <w:szCs w:val="20"/>
                <w:lang w:val="en-AU" w:eastAsia="en-AU" w:bidi="ar-SA"/>
              </w:rPr>
              <w:t xml:space="preserve">ce between estimate and actual  </w:t>
            </w:r>
            <w:r w:rsidRPr="00E55195">
              <w:rPr>
                <w:rFonts w:ascii="Arial" w:eastAsia="Times New Roman" w:hAnsi="Arial" w:cs="Arial"/>
                <w:b/>
                <w:bCs/>
                <w:sz w:val="20"/>
                <w:szCs w:val="20"/>
                <w:lang w:val="en-AU" w:eastAsia="en-AU" w:bidi="ar-SA"/>
              </w:rPr>
              <w:t>$000</w:t>
            </w:r>
          </w:p>
        </w:tc>
        <w:tc>
          <w:tcPr>
            <w:tcW w:w="2977" w:type="dxa"/>
            <w:shd w:val="clear" w:color="auto" w:fill="auto"/>
            <w:noWrap/>
            <w:hideMark/>
          </w:tcPr>
          <w:p w:rsidR="000E1D3A" w:rsidRPr="00CF025C" w:rsidRDefault="000E1D3A" w:rsidP="000E1D3A">
            <w:pPr>
              <w:widowControl/>
              <w:autoSpaceDE/>
              <w:autoSpaceDN/>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Variance between actual results for 2018</w:t>
            </w:r>
            <w:r>
              <w:rPr>
                <w:rFonts w:ascii="Arial" w:eastAsia="Times New Roman" w:hAnsi="Arial" w:cs="Arial"/>
                <w:b/>
                <w:bCs/>
                <w:sz w:val="20"/>
                <w:szCs w:val="20"/>
                <w:lang w:val="en-AU" w:eastAsia="en-AU" w:bidi="ar-SA"/>
              </w:rPr>
              <w:t xml:space="preserve"> and 2017 </w:t>
            </w:r>
            <w:r w:rsidRPr="00CF025C">
              <w:rPr>
                <w:rFonts w:ascii="Arial" w:eastAsia="Times New Roman" w:hAnsi="Arial" w:cs="Arial"/>
                <w:b/>
                <w:bCs/>
                <w:sz w:val="20"/>
                <w:szCs w:val="20"/>
                <w:lang w:val="en-AU" w:eastAsia="en-AU" w:bidi="ar-SA"/>
              </w:rPr>
              <w:t>$000</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Grants and contributions</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8</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7,053</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5,415</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4,030</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(1,638)</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1,385</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GST receipts on sales</w:t>
            </w:r>
          </w:p>
        </w:tc>
        <w:tc>
          <w:tcPr>
            <w:tcW w:w="1050"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26</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GST receipts from taxation authority</w:t>
            </w:r>
          </w:p>
        </w:tc>
        <w:tc>
          <w:tcPr>
            <w:tcW w:w="1050" w:type="dxa"/>
            <w:shd w:val="clear" w:color="auto" w:fill="auto"/>
            <w:noWrap/>
            <w:hideMark/>
          </w:tcPr>
          <w:p w:rsidR="000E1D3A" w:rsidRPr="00CF025C" w:rsidRDefault="000E1D3A" w:rsidP="000E1D3A">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9</w:t>
            </w: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137</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362</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330</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225</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32</w:t>
            </w:r>
          </w:p>
        </w:tc>
      </w:tr>
      <w:tr w:rsidR="000E1D3A" w:rsidRPr="00CF025C" w:rsidTr="000E1D3A">
        <w:trPr>
          <w:trHeight w:val="255"/>
        </w:trPr>
        <w:tc>
          <w:tcPr>
            <w:tcW w:w="5857"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Other receipts</w:t>
            </w:r>
          </w:p>
        </w:tc>
        <w:tc>
          <w:tcPr>
            <w:tcW w:w="1050" w:type="dxa"/>
            <w:shd w:val="clear" w:color="auto" w:fill="auto"/>
            <w:noWrap/>
            <w:hideMark/>
          </w:tcPr>
          <w:p w:rsidR="000E1D3A" w:rsidRPr="00CF025C" w:rsidRDefault="000E1D3A" w:rsidP="000E1D3A">
            <w:pPr>
              <w:widowControl/>
              <w:autoSpaceDE/>
              <w:autoSpaceDN/>
              <w:rPr>
                <w:rFonts w:ascii="Arial" w:eastAsia="Times New Roman" w:hAnsi="Arial" w:cs="Arial"/>
                <w:sz w:val="20"/>
                <w:szCs w:val="20"/>
                <w:lang w:val="en-AU" w:eastAsia="en-AU" w:bidi="ar-SA"/>
              </w:rPr>
            </w:pPr>
          </w:p>
        </w:tc>
        <w:tc>
          <w:tcPr>
            <w:tcW w:w="1156"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61</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10</w:t>
            </w:r>
          </w:p>
        </w:tc>
        <w:tc>
          <w:tcPr>
            <w:tcW w:w="1155"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70</w:t>
            </w:r>
          </w:p>
        </w:tc>
        <w:tc>
          <w:tcPr>
            <w:tcW w:w="1954"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(51)</w:t>
            </w:r>
          </w:p>
        </w:tc>
        <w:tc>
          <w:tcPr>
            <w:tcW w:w="2977" w:type="dxa"/>
            <w:shd w:val="clear" w:color="auto" w:fill="auto"/>
            <w:noWrap/>
            <w:hideMark/>
          </w:tcPr>
          <w:p w:rsidR="000E1D3A" w:rsidRPr="00CF025C" w:rsidRDefault="000E1D3A" w:rsidP="000E1D3A">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(60)</w:t>
            </w:r>
          </w:p>
        </w:tc>
      </w:tr>
      <w:tr w:rsidR="000E1D3A" w:rsidRPr="00CF025C" w:rsidTr="000E1D3A">
        <w:trPr>
          <w:trHeight w:val="255"/>
        </w:trPr>
        <w:tc>
          <w:tcPr>
            <w:tcW w:w="5857" w:type="dxa"/>
            <w:shd w:val="clear" w:color="auto" w:fill="auto"/>
            <w:noWrap/>
            <w:vAlign w:val="bottom"/>
            <w:hideMark/>
          </w:tcPr>
          <w:p w:rsidR="000E1D3A" w:rsidRPr="00CF025C" w:rsidRDefault="000E1D3A" w:rsidP="000E1D3A">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Net cash provided by/(used in) operating activities</w:t>
            </w:r>
          </w:p>
        </w:tc>
        <w:tc>
          <w:tcPr>
            <w:tcW w:w="1050" w:type="dxa"/>
            <w:shd w:val="clear" w:color="auto" w:fill="auto"/>
            <w:noWrap/>
            <w:hideMark/>
          </w:tcPr>
          <w:p w:rsidR="000E1D3A" w:rsidRPr="00CF025C" w:rsidRDefault="000E1D3A" w:rsidP="000E1D3A">
            <w:pPr>
              <w:widowControl/>
              <w:autoSpaceDE/>
              <w:autoSpaceDN/>
              <w:rPr>
                <w:rFonts w:ascii="Arial" w:eastAsia="Times New Roman" w:hAnsi="Arial" w:cs="Arial"/>
                <w:b/>
                <w:bCs/>
                <w:sz w:val="20"/>
                <w:szCs w:val="20"/>
                <w:lang w:val="en-AU" w:eastAsia="en-AU" w:bidi="ar-SA"/>
              </w:rPr>
            </w:pPr>
          </w:p>
        </w:tc>
        <w:tc>
          <w:tcPr>
            <w:tcW w:w="1156" w:type="dxa"/>
            <w:shd w:val="clear" w:color="auto" w:fill="auto"/>
            <w:noWrap/>
            <w:vAlign w:val="bottom"/>
            <w:hideMark/>
          </w:tcPr>
          <w:p w:rsidR="000E1D3A" w:rsidRPr="00CF025C" w:rsidRDefault="000E1D3A" w:rsidP="000E1D3A">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(6,803)</w:t>
            </w:r>
          </w:p>
        </w:tc>
        <w:tc>
          <w:tcPr>
            <w:tcW w:w="1155" w:type="dxa"/>
            <w:shd w:val="clear" w:color="auto" w:fill="auto"/>
            <w:noWrap/>
            <w:vAlign w:val="bottom"/>
            <w:hideMark/>
          </w:tcPr>
          <w:p w:rsidR="000E1D3A" w:rsidRPr="00CF025C" w:rsidRDefault="000E1D3A" w:rsidP="000E1D3A">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(2,191)</w:t>
            </w:r>
          </w:p>
        </w:tc>
        <w:tc>
          <w:tcPr>
            <w:tcW w:w="1155" w:type="dxa"/>
            <w:shd w:val="clear" w:color="auto" w:fill="auto"/>
            <w:noWrap/>
            <w:vAlign w:val="bottom"/>
            <w:hideMark/>
          </w:tcPr>
          <w:p w:rsidR="000E1D3A" w:rsidRPr="00CF025C" w:rsidRDefault="000E1D3A" w:rsidP="000E1D3A">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(4,563)</w:t>
            </w:r>
          </w:p>
        </w:tc>
        <w:tc>
          <w:tcPr>
            <w:tcW w:w="1954" w:type="dxa"/>
            <w:shd w:val="clear" w:color="auto" w:fill="auto"/>
            <w:noWrap/>
            <w:vAlign w:val="bottom"/>
            <w:hideMark/>
          </w:tcPr>
          <w:p w:rsidR="000E1D3A" w:rsidRPr="00CF025C" w:rsidRDefault="000E1D3A" w:rsidP="000E1D3A">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4,612</w:t>
            </w:r>
          </w:p>
        </w:tc>
        <w:tc>
          <w:tcPr>
            <w:tcW w:w="2977" w:type="dxa"/>
            <w:shd w:val="clear" w:color="auto" w:fill="auto"/>
            <w:noWrap/>
            <w:vAlign w:val="bottom"/>
            <w:hideMark/>
          </w:tcPr>
          <w:p w:rsidR="000E1D3A" w:rsidRPr="00CF025C" w:rsidRDefault="000E1D3A" w:rsidP="000E1D3A">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2,372</w:t>
            </w:r>
          </w:p>
        </w:tc>
      </w:tr>
    </w:tbl>
    <w:p w:rsidR="000E1D3A" w:rsidRDefault="000E1D3A" w:rsidP="000E1D3A"/>
    <w:tbl>
      <w:tblPr>
        <w:tblW w:w="153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384"/>
        <w:gridCol w:w="1156"/>
        <w:gridCol w:w="1155"/>
        <w:gridCol w:w="1155"/>
        <w:gridCol w:w="1954"/>
        <w:gridCol w:w="2977"/>
      </w:tblGrid>
      <w:tr w:rsidR="0054212C" w:rsidRPr="00CF025C" w:rsidTr="008724B9">
        <w:trPr>
          <w:trHeight w:val="255"/>
        </w:trPr>
        <w:tc>
          <w:tcPr>
            <w:tcW w:w="5523" w:type="dxa"/>
            <w:shd w:val="clear" w:color="auto" w:fill="auto"/>
            <w:noWrap/>
            <w:hideMark/>
          </w:tcPr>
          <w:p w:rsidR="0054212C" w:rsidRPr="00CF025C" w:rsidRDefault="0054212C" w:rsidP="008724B9">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CASH FLOWS FROM INVESTING ACTIVITIES</w:t>
            </w:r>
          </w:p>
        </w:tc>
        <w:tc>
          <w:tcPr>
            <w:tcW w:w="1384" w:type="dxa"/>
            <w:shd w:val="clear" w:color="auto" w:fill="auto"/>
            <w:noWrap/>
            <w:hideMark/>
          </w:tcPr>
          <w:p w:rsidR="0054212C" w:rsidRPr="00CF025C" w:rsidRDefault="0054212C" w:rsidP="008724B9">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Variance</w:t>
            </w:r>
            <w:r w:rsidRPr="00CF025C">
              <w:rPr>
                <w:rFonts w:ascii="Arial" w:eastAsia="Times New Roman" w:hAnsi="Arial" w:cs="Arial"/>
                <w:b/>
                <w:bCs/>
                <w:sz w:val="20"/>
                <w:szCs w:val="20"/>
                <w:lang w:val="en-AU" w:eastAsia="en-AU" w:bidi="ar-SA"/>
              </w:rPr>
              <w:br/>
              <w:t>Note</w:t>
            </w:r>
          </w:p>
        </w:tc>
        <w:tc>
          <w:tcPr>
            <w:tcW w:w="1156" w:type="dxa"/>
            <w:shd w:val="clear" w:color="auto" w:fill="auto"/>
            <w:noWrap/>
            <w:hideMark/>
          </w:tcPr>
          <w:p w:rsidR="0054212C" w:rsidRPr="00CF025C" w:rsidRDefault="0054212C" w:rsidP="008724B9">
            <w:pPr>
              <w:widowControl/>
              <w:autoSpaceDE/>
              <w:autoSpaceDN/>
              <w:jc w:val="center"/>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Estimate</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p>
        </w:tc>
        <w:tc>
          <w:tcPr>
            <w:tcW w:w="1155"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 </w:t>
            </w: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2018</w:t>
            </w:r>
            <w:r w:rsidRPr="00CF025C">
              <w:rPr>
                <w:rFonts w:ascii="Arial" w:eastAsia="Times New Roman" w:hAnsi="Arial" w:cs="Arial"/>
                <w:b/>
                <w:bCs/>
                <w:sz w:val="20"/>
                <w:szCs w:val="20"/>
                <w:lang w:val="en-AU" w:eastAsia="en-AU" w:bidi="ar-SA"/>
              </w:rPr>
              <w:br/>
              <w:t>$000</w:t>
            </w:r>
            <w:r w:rsidRPr="00CF025C">
              <w:rPr>
                <w:rFonts w:ascii="Arial" w:eastAsia="Times New Roman" w:hAnsi="Arial" w:cs="Arial"/>
                <w:sz w:val="20"/>
                <w:szCs w:val="20"/>
                <w:lang w:val="en-AU" w:eastAsia="en-AU" w:bidi="ar-SA"/>
              </w:rPr>
              <w:t> </w:t>
            </w:r>
          </w:p>
        </w:tc>
        <w:tc>
          <w:tcPr>
            <w:tcW w:w="1155" w:type="dxa"/>
            <w:shd w:val="clear" w:color="auto" w:fill="auto"/>
            <w:noWrap/>
            <w:hideMark/>
          </w:tcPr>
          <w:p w:rsidR="0054212C" w:rsidRDefault="0054212C" w:rsidP="008724B9">
            <w:pPr>
              <w:rPr>
                <w:rFonts w:ascii="Arial" w:eastAsia="Times New Roman" w:hAnsi="Arial" w:cs="Arial"/>
                <w:sz w:val="20"/>
                <w:szCs w:val="20"/>
                <w:lang w:eastAsia="en-AU"/>
              </w:rPr>
            </w:pPr>
            <w:r w:rsidRPr="00CF025C">
              <w:rPr>
                <w:rFonts w:ascii="Arial" w:eastAsia="Times New Roman" w:hAnsi="Arial" w:cs="Arial"/>
                <w:b/>
                <w:bCs/>
                <w:sz w:val="20"/>
                <w:szCs w:val="20"/>
                <w:lang w:val="en-AU" w:eastAsia="en-AU" w:bidi="ar-SA"/>
              </w:rPr>
              <w:t>Actual</w:t>
            </w:r>
            <w:r w:rsidRPr="00CF025C">
              <w:rPr>
                <w:rFonts w:ascii="Arial" w:eastAsia="Times New Roman" w:hAnsi="Arial" w:cs="Arial"/>
                <w:b/>
                <w:bCs/>
                <w:sz w:val="20"/>
                <w:szCs w:val="20"/>
                <w:lang w:val="en-AU" w:eastAsia="en-AU" w:bidi="ar-SA"/>
              </w:rPr>
              <w:br/>
              <w:t>2017</w:t>
            </w:r>
            <w:r w:rsidRPr="00CF025C">
              <w:rPr>
                <w:rFonts w:ascii="Arial" w:eastAsia="Times New Roman" w:hAnsi="Arial" w:cs="Arial"/>
                <w:b/>
                <w:bCs/>
                <w:sz w:val="20"/>
                <w:szCs w:val="20"/>
                <w:lang w:val="en-AU" w:eastAsia="en-AU" w:bidi="ar-SA"/>
              </w:rPr>
              <w:br/>
              <w:t>$000</w:t>
            </w:r>
          </w:p>
          <w:p w:rsidR="0054212C" w:rsidRPr="00CF025C" w:rsidRDefault="0054212C" w:rsidP="008724B9">
            <w:pPr>
              <w:widowControl/>
              <w:autoSpaceDE/>
              <w:autoSpaceDN/>
              <w:rPr>
                <w:rFonts w:ascii="Arial" w:eastAsia="Times New Roman" w:hAnsi="Arial" w:cs="Arial"/>
                <w:sz w:val="20"/>
                <w:szCs w:val="20"/>
                <w:lang w:val="en-AU" w:eastAsia="en-AU" w:bidi="ar-SA"/>
              </w:rPr>
            </w:pPr>
          </w:p>
        </w:tc>
        <w:tc>
          <w:tcPr>
            <w:tcW w:w="1954" w:type="dxa"/>
            <w:shd w:val="clear" w:color="auto" w:fill="auto"/>
            <w:noWrap/>
            <w:hideMark/>
          </w:tcPr>
          <w:p w:rsidR="0054212C" w:rsidRPr="00CF025C" w:rsidRDefault="0054212C" w:rsidP="008724B9">
            <w:pPr>
              <w:widowControl/>
              <w:autoSpaceDE/>
              <w:autoSpaceDN/>
              <w:rPr>
                <w:rFonts w:ascii="Times New Roman" w:eastAsia="Times New Roman" w:hAnsi="Times New Roman" w:cs="Times New Roman"/>
                <w:sz w:val="20"/>
                <w:szCs w:val="20"/>
                <w:lang w:val="en-AU" w:eastAsia="en-AU" w:bidi="ar-SA"/>
              </w:rPr>
            </w:pPr>
            <w:r w:rsidRPr="00E55195">
              <w:rPr>
                <w:rFonts w:ascii="Arial" w:eastAsia="Times New Roman" w:hAnsi="Arial" w:cs="Arial"/>
                <w:b/>
                <w:bCs/>
                <w:sz w:val="20"/>
                <w:szCs w:val="20"/>
                <w:lang w:val="en-AU" w:eastAsia="en-AU" w:bidi="ar-SA"/>
              </w:rPr>
              <w:t>Varian</w:t>
            </w:r>
            <w:r>
              <w:rPr>
                <w:rFonts w:ascii="Arial" w:eastAsia="Times New Roman" w:hAnsi="Arial" w:cs="Arial"/>
                <w:b/>
                <w:bCs/>
                <w:sz w:val="20"/>
                <w:szCs w:val="20"/>
                <w:lang w:val="en-AU" w:eastAsia="en-AU" w:bidi="ar-SA"/>
              </w:rPr>
              <w:t xml:space="preserve">ce between estimate and actual </w:t>
            </w:r>
            <w:r w:rsidRPr="00E55195">
              <w:rPr>
                <w:rFonts w:ascii="Arial" w:eastAsia="Times New Roman" w:hAnsi="Arial" w:cs="Arial"/>
                <w:b/>
                <w:bCs/>
                <w:sz w:val="20"/>
                <w:szCs w:val="20"/>
                <w:lang w:val="en-AU" w:eastAsia="en-AU" w:bidi="ar-SA"/>
              </w:rPr>
              <w:t>$000</w:t>
            </w:r>
          </w:p>
        </w:tc>
        <w:tc>
          <w:tcPr>
            <w:tcW w:w="2977" w:type="dxa"/>
            <w:shd w:val="clear" w:color="auto" w:fill="auto"/>
            <w:noWrap/>
            <w:hideMark/>
          </w:tcPr>
          <w:p w:rsidR="0054212C" w:rsidRPr="00CF025C" w:rsidRDefault="0054212C" w:rsidP="008724B9">
            <w:pPr>
              <w:widowControl/>
              <w:autoSpaceDE/>
              <w:autoSpaceDN/>
              <w:rPr>
                <w:rFonts w:ascii="Times New Roman" w:eastAsia="Times New Roman" w:hAnsi="Times New Roman" w:cs="Times New Roman"/>
                <w:sz w:val="20"/>
                <w:szCs w:val="20"/>
                <w:lang w:val="en-AU" w:eastAsia="en-AU" w:bidi="ar-SA"/>
              </w:rPr>
            </w:pPr>
            <w:r w:rsidRPr="00CF025C">
              <w:rPr>
                <w:rFonts w:ascii="Arial" w:eastAsia="Times New Roman" w:hAnsi="Arial" w:cs="Arial"/>
                <w:b/>
                <w:bCs/>
                <w:sz w:val="20"/>
                <w:szCs w:val="20"/>
                <w:lang w:val="en-AU" w:eastAsia="en-AU" w:bidi="ar-SA"/>
              </w:rPr>
              <w:t>Variance between actual results for 2018</w:t>
            </w:r>
            <w:r>
              <w:rPr>
                <w:rFonts w:ascii="Arial" w:eastAsia="Times New Roman" w:hAnsi="Arial" w:cs="Arial"/>
                <w:b/>
                <w:bCs/>
                <w:sz w:val="20"/>
                <w:szCs w:val="20"/>
                <w:lang w:val="en-AU" w:eastAsia="en-AU" w:bidi="ar-SA"/>
              </w:rPr>
              <w:t xml:space="preserve"> and 2017 </w:t>
            </w:r>
            <w:r w:rsidRPr="00CF025C">
              <w:rPr>
                <w:rFonts w:ascii="Arial" w:eastAsia="Times New Roman" w:hAnsi="Arial" w:cs="Arial"/>
                <w:b/>
                <w:bCs/>
                <w:sz w:val="20"/>
                <w:szCs w:val="20"/>
                <w:lang w:val="en-AU" w:eastAsia="en-AU" w:bidi="ar-SA"/>
              </w:rPr>
              <w:t>$000</w:t>
            </w:r>
          </w:p>
        </w:tc>
      </w:tr>
      <w:tr w:rsidR="0054212C" w:rsidRPr="00CF025C" w:rsidTr="008724B9">
        <w:trPr>
          <w:trHeight w:val="255"/>
        </w:trPr>
        <w:tc>
          <w:tcPr>
            <w:tcW w:w="5523"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Purchase of non-current assets</w:t>
            </w:r>
          </w:p>
        </w:tc>
        <w:tc>
          <w:tcPr>
            <w:tcW w:w="1384" w:type="dxa"/>
            <w:shd w:val="clear" w:color="auto" w:fill="auto"/>
            <w:noWrap/>
            <w:hideMark/>
          </w:tcPr>
          <w:p w:rsidR="0054212C" w:rsidRPr="00CF025C" w:rsidRDefault="0054212C" w:rsidP="008724B9">
            <w:pPr>
              <w:widowControl/>
              <w:autoSpaceDE/>
              <w:autoSpaceDN/>
              <w:jc w:val="center"/>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10</w:t>
            </w:r>
          </w:p>
        </w:tc>
        <w:tc>
          <w:tcPr>
            <w:tcW w:w="1156"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(1,581)</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954"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(1,581)</w:t>
            </w:r>
          </w:p>
        </w:tc>
        <w:tc>
          <w:tcPr>
            <w:tcW w:w="2977"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1,581</w:t>
            </w:r>
          </w:p>
        </w:tc>
      </w:tr>
      <w:tr w:rsidR="0054212C" w:rsidRPr="00CF025C" w:rsidTr="008724B9">
        <w:trPr>
          <w:trHeight w:val="255"/>
        </w:trPr>
        <w:tc>
          <w:tcPr>
            <w:tcW w:w="5523" w:type="dxa"/>
            <w:shd w:val="clear" w:color="auto" w:fill="auto"/>
            <w:noWrap/>
            <w:vAlign w:val="bottom"/>
            <w:hideMark/>
          </w:tcPr>
          <w:p w:rsidR="0054212C" w:rsidRPr="00CF025C" w:rsidRDefault="0054212C" w:rsidP="008724B9">
            <w:pPr>
              <w:widowControl/>
              <w:autoSpaceDE/>
              <w:autoSpaceDN/>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Net cash provided by/(used in) investing activities</w:t>
            </w:r>
          </w:p>
        </w:tc>
        <w:tc>
          <w:tcPr>
            <w:tcW w:w="1384" w:type="dxa"/>
            <w:shd w:val="clear" w:color="auto" w:fill="auto"/>
            <w:noWrap/>
            <w:hideMark/>
          </w:tcPr>
          <w:p w:rsidR="0054212C" w:rsidRPr="00CF025C" w:rsidRDefault="0054212C" w:rsidP="008724B9">
            <w:pPr>
              <w:widowControl/>
              <w:autoSpaceDE/>
              <w:autoSpaceDN/>
              <w:rPr>
                <w:rFonts w:ascii="Arial" w:eastAsia="Times New Roman" w:hAnsi="Arial" w:cs="Arial"/>
                <w:b/>
                <w:bCs/>
                <w:sz w:val="20"/>
                <w:szCs w:val="20"/>
                <w:lang w:val="en-AU" w:eastAsia="en-AU" w:bidi="ar-SA"/>
              </w:rPr>
            </w:pPr>
          </w:p>
        </w:tc>
        <w:tc>
          <w:tcPr>
            <w:tcW w:w="1156" w:type="dxa"/>
            <w:shd w:val="clear" w:color="auto" w:fill="auto"/>
            <w:noWrap/>
            <w:vAlign w:val="bottom"/>
            <w:hideMark/>
          </w:tcPr>
          <w:p w:rsidR="0054212C" w:rsidRPr="00CF025C" w:rsidRDefault="0054212C" w:rsidP="008724B9">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0</w:t>
            </w:r>
          </w:p>
        </w:tc>
        <w:tc>
          <w:tcPr>
            <w:tcW w:w="1155" w:type="dxa"/>
            <w:shd w:val="clear" w:color="auto" w:fill="auto"/>
            <w:noWrap/>
            <w:vAlign w:val="bottom"/>
            <w:hideMark/>
          </w:tcPr>
          <w:p w:rsidR="0054212C" w:rsidRPr="00CF025C" w:rsidRDefault="0054212C" w:rsidP="008724B9">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(1,581)</w:t>
            </w:r>
          </w:p>
        </w:tc>
        <w:tc>
          <w:tcPr>
            <w:tcW w:w="1155" w:type="dxa"/>
            <w:shd w:val="clear" w:color="auto" w:fill="auto"/>
            <w:noWrap/>
            <w:vAlign w:val="bottom"/>
            <w:hideMark/>
          </w:tcPr>
          <w:p w:rsidR="0054212C" w:rsidRPr="00CF025C" w:rsidRDefault="0054212C" w:rsidP="008724B9">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0</w:t>
            </w:r>
          </w:p>
        </w:tc>
        <w:tc>
          <w:tcPr>
            <w:tcW w:w="1954" w:type="dxa"/>
            <w:shd w:val="clear" w:color="auto" w:fill="auto"/>
            <w:noWrap/>
            <w:vAlign w:val="bottom"/>
            <w:hideMark/>
          </w:tcPr>
          <w:p w:rsidR="0054212C" w:rsidRPr="00CF025C" w:rsidRDefault="0054212C" w:rsidP="008724B9">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(1,581)</w:t>
            </w:r>
          </w:p>
        </w:tc>
        <w:tc>
          <w:tcPr>
            <w:tcW w:w="2977" w:type="dxa"/>
            <w:shd w:val="clear" w:color="auto" w:fill="auto"/>
            <w:noWrap/>
            <w:vAlign w:val="bottom"/>
            <w:hideMark/>
          </w:tcPr>
          <w:p w:rsidR="0054212C" w:rsidRPr="00CF025C" w:rsidRDefault="0054212C" w:rsidP="008724B9">
            <w:pPr>
              <w:widowControl/>
              <w:autoSpaceDE/>
              <w:autoSpaceDN/>
              <w:jc w:val="right"/>
              <w:rPr>
                <w:rFonts w:ascii="Arial" w:eastAsia="Times New Roman" w:hAnsi="Arial" w:cs="Arial"/>
                <w:b/>
                <w:bCs/>
                <w:sz w:val="20"/>
                <w:szCs w:val="20"/>
                <w:lang w:val="en-AU" w:eastAsia="en-AU" w:bidi="ar-SA"/>
              </w:rPr>
            </w:pPr>
            <w:r w:rsidRPr="00CF025C">
              <w:rPr>
                <w:rFonts w:ascii="Arial" w:eastAsia="Times New Roman" w:hAnsi="Arial" w:cs="Arial"/>
                <w:b/>
                <w:bCs/>
                <w:sz w:val="20"/>
                <w:szCs w:val="20"/>
                <w:lang w:val="en-AU" w:eastAsia="en-AU" w:bidi="ar-SA"/>
              </w:rPr>
              <w:t>1,581</w:t>
            </w:r>
          </w:p>
        </w:tc>
      </w:tr>
      <w:tr w:rsidR="0054212C" w:rsidRPr="00CF025C" w:rsidTr="008724B9">
        <w:trPr>
          <w:trHeight w:val="255"/>
        </w:trPr>
        <w:tc>
          <w:tcPr>
            <w:tcW w:w="5523"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 xml:space="preserve">Net increase/(decrease) in cash and cash equivalents </w:t>
            </w:r>
          </w:p>
        </w:tc>
        <w:tc>
          <w:tcPr>
            <w:tcW w:w="1384"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p>
        </w:tc>
        <w:tc>
          <w:tcPr>
            <w:tcW w:w="1156"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(3,399)</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(2,115)</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4,596</w:t>
            </w:r>
          </w:p>
        </w:tc>
        <w:tc>
          <w:tcPr>
            <w:tcW w:w="1954"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1,284</w:t>
            </w:r>
          </w:p>
        </w:tc>
        <w:tc>
          <w:tcPr>
            <w:tcW w:w="2977"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(6,711)</w:t>
            </w:r>
          </w:p>
        </w:tc>
      </w:tr>
      <w:tr w:rsidR="0054212C" w:rsidRPr="00CF025C" w:rsidTr="008724B9">
        <w:trPr>
          <w:trHeight w:val="255"/>
        </w:trPr>
        <w:tc>
          <w:tcPr>
            <w:tcW w:w="5523"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Cash and cash equivalents at the beginning of the period</w:t>
            </w:r>
          </w:p>
        </w:tc>
        <w:tc>
          <w:tcPr>
            <w:tcW w:w="1384" w:type="dxa"/>
            <w:shd w:val="clear" w:color="auto" w:fill="auto"/>
            <w:noWrap/>
            <w:hideMark/>
          </w:tcPr>
          <w:p w:rsidR="0054212C" w:rsidRPr="00CF025C" w:rsidRDefault="0054212C" w:rsidP="008724B9">
            <w:pPr>
              <w:widowControl/>
              <w:autoSpaceDE/>
              <w:autoSpaceDN/>
              <w:rPr>
                <w:rFonts w:ascii="Arial" w:eastAsia="Times New Roman" w:hAnsi="Arial" w:cs="Arial"/>
                <w:sz w:val="20"/>
                <w:szCs w:val="20"/>
                <w:lang w:val="en-AU" w:eastAsia="en-AU" w:bidi="ar-SA"/>
              </w:rPr>
            </w:pPr>
          </w:p>
        </w:tc>
        <w:tc>
          <w:tcPr>
            <w:tcW w:w="1156"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0</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5,177</w:t>
            </w:r>
          </w:p>
        </w:tc>
        <w:tc>
          <w:tcPr>
            <w:tcW w:w="1155"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581</w:t>
            </w:r>
          </w:p>
        </w:tc>
        <w:tc>
          <w:tcPr>
            <w:tcW w:w="1954"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5,177</w:t>
            </w:r>
          </w:p>
        </w:tc>
        <w:tc>
          <w:tcPr>
            <w:tcW w:w="2977" w:type="dxa"/>
            <w:shd w:val="clear" w:color="auto" w:fill="auto"/>
            <w:noWrap/>
            <w:hideMark/>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sidRPr="00CF025C">
              <w:rPr>
                <w:rFonts w:ascii="Arial" w:eastAsia="Times New Roman" w:hAnsi="Arial" w:cs="Arial"/>
                <w:sz w:val="20"/>
                <w:szCs w:val="20"/>
                <w:lang w:val="en-AU" w:eastAsia="en-AU" w:bidi="ar-SA"/>
              </w:rPr>
              <w:t>4,596</w:t>
            </w:r>
          </w:p>
        </w:tc>
      </w:tr>
      <w:tr w:rsidR="0054212C" w:rsidRPr="00CF025C" w:rsidTr="008724B9">
        <w:trPr>
          <w:trHeight w:val="255"/>
        </w:trPr>
        <w:tc>
          <w:tcPr>
            <w:tcW w:w="5523" w:type="dxa"/>
            <w:shd w:val="clear" w:color="auto" w:fill="auto"/>
            <w:noWrap/>
          </w:tcPr>
          <w:p w:rsidR="0054212C" w:rsidRPr="00CF025C" w:rsidRDefault="0054212C" w:rsidP="008724B9">
            <w:pPr>
              <w:widowControl/>
              <w:autoSpaceDE/>
              <w:autoSpaceDN/>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lastRenderedPageBreak/>
              <w:t>Cash and cash equivalents at the end of the period</w:t>
            </w:r>
          </w:p>
        </w:tc>
        <w:tc>
          <w:tcPr>
            <w:tcW w:w="1384" w:type="dxa"/>
            <w:shd w:val="clear" w:color="auto" w:fill="auto"/>
            <w:noWrap/>
          </w:tcPr>
          <w:p w:rsidR="0054212C" w:rsidRPr="00CF025C" w:rsidRDefault="0054212C" w:rsidP="008724B9">
            <w:pPr>
              <w:widowControl/>
              <w:autoSpaceDE/>
              <w:autoSpaceDN/>
              <w:rPr>
                <w:rFonts w:ascii="Arial" w:eastAsia="Times New Roman" w:hAnsi="Arial" w:cs="Arial"/>
                <w:sz w:val="20"/>
                <w:szCs w:val="20"/>
                <w:lang w:val="en-AU" w:eastAsia="en-AU" w:bidi="ar-SA"/>
              </w:rPr>
            </w:pPr>
          </w:p>
        </w:tc>
        <w:tc>
          <w:tcPr>
            <w:tcW w:w="1156" w:type="dxa"/>
            <w:shd w:val="clear" w:color="auto" w:fill="auto"/>
            <w:noWrap/>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(3399)</w:t>
            </w:r>
          </w:p>
        </w:tc>
        <w:tc>
          <w:tcPr>
            <w:tcW w:w="1155" w:type="dxa"/>
            <w:shd w:val="clear" w:color="auto" w:fill="auto"/>
            <w:noWrap/>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3062</w:t>
            </w:r>
          </w:p>
        </w:tc>
        <w:tc>
          <w:tcPr>
            <w:tcW w:w="1155" w:type="dxa"/>
            <w:shd w:val="clear" w:color="auto" w:fill="auto"/>
            <w:noWrap/>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5177</w:t>
            </w:r>
          </w:p>
        </w:tc>
        <w:tc>
          <w:tcPr>
            <w:tcW w:w="1954" w:type="dxa"/>
            <w:shd w:val="clear" w:color="auto" w:fill="auto"/>
            <w:noWrap/>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6461</w:t>
            </w:r>
          </w:p>
        </w:tc>
        <w:tc>
          <w:tcPr>
            <w:tcW w:w="2977" w:type="dxa"/>
            <w:shd w:val="clear" w:color="auto" w:fill="auto"/>
            <w:noWrap/>
          </w:tcPr>
          <w:p w:rsidR="0054212C" w:rsidRPr="00CF025C" w:rsidRDefault="0054212C" w:rsidP="008724B9">
            <w:pPr>
              <w:widowControl/>
              <w:autoSpaceDE/>
              <w:autoSpaceDN/>
              <w:jc w:val="right"/>
              <w:rPr>
                <w:rFonts w:ascii="Arial" w:eastAsia="Times New Roman" w:hAnsi="Arial" w:cs="Arial"/>
                <w:sz w:val="20"/>
                <w:szCs w:val="20"/>
                <w:lang w:val="en-AU" w:eastAsia="en-AU" w:bidi="ar-SA"/>
              </w:rPr>
            </w:pPr>
            <w:r>
              <w:rPr>
                <w:rFonts w:ascii="Arial" w:eastAsia="Times New Roman" w:hAnsi="Arial" w:cs="Arial"/>
                <w:sz w:val="20"/>
                <w:szCs w:val="20"/>
                <w:lang w:val="en-AU" w:eastAsia="en-AU" w:bidi="ar-SA"/>
              </w:rPr>
              <w:t>(2115)</w:t>
            </w:r>
          </w:p>
        </w:tc>
      </w:tr>
    </w:tbl>
    <w:p w:rsidR="000E1D3A" w:rsidRDefault="000E1D3A" w:rsidP="000F195D">
      <w:pPr>
        <w:ind w:left="709"/>
        <w:sectPr w:rsidR="000E1D3A">
          <w:type w:val="continuous"/>
          <w:pgSz w:w="16840" w:h="11910" w:orient="landscape"/>
          <w:pgMar w:top="560" w:right="0" w:bottom="0" w:left="0" w:header="720" w:footer="720" w:gutter="0"/>
          <w:cols w:space="720"/>
        </w:sectPr>
      </w:pPr>
    </w:p>
    <w:p w:rsidR="00A1463E" w:rsidRDefault="00A1463E">
      <w:pPr>
        <w:pStyle w:val="BodyText"/>
        <w:spacing w:before="7"/>
        <w:rPr>
          <w:b/>
          <w:sz w:val="8"/>
        </w:rPr>
      </w:pPr>
    </w:p>
    <w:p w:rsidR="00265A1B" w:rsidRDefault="00265A1B" w:rsidP="00265A1B">
      <w:pPr>
        <w:pStyle w:val="BodyText"/>
        <w:ind w:left="567"/>
      </w:pPr>
      <w:r w:rsidRPr="00265A1B">
        <w:t>Major Estimate and Actual (2018) Variance Narratives</w:t>
      </w:r>
    </w:p>
    <w:p w:rsidR="00265A1B" w:rsidRDefault="00265A1B" w:rsidP="00265A1B">
      <w:pPr>
        <w:pStyle w:val="BodyText"/>
        <w:ind w:left="567"/>
      </w:pPr>
      <w:r w:rsidRPr="00265A1B">
        <w:t>1 The variance between estimate and actual reflects the amount of unspent Innovation funding returned to the Department of Treasury.</w:t>
      </w:r>
    </w:p>
    <w:p w:rsidR="00265A1B" w:rsidRDefault="00265A1B" w:rsidP="00265A1B">
      <w:pPr>
        <w:pStyle w:val="BodyText"/>
        <w:ind w:left="567"/>
      </w:pPr>
      <w:r w:rsidRPr="00265A1B">
        <w:t>2.</w:t>
      </w:r>
      <w:r>
        <w:t xml:space="preserve"> </w:t>
      </w:r>
      <w:r w:rsidRPr="00265A1B">
        <w:t xml:space="preserve">The reduction in the 2018 actual is mainly due to the </w:t>
      </w:r>
      <w:proofErr w:type="spellStart"/>
      <w:r w:rsidRPr="00265A1B">
        <w:t>capitalisation</w:t>
      </w:r>
      <w:proofErr w:type="spellEnd"/>
      <w:r w:rsidRPr="00265A1B">
        <w:t xml:space="preserve"> of salary costs for the </w:t>
      </w:r>
      <w:proofErr w:type="spellStart"/>
      <w:r w:rsidRPr="00265A1B">
        <w:t>MyWA</w:t>
      </w:r>
      <w:proofErr w:type="spellEnd"/>
      <w:r w:rsidRPr="00265A1B">
        <w:t xml:space="preserve"> website and employee positions not filled as a result of the extension of the Office function in the 2018/19 financial year.</w:t>
      </w:r>
    </w:p>
    <w:p w:rsidR="00265A1B" w:rsidRDefault="00265A1B" w:rsidP="00265A1B">
      <w:pPr>
        <w:pStyle w:val="BodyText"/>
        <w:ind w:left="567"/>
      </w:pPr>
      <w:r w:rsidRPr="00265A1B">
        <w:t>3. The lower 2018 actual expenditure is predominantly due to the transfer of budgeted supplies and services into 2018/19 as a result of the extension of the Office function in the 2018/19 financial year.</w:t>
      </w:r>
    </w:p>
    <w:p w:rsidR="00265A1B" w:rsidRDefault="00265A1B" w:rsidP="00265A1B">
      <w:pPr>
        <w:pStyle w:val="BodyText"/>
        <w:ind w:left="567"/>
      </w:pPr>
      <w:r w:rsidRPr="00265A1B">
        <w:t>5. The variance between estimate and actual reflects expenditure on Cyber Security CRC partnership agreement which commenced in 2018.</w:t>
      </w:r>
    </w:p>
    <w:p w:rsidR="00265A1B" w:rsidRDefault="00265A1B" w:rsidP="00265A1B">
      <w:pPr>
        <w:pStyle w:val="BodyText"/>
        <w:ind w:left="567"/>
      </w:pPr>
      <w:r w:rsidRPr="00265A1B">
        <w:t>6. No budget was initially identified for the GST impacts of OGCIO activities.</w:t>
      </w:r>
    </w:p>
    <w:p w:rsidR="00265A1B" w:rsidRDefault="00265A1B" w:rsidP="00265A1B">
      <w:pPr>
        <w:pStyle w:val="BodyText"/>
        <w:ind w:left="567"/>
      </w:pPr>
      <w:r w:rsidRPr="00265A1B">
        <w:t>7. The variance between estimate and actual relates to unexpended Innovation funds estimated to be transferred to the Department of Jobs, Tourism, Science and Innovation.</w:t>
      </w:r>
    </w:p>
    <w:p w:rsidR="00B77D79" w:rsidRDefault="00B77D79" w:rsidP="00265A1B">
      <w:pPr>
        <w:pStyle w:val="BodyText"/>
        <w:ind w:left="567"/>
      </w:pPr>
      <w:r w:rsidRPr="00B77D79">
        <w:t>8. The lower 2018 actual is due to the transfer of budgeted receipts into 2018/19 as a result of the extension of the Office function in the 2018/19 financial year.</w:t>
      </w:r>
    </w:p>
    <w:p w:rsidR="00B77D79" w:rsidRDefault="00B77D79" w:rsidP="00265A1B">
      <w:pPr>
        <w:pStyle w:val="BodyText"/>
        <w:ind w:left="567"/>
      </w:pPr>
      <w:r w:rsidRPr="00B77D79">
        <w:t>9. The GST impacts of OGCIO activities increased as project activity increased in 2018 compared to estimate.</w:t>
      </w:r>
    </w:p>
    <w:p w:rsidR="00B77D79" w:rsidRDefault="00B77D79" w:rsidP="00265A1B">
      <w:pPr>
        <w:pStyle w:val="BodyText"/>
        <w:ind w:left="567"/>
      </w:pPr>
      <w:r w:rsidRPr="00B77D79">
        <w:t xml:space="preserve">10. Variance relates to </w:t>
      </w:r>
      <w:proofErr w:type="spellStart"/>
      <w:r w:rsidRPr="00B77D79">
        <w:t>capitalisation</w:t>
      </w:r>
      <w:proofErr w:type="spellEnd"/>
      <w:r w:rsidRPr="00B77D79">
        <w:t xml:space="preserve"> of </w:t>
      </w:r>
      <w:proofErr w:type="spellStart"/>
      <w:r w:rsidRPr="00B77D79">
        <w:t>MyWA</w:t>
      </w:r>
      <w:proofErr w:type="spellEnd"/>
      <w:r w:rsidRPr="00B77D79">
        <w:t xml:space="preserve"> intangible asset in 2018.</w:t>
      </w:r>
    </w:p>
    <w:p w:rsidR="00B77D79" w:rsidRDefault="00B77D79" w:rsidP="00265A1B">
      <w:pPr>
        <w:pStyle w:val="BodyText"/>
        <w:ind w:left="567"/>
      </w:pPr>
    </w:p>
    <w:p w:rsidR="00B77D79" w:rsidRDefault="00B77D79" w:rsidP="00265A1B">
      <w:pPr>
        <w:pStyle w:val="BodyText"/>
        <w:ind w:left="567"/>
      </w:pPr>
      <w:r w:rsidRPr="00B77D79">
        <w:t>Major Actual (2018) and Comparative (2017) Variance Narratives</w:t>
      </w:r>
    </w:p>
    <w:p w:rsidR="00B77D79" w:rsidRDefault="00B77D79" w:rsidP="00B77D79">
      <w:pPr>
        <w:pStyle w:val="BodyText"/>
        <w:tabs>
          <w:tab w:val="left" w:pos="709"/>
        </w:tabs>
        <w:ind w:left="567"/>
      </w:pPr>
      <w:r w:rsidRPr="00B77D79">
        <w:t>1. The reduced 2018 actual highlights the transfer of the Innovation program to the Department of Jobs, Tourism, Science and Innovation at the end of the 2016/17 financial year.</w:t>
      </w:r>
    </w:p>
    <w:p w:rsidR="00B77D79" w:rsidRDefault="00B77D79" w:rsidP="00B77D79">
      <w:pPr>
        <w:pStyle w:val="BodyText"/>
        <w:tabs>
          <w:tab w:val="left" w:pos="709"/>
        </w:tabs>
        <w:ind w:left="567"/>
      </w:pPr>
      <w:r w:rsidRPr="00B77D79">
        <w:t>2. The higher expenditure is associated with higher staffing levels as a result of the expansion of the Office in 2018.</w:t>
      </w:r>
    </w:p>
    <w:p w:rsidR="00B77D79" w:rsidRDefault="00B77D79" w:rsidP="00B77D79">
      <w:pPr>
        <w:pStyle w:val="BodyText"/>
        <w:tabs>
          <w:tab w:val="left" w:pos="709"/>
        </w:tabs>
        <w:ind w:left="567"/>
      </w:pPr>
      <w:r w:rsidRPr="00B77D79">
        <w:t xml:space="preserve">3. The higher 2017 actual is mainly due to Innovation expenditure. This function was subsequently transferred to the Department of Jobs, </w:t>
      </w:r>
      <w:proofErr w:type="spellStart"/>
      <w:r w:rsidRPr="00B77D79">
        <w:t>Toursim</w:t>
      </w:r>
      <w:proofErr w:type="spellEnd"/>
      <w:r w:rsidRPr="00B77D79">
        <w:t>, Science and Innovation on 1 July 2017.</w:t>
      </w:r>
    </w:p>
    <w:p w:rsidR="00B77D79" w:rsidRPr="00B77D79" w:rsidRDefault="00B77D79" w:rsidP="00B77D79">
      <w:pPr>
        <w:pStyle w:val="BodyText"/>
        <w:tabs>
          <w:tab w:val="left" w:pos="709"/>
        </w:tabs>
        <w:ind w:left="567"/>
      </w:pPr>
      <w:r w:rsidRPr="00B77D79">
        <w:t>4. The variance between actual and comparative is due to additional rental costs associated with higher staffing levels at the OGCIO in 2018.</w:t>
      </w:r>
    </w:p>
    <w:p w:rsidR="00A1463E" w:rsidRDefault="00B77D79" w:rsidP="00AE0087">
      <w:pPr>
        <w:pStyle w:val="BodyText"/>
        <w:tabs>
          <w:tab w:val="left" w:pos="709"/>
        </w:tabs>
        <w:ind w:left="567"/>
        <w:sectPr w:rsidR="00A1463E">
          <w:pgSz w:w="16840" w:h="11910" w:orient="landscape"/>
          <w:pgMar w:top="540" w:right="0" w:bottom="360" w:left="0" w:header="229" w:footer="145" w:gutter="0"/>
          <w:cols w:space="720"/>
        </w:sectPr>
      </w:pPr>
      <w:r w:rsidRPr="00B77D79">
        <w:t xml:space="preserve">8. The 2018 actuals reflect increased funding mainly due to the </w:t>
      </w:r>
      <w:proofErr w:type="spellStart"/>
      <w:r w:rsidRPr="00B77D79">
        <w:t>MyWA</w:t>
      </w:r>
      <w:proofErr w:type="spellEnd"/>
      <w:r w:rsidRPr="00B77D79">
        <w:t xml:space="preserve"> project.</w:t>
      </w:r>
      <w:r>
        <w:br/>
      </w:r>
      <w:r w:rsidRPr="00B77D79">
        <w:t xml:space="preserve">10. Variance relates to </w:t>
      </w:r>
      <w:proofErr w:type="spellStart"/>
      <w:r w:rsidRPr="00B77D79">
        <w:t>capitalisation</w:t>
      </w:r>
      <w:proofErr w:type="spellEnd"/>
      <w:r w:rsidRPr="00B77D79">
        <w:t xml:space="preserve"> of </w:t>
      </w:r>
      <w:proofErr w:type="spellStart"/>
      <w:r w:rsidRPr="00B77D79">
        <w:t>MyWA</w:t>
      </w:r>
      <w:proofErr w:type="spellEnd"/>
      <w:r w:rsidRPr="00B77D79">
        <w:t xml:space="preserve"> intangible asset in 2018.</w:t>
      </w:r>
      <w:r w:rsidR="00AE0087">
        <w:rPr>
          <w:sz w:val="20"/>
        </w:rPr>
        <w:t xml:space="preserve"> </w:t>
      </w: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A1463E">
      <w:pPr>
        <w:rPr>
          <w:sz w:val="14"/>
        </w:rPr>
        <w:sectPr w:rsidR="00A1463E">
          <w:pgSz w:w="16840" w:h="11910" w:orient="landscape"/>
          <w:pgMar w:top="540" w:right="0" w:bottom="360" w:left="0" w:header="229" w:footer="145" w:gutter="0"/>
          <w:cols w:space="720"/>
        </w:sectPr>
      </w:pPr>
    </w:p>
    <w:p w:rsidR="00A1463E" w:rsidRDefault="00F52429">
      <w:pPr>
        <w:pStyle w:val="Heading2"/>
        <w:jc w:val="both"/>
      </w:pPr>
      <w:r>
        <w:rPr>
          <w:color w:val="353434"/>
        </w:rPr>
        <w:t>Note 30. Financial instruments</w:t>
      </w:r>
    </w:p>
    <w:p w:rsidR="00A1463E" w:rsidRPr="00A47797" w:rsidRDefault="00F52429" w:rsidP="00A47797">
      <w:pPr>
        <w:pStyle w:val="Heading3"/>
        <w:ind w:left="567"/>
      </w:pPr>
      <w:r>
        <w:t>Financial risk management objectives</w:t>
      </w:r>
      <w:r>
        <w:rPr>
          <w:spacing w:val="3"/>
        </w:rPr>
        <w:t xml:space="preserve"> </w:t>
      </w:r>
      <w:r>
        <w:t>and</w:t>
      </w:r>
      <w:r w:rsidR="00A47797">
        <w:t xml:space="preserve"> policies</w:t>
      </w:r>
    </w:p>
    <w:p w:rsidR="00A1463E" w:rsidRDefault="00F52429">
      <w:pPr>
        <w:pStyle w:val="BodyText"/>
        <w:spacing w:before="52" w:line="290" w:lineRule="exact"/>
        <w:ind w:left="680"/>
        <w:jc w:val="both"/>
      </w:pPr>
      <w:r>
        <w:t>Financial instruments held by the</w:t>
      </w:r>
    </w:p>
    <w:p w:rsidR="00A1463E" w:rsidRDefault="00F52429">
      <w:pPr>
        <w:pStyle w:val="BodyText"/>
        <w:spacing w:before="2" w:line="235" w:lineRule="auto"/>
        <w:ind w:left="680"/>
        <w:jc w:val="both"/>
      </w:pPr>
      <w:r>
        <w:t>sub-department are cash and cash equivalents, receivables and payables. The sub-department has limited exposure to financial risks. The sub- department’s overall risk management program focuses on managing the risks identified below.</w:t>
      </w:r>
    </w:p>
    <w:p w:rsidR="00A1463E" w:rsidRDefault="00F52429">
      <w:pPr>
        <w:spacing w:before="170"/>
        <w:ind w:left="680"/>
        <w:jc w:val="both"/>
        <w:rPr>
          <w:i/>
          <w:sz w:val="24"/>
        </w:rPr>
      </w:pPr>
      <w:r>
        <w:rPr>
          <w:i/>
          <w:sz w:val="24"/>
        </w:rPr>
        <w:t>Credit risk</w:t>
      </w:r>
    </w:p>
    <w:p w:rsidR="00A1463E" w:rsidRDefault="00F52429">
      <w:pPr>
        <w:pStyle w:val="BodyText"/>
        <w:spacing w:before="57" w:line="235" w:lineRule="auto"/>
        <w:ind w:left="680"/>
        <w:jc w:val="both"/>
      </w:pPr>
      <w:r>
        <w:t>Credit risk arises when there is the possibility of the sub-department’s receivables defaulting on their</w:t>
      </w:r>
      <w:r>
        <w:rPr>
          <w:spacing w:val="-19"/>
        </w:rPr>
        <w:t xml:space="preserve"> </w:t>
      </w:r>
      <w:r>
        <w:t>contractual</w:t>
      </w:r>
      <w:r>
        <w:rPr>
          <w:spacing w:val="-19"/>
        </w:rPr>
        <w:t xml:space="preserve"> </w:t>
      </w:r>
      <w:r>
        <w:t>obligations</w:t>
      </w:r>
      <w:r>
        <w:rPr>
          <w:spacing w:val="-19"/>
        </w:rPr>
        <w:t xml:space="preserve"> </w:t>
      </w:r>
      <w:r>
        <w:t>resulting</w:t>
      </w:r>
      <w:r>
        <w:rPr>
          <w:spacing w:val="-18"/>
        </w:rPr>
        <w:t xml:space="preserve"> </w:t>
      </w:r>
      <w:r>
        <w:t>in</w:t>
      </w:r>
      <w:r>
        <w:rPr>
          <w:spacing w:val="-19"/>
        </w:rPr>
        <w:t xml:space="preserve"> </w:t>
      </w:r>
      <w:r>
        <w:t>financial loss to the</w:t>
      </w:r>
      <w:r>
        <w:rPr>
          <w:spacing w:val="-4"/>
        </w:rPr>
        <w:t xml:space="preserve"> </w:t>
      </w:r>
      <w:r>
        <w:t>sub-department.</w:t>
      </w:r>
    </w:p>
    <w:p w:rsidR="00A1463E" w:rsidRDefault="00F52429">
      <w:pPr>
        <w:pStyle w:val="BodyText"/>
        <w:spacing w:before="173" w:line="235" w:lineRule="auto"/>
        <w:ind w:left="680"/>
        <w:jc w:val="both"/>
      </w:pPr>
      <w:r>
        <w:t xml:space="preserve">The maximum exposure to credit risk at </w:t>
      </w:r>
      <w:r w:rsidR="0096717E">
        <w:t>the end</w:t>
      </w:r>
      <w:r>
        <w:t xml:space="preserve"> of the reporting period in relation to each class of </w:t>
      </w:r>
      <w:proofErr w:type="spellStart"/>
      <w:r>
        <w:t>recognised</w:t>
      </w:r>
      <w:proofErr w:type="spellEnd"/>
      <w:r>
        <w:t xml:space="preserve"> financial assets is the gross carrying amount of those assets inclusive of any allowance </w:t>
      </w:r>
      <w:r>
        <w:rPr>
          <w:spacing w:val="-3"/>
        </w:rPr>
        <w:t xml:space="preserve">for </w:t>
      </w:r>
      <w:r>
        <w:t>impairment as shown in the table at Note 30(c) ‘Financial instruments disclosures’ and Note 15</w:t>
      </w:r>
      <w:r>
        <w:rPr>
          <w:spacing w:val="-1"/>
        </w:rPr>
        <w:t xml:space="preserve"> </w:t>
      </w:r>
      <w:r>
        <w:rPr>
          <w:spacing w:val="-3"/>
        </w:rPr>
        <w:t>‘Receivables’.</w:t>
      </w:r>
    </w:p>
    <w:p w:rsidR="00A1463E" w:rsidRDefault="00F52429">
      <w:pPr>
        <w:pStyle w:val="BodyText"/>
        <w:spacing w:before="177" w:line="235" w:lineRule="auto"/>
        <w:ind w:left="680" w:right="1"/>
        <w:jc w:val="both"/>
      </w:pPr>
      <w:r>
        <w:t>Credit</w:t>
      </w:r>
      <w:r>
        <w:rPr>
          <w:spacing w:val="-9"/>
        </w:rPr>
        <w:t xml:space="preserve"> </w:t>
      </w:r>
      <w:r>
        <w:t>risk</w:t>
      </w:r>
      <w:r>
        <w:rPr>
          <w:spacing w:val="-10"/>
        </w:rPr>
        <w:t xml:space="preserve"> </w:t>
      </w:r>
      <w:r>
        <w:t>associated</w:t>
      </w:r>
      <w:r>
        <w:rPr>
          <w:spacing w:val="-9"/>
        </w:rPr>
        <w:t xml:space="preserve"> </w:t>
      </w:r>
      <w:r>
        <w:t>with</w:t>
      </w:r>
      <w:r>
        <w:rPr>
          <w:spacing w:val="-9"/>
        </w:rPr>
        <w:t xml:space="preserve"> </w:t>
      </w:r>
      <w:r>
        <w:t>the</w:t>
      </w:r>
      <w:r>
        <w:rPr>
          <w:spacing w:val="-10"/>
        </w:rPr>
        <w:t xml:space="preserve"> </w:t>
      </w:r>
      <w:r>
        <w:t xml:space="preserve">sub-department’s financial assets is minimal. For receivables other than government, the sub-department trades only with </w:t>
      </w:r>
      <w:proofErr w:type="spellStart"/>
      <w:r>
        <w:t>recognised</w:t>
      </w:r>
      <w:proofErr w:type="spellEnd"/>
      <w:r>
        <w:t>, creditworthy third</w:t>
      </w:r>
      <w:r>
        <w:rPr>
          <w:spacing w:val="-32"/>
        </w:rPr>
        <w:t xml:space="preserve"> </w:t>
      </w:r>
      <w:r>
        <w:t xml:space="preserve">parties. The sub-department </w:t>
      </w:r>
      <w:proofErr w:type="spellStart"/>
      <w:r>
        <w:t>utilises</w:t>
      </w:r>
      <w:proofErr w:type="spellEnd"/>
      <w:r>
        <w:t xml:space="preserve"> Department of Finance policies to ensure that sales of products and services are made to customers with an appropriate</w:t>
      </w:r>
      <w:r>
        <w:rPr>
          <w:spacing w:val="-13"/>
        </w:rPr>
        <w:t xml:space="preserve"> </w:t>
      </w:r>
      <w:r>
        <w:t>credit</w:t>
      </w:r>
      <w:r>
        <w:rPr>
          <w:spacing w:val="-13"/>
        </w:rPr>
        <w:t xml:space="preserve"> </w:t>
      </w:r>
      <w:r>
        <w:rPr>
          <w:spacing w:val="-4"/>
        </w:rPr>
        <w:t>history.</w:t>
      </w:r>
      <w:r>
        <w:rPr>
          <w:spacing w:val="-13"/>
        </w:rPr>
        <w:t xml:space="preserve"> </w:t>
      </w:r>
      <w:r>
        <w:t>In</w:t>
      </w:r>
      <w:r>
        <w:rPr>
          <w:spacing w:val="-13"/>
        </w:rPr>
        <w:t xml:space="preserve"> </w:t>
      </w:r>
      <w:r>
        <w:t>addition,</w:t>
      </w:r>
      <w:r>
        <w:rPr>
          <w:spacing w:val="-13"/>
        </w:rPr>
        <w:t xml:space="preserve"> </w:t>
      </w:r>
      <w:r>
        <w:t>receivable balances</w:t>
      </w:r>
      <w:r>
        <w:rPr>
          <w:spacing w:val="-15"/>
        </w:rPr>
        <w:t xml:space="preserve"> </w:t>
      </w:r>
      <w:r>
        <w:t>are</w:t>
      </w:r>
      <w:r>
        <w:rPr>
          <w:spacing w:val="-15"/>
        </w:rPr>
        <w:t xml:space="preserve"> </w:t>
      </w:r>
      <w:r>
        <w:t>monitored</w:t>
      </w:r>
      <w:r>
        <w:rPr>
          <w:spacing w:val="-15"/>
        </w:rPr>
        <w:t xml:space="preserve"> </w:t>
      </w:r>
      <w:r>
        <w:t>on</w:t>
      </w:r>
      <w:r>
        <w:rPr>
          <w:spacing w:val="-15"/>
        </w:rPr>
        <w:t xml:space="preserve"> </w:t>
      </w:r>
      <w:r>
        <w:t>an</w:t>
      </w:r>
      <w:r>
        <w:rPr>
          <w:spacing w:val="-15"/>
        </w:rPr>
        <w:t xml:space="preserve"> </w:t>
      </w:r>
      <w:r>
        <w:t>ongoing</w:t>
      </w:r>
      <w:r>
        <w:rPr>
          <w:spacing w:val="-15"/>
        </w:rPr>
        <w:t xml:space="preserve"> </w:t>
      </w:r>
      <w:r>
        <w:t>basis</w:t>
      </w:r>
      <w:r>
        <w:rPr>
          <w:spacing w:val="-15"/>
        </w:rPr>
        <w:t xml:space="preserve"> </w:t>
      </w:r>
      <w:r>
        <w:t>with the</w:t>
      </w:r>
      <w:r>
        <w:rPr>
          <w:spacing w:val="-16"/>
        </w:rPr>
        <w:t xml:space="preserve"> </w:t>
      </w:r>
      <w:r>
        <w:t>result</w:t>
      </w:r>
      <w:r>
        <w:rPr>
          <w:spacing w:val="-16"/>
        </w:rPr>
        <w:t xml:space="preserve"> </w:t>
      </w:r>
      <w:r>
        <w:t>that</w:t>
      </w:r>
      <w:r>
        <w:rPr>
          <w:spacing w:val="-16"/>
        </w:rPr>
        <w:t xml:space="preserve"> </w:t>
      </w:r>
      <w:r>
        <w:t>the</w:t>
      </w:r>
      <w:r>
        <w:rPr>
          <w:spacing w:val="-16"/>
        </w:rPr>
        <w:t xml:space="preserve"> </w:t>
      </w:r>
      <w:r>
        <w:t>sub-department’s</w:t>
      </w:r>
      <w:r>
        <w:rPr>
          <w:spacing w:val="-16"/>
        </w:rPr>
        <w:t xml:space="preserve"> </w:t>
      </w:r>
      <w:r>
        <w:t>exposure</w:t>
      </w:r>
      <w:r>
        <w:rPr>
          <w:spacing w:val="-16"/>
        </w:rPr>
        <w:t xml:space="preserve"> </w:t>
      </w:r>
      <w:r>
        <w:t>to</w:t>
      </w:r>
    </w:p>
    <w:p w:rsidR="00A1463E" w:rsidRDefault="00F52429">
      <w:pPr>
        <w:pStyle w:val="BodyText"/>
        <w:spacing w:before="57" w:line="235" w:lineRule="auto"/>
        <w:ind w:left="636"/>
        <w:jc w:val="both"/>
      </w:pPr>
      <w:r>
        <w:br w:type="column"/>
      </w:r>
      <w:r>
        <w:t>bad</w:t>
      </w:r>
      <w:r>
        <w:rPr>
          <w:spacing w:val="-7"/>
        </w:rPr>
        <w:t xml:space="preserve"> </w:t>
      </w:r>
      <w:r>
        <w:t>debts</w:t>
      </w:r>
      <w:r>
        <w:rPr>
          <w:spacing w:val="-7"/>
        </w:rPr>
        <w:t xml:space="preserve"> </w:t>
      </w:r>
      <w:proofErr w:type="gramStart"/>
      <w:r>
        <w:t>is</w:t>
      </w:r>
      <w:proofErr w:type="gramEnd"/>
      <w:r>
        <w:rPr>
          <w:spacing w:val="-7"/>
        </w:rPr>
        <w:t xml:space="preserve"> </w:t>
      </w:r>
      <w:r>
        <w:t>minimal.</w:t>
      </w:r>
      <w:r>
        <w:rPr>
          <w:spacing w:val="-6"/>
        </w:rPr>
        <w:t xml:space="preserve"> </w:t>
      </w:r>
      <w:r>
        <w:rPr>
          <w:spacing w:val="-4"/>
        </w:rPr>
        <w:t>At</w:t>
      </w:r>
      <w:r>
        <w:rPr>
          <w:spacing w:val="-7"/>
        </w:rPr>
        <w:t xml:space="preserve"> </w:t>
      </w:r>
      <w:r>
        <w:t>the</w:t>
      </w:r>
      <w:r>
        <w:rPr>
          <w:spacing w:val="-7"/>
        </w:rPr>
        <w:t xml:space="preserve"> </w:t>
      </w:r>
      <w:r>
        <w:t>end</w:t>
      </w:r>
      <w:r>
        <w:rPr>
          <w:spacing w:val="-7"/>
        </w:rPr>
        <w:t xml:space="preserve"> </w:t>
      </w:r>
      <w:r>
        <w:t>of</w:t>
      </w:r>
      <w:r>
        <w:rPr>
          <w:spacing w:val="-7"/>
        </w:rPr>
        <w:t xml:space="preserve"> </w:t>
      </w:r>
      <w:r>
        <w:t>the</w:t>
      </w:r>
      <w:r>
        <w:rPr>
          <w:spacing w:val="-7"/>
        </w:rPr>
        <w:t xml:space="preserve"> </w:t>
      </w:r>
      <w:r>
        <w:t>reporting period there were no significant concentrations of credit</w:t>
      </w:r>
      <w:r>
        <w:rPr>
          <w:spacing w:val="-2"/>
        </w:rPr>
        <w:t xml:space="preserve"> </w:t>
      </w:r>
      <w:r>
        <w:t>risk.</w:t>
      </w:r>
    </w:p>
    <w:p w:rsidR="00A1463E" w:rsidRDefault="00F52429">
      <w:pPr>
        <w:spacing w:before="168"/>
        <w:ind w:left="636"/>
        <w:jc w:val="both"/>
        <w:rPr>
          <w:i/>
          <w:sz w:val="24"/>
        </w:rPr>
      </w:pPr>
      <w:r>
        <w:rPr>
          <w:i/>
          <w:sz w:val="24"/>
        </w:rPr>
        <w:t>Liquidity risk</w:t>
      </w:r>
    </w:p>
    <w:p w:rsidR="00A1463E" w:rsidRDefault="00F52429">
      <w:pPr>
        <w:pStyle w:val="BodyText"/>
        <w:spacing w:before="56" w:line="235" w:lineRule="auto"/>
        <w:ind w:left="636" w:right="1"/>
        <w:jc w:val="both"/>
      </w:pPr>
      <w:r>
        <w:t>Liquidity risk arises when the sub-department is unable to meet its financial obligations as they fall due.</w:t>
      </w:r>
    </w:p>
    <w:p w:rsidR="00A1463E" w:rsidRDefault="00F52429">
      <w:pPr>
        <w:pStyle w:val="BodyText"/>
        <w:spacing w:before="173" w:line="235" w:lineRule="auto"/>
        <w:ind w:left="636" w:right="2"/>
        <w:jc w:val="both"/>
      </w:pPr>
      <w:r>
        <w:t xml:space="preserve">The sub-department is </w:t>
      </w:r>
      <w:r w:rsidR="0096717E">
        <w:t>exposed to liquidity risk</w:t>
      </w:r>
      <w:r>
        <w:t xml:space="preserve"> through its trading in the normal course of business.</w:t>
      </w:r>
    </w:p>
    <w:p w:rsidR="00A1463E" w:rsidRDefault="00F52429">
      <w:pPr>
        <w:pStyle w:val="BodyText"/>
        <w:spacing w:before="173" w:line="235" w:lineRule="auto"/>
        <w:ind w:left="636"/>
        <w:jc w:val="both"/>
      </w:pPr>
      <w:r>
        <w:t>The</w:t>
      </w:r>
      <w:r>
        <w:rPr>
          <w:spacing w:val="-20"/>
        </w:rPr>
        <w:t xml:space="preserve"> </w:t>
      </w:r>
      <w:r>
        <w:t>sub-department</w:t>
      </w:r>
      <w:r>
        <w:rPr>
          <w:spacing w:val="-20"/>
        </w:rPr>
        <w:t xml:space="preserve"> </w:t>
      </w:r>
      <w:r>
        <w:t>has</w:t>
      </w:r>
      <w:r>
        <w:rPr>
          <w:spacing w:val="-20"/>
        </w:rPr>
        <w:t xml:space="preserve"> </w:t>
      </w:r>
      <w:r>
        <w:t>appropriate</w:t>
      </w:r>
      <w:r>
        <w:rPr>
          <w:spacing w:val="-20"/>
        </w:rPr>
        <w:t xml:space="preserve"> </w:t>
      </w:r>
      <w:r>
        <w:t>procedures to manage cash flows including drawdown of appropriations</w:t>
      </w:r>
      <w:r>
        <w:rPr>
          <w:spacing w:val="-14"/>
        </w:rPr>
        <w:t xml:space="preserve"> </w:t>
      </w:r>
      <w:r>
        <w:t>by</w:t>
      </w:r>
      <w:r>
        <w:rPr>
          <w:spacing w:val="-14"/>
        </w:rPr>
        <w:t xml:space="preserve"> </w:t>
      </w:r>
      <w:r>
        <w:t>monitoring</w:t>
      </w:r>
      <w:r>
        <w:rPr>
          <w:spacing w:val="-14"/>
        </w:rPr>
        <w:t xml:space="preserve"> </w:t>
      </w:r>
      <w:r>
        <w:rPr>
          <w:spacing w:val="-3"/>
        </w:rPr>
        <w:t>forecast</w:t>
      </w:r>
      <w:r>
        <w:rPr>
          <w:spacing w:val="-14"/>
        </w:rPr>
        <w:t xml:space="preserve"> </w:t>
      </w:r>
      <w:r>
        <w:t>cash</w:t>
      </w:r>
      <w:r>
        <w:rPr>
          <w:spacing w:val="-14"/>
        </w:rPr>
        <w:t xml:space="preserve"> </w:t>
      </w:r>
      <w:r>
        <w:t>flows to ensure that sufficient funds are available to meet its</w:t>
      </w:r>
      <w:r>
        <w:rPr>
          <w:spacing w:val="-2"/>
        </w:rPr>
        <w:t xml:space="preserve"> </w:t>
      </w:r>
      <w:r>
        <w:t>commitments.</w:t>
      </w:r>
    </w:p>
    <w:p w:rsidR="00A1463E" w:rsidRDefault="00F52429">
      <w:pPr>
        <w:spacing w:before="170"/>
        <w:ind w:left="636"/>
        <w:jc w:val="both"/>
        <w:rPr>
          <w:i/>
          <w:sz w:val="24"/>
        </w:rPr>
      </w:pPr>
      <w:r>
        <w:rPr>
          <w:i/>
          <w:sz w:val="24"/>
        </w:rPr>
        <w:t>Market risk</w:t>
      </w:r>
    </w:p>
    <w:p w:rsidR="00A1463E" w:rsidRDefault="00F52429">
      <w:pPr>
        <w:pStyle w:val="BodyText"/>
        <w:spacing w:before="56" w:line="235" w:lineRule="auto"/>
        <w:ind w:left="636" w:right="1"/>
        <w:jc w:val="both"/>
      </w:pPr>
      <w:r>
        <w:t>Market risk is the risk that changes in market prices</w:t>
      </w:r>
      <w:r>
        <w:rPr>
          <w:spacing w:val="-22"/>
        </w:rPr>
        <w:t xml:space="preserve"> </w:t>
      </w:r>
      <w:r>
        <w:t>such</w:t>
      </w:r>
      <w:r>
        <w:rPr>
          <w:spacing w:val="-22"/>
        </w:rPr>
        <w:t xml:space="preserve"> </w:t>
      </w:r>
      <w:r>
        <w:t>as</w:t>
      </w:r>
      <w:r>
        <w:rPr>
          <w:spacing w:val="-22"/>
        </w:rPr>
        <w:t xml:space="preserve"> </w:t>
      </w:r>
      <w:r>
        <w:t>foreign</w:t>
      </w:r>
      <w:r>
        <w:rPr>
          <w:spacing w:val="-22"/>
        </w:rPr>
        <w:t xml:space="preserve"> </w:t>
      </w:r>
      <w:r>
        <w:t>exchange</w:t>
      </w:r>
      <w:r>
        <w:rPr>
          <w:spacing w:val="-22"/>
        </w:rPr>
        <w:t xml:space="preserve"> </w:t>
      </w:r>
      <w:r>
        <w:rPr>
          <w:spacing w:val="-3"/>
        </w:rPr>
        <w:t>rates</w:t>
      </w:r>
      <w:r>
        <w:rPr>
          <w:spacing w:val="-22"/>
        </w:rPr>
        <w:t xml:space="preserve"> </w:t>
      </w:r>
      <w:r>
        <w:t>and</w:t>
      </w:r>
      <w:r>
        <w:rPr>
          <w:spacing w:val="-22"/>
        </w:rPr>
        <w:t xml:space="preserve"> </w:t>
      </w:r>
      <w:r>
        <w:t xml:space="preserve">interest </w:t>
      </w:r>
      <w:r>
        <w:rPr>
          <w:spacing w:val="-3"/>
        </w:rPr>
        <w:t xml:space="preserve">rates </w:t>
      </w:r>
      <w:r>
        <w:t>will affect the sub-department’s income or the</w:t>
      </w:r>
      <w:r>
        <w:rPr>
          <w:spacing w:val="-9"/>
        </w:rPr>
        <w:t xml:space="preserve"> </w:t>
      </w:r>
      <w:r>
        <w:t>value</w:t>
      </w:r>
      <w:r>
        <w:rPr>
          <w:spacing w:val="-9"/>
        </w:rPr>
        <w:t xml:space="preserve"> </w:t>
      </w:r>
      <w:r>
        <w:t>of</w:t>
      </w:r>
      <w:r>
        <w:rPr>
          <w:spacing w:val="-9"/>
        </w:rPr>
        <w:t xml:space="preserve"> </w:t>
      </w:r>
      <w:r>
        <w:t>its</w:t>
      </w:r>
      <w:r>
        <w:rPr>
          <w:spacing w:val="-9"/>
        </w:rPr>
        <w:t xml:space="preserve"> </w:t>
      </w:r>
      <w:r>
        <w:t>holdings</w:t>
      </w:r>
      <w:r>
        <w:rPr>
          <w:spacing w:val="-9"/>
        </w:rPr>
        <w:t xml:space="preserve"> </w:t>
      </w:r>
      <w:r>
        <w:t>of</w:t>
      </w:r>
      <w:r>
        <w:rPr>
          <w:spacing w:val="-9"/>
        </w:rPr>
        <w:t xml:space="preserve"> </w:t>
      </w:r>
      <w:r>
        <w:t>financial</w:t>
      </w:r>
      <w:r>
        <w:rPr>
          <w:spacing w:val="-9"/>
        </w:rPr>
        <w:t xml:space="preserve"> </w:t>
      </w:r>
      <w:r>
        <w:t>instruments. The sub-department does not trade in foreign currency and is not materially exposed to other price</w:t>
      </w:r>
      <w:r>
        <w:rPr>
          <w:spacing w:val="-2"/>
        </w:rPr>
        <w:t xml:space="preserve"> </w:t>
      </w:r>
      <w:r>
        <w:t>risks.</w:t>
      </w:r>
    </w:p>
    <w:p w:rsidR="00A1463E" w:rsidRDefault="00F52429">
      <w:pPr>
        <w:pStyle w:val="BodyText"/>
        <w:spacing w:before="176" w:line="235" w:lineRule="auto"/>
        <w:ind w:left="636"/>
        <w:jc w:val="both"/>
      </w:pPr>
      <w:r>
        <w:t>Other than as detailed in the interest rate sensitivity analysis table at Note 30(c), the</w:t>
      </w:r>
    </w:p>
    <w:p w:rsidR="00A1463E" w:rsidRDefault="00F52429">
      <w:pPr>
        <w:pStyle w:val="BodyText"/>
        <w:spacing w:before="2" w:line="235" w:lineRule="auto"/>
        <w:ind w:left="636" w:right="1"/>
        <w:jc w:val="both"/>
      </w:pPr>
      <w:r>
        <w:t xml:space="preserve">sub-department is </w:t>
      </w:r>
      <w:r w:rsidR="0096717E">
        <w:t>not exposed to interest</w:t>
      </w:r>
      <w:r>
        <w:t xml:space="preserve"> </w:t>
      </w:r>
      <w:r>
        <w:rPr>
          <w:spacing w:val="-3"/>
        </w:rPr>
        <w:t xml:space="preserve">rate </w:t>
      </w:r>
      <w:r>
        <w:t>risk because the majority of cash and cash equivalents are non-interest</w:t>
      </w:r>
      <w:r>
        <w:rPr>
          <w:spacing w:val="-5"/>
        </w:rPr>
        <w:t xml:space="preserve"> </w:t>
      </w:r>
      <w:r>
        <w:t>bearing.</w:t>
      </w:r>
    </w:p>
    <w:p w:rsidR="00A1463E" w:rsidRDefault="00F52429" w:rsidP="004151B8">
      <w:pPr>
        <w:pStyle w:val="Heading4"/>
        <w:numPr>
          <w:ilvl w:val="0"/>
          <w:numId w:val="7"/>
        </w:numPr>
        <w:tabs>
          <w:tab w:val="left" w:pos="971"/>
        </w:tabs>
        <w:spacing w:before="52" w:line="290" w:lineRule="exact"/>
        <w:ind w:left="970" w:hanging="333"/>
      </w:pPr>
      <w:r>
        <w:rPr>
          <w:spacing w:val="-1"/>
        </w:rPr>
        <w:br w:type="column"/>
      </w:r>
      <w:r>
        <w:t>Categories of financial</w:t>
      </w:r>
      <w:r>
        <w:rPr>
          <w:spacing w:val="-4"/>
        </w:rPr>
        <w:t xml:space="preserve"> </w:t>
      </w:r>
      <w:r>
        <w:t>instruments</w:t>
      </w:r>
    </w:p>
    <w:p w:rsidR="003A4B19" w:rsidRPr="003A4B19" w:rsidRDefault="00F52429" w:rsidP="003A4B19">
      <w:pPr>
        <w:pStyle w:val="BodyText"/>
        <w:spacing w:before="2" w:line="235" w:lineRule="auto"/>
        <w:ind w:left="637" w:right="677"/>
        <w:jc w:val="both"/>
      </w:pPr>
      <w:r>
        <w:t>The carrying amounts of each of the following categories of financial assets and financial liabilities at the end of the reporting period are:</w:t>
      </w:r>
    </w:p>
    <w:tbl>
      <w:tblPr>
        <w:tblStyle w:val="TableGrid"/>
        <w:tblW w:w="4887" w:type="dxa"/>
        <w:tblInd w:w="637" w:type="dxa"/>
        <w:tblLayout w:type="fixed"/>
        <w:tblLook w:val="04A0" w:firstRow="1" w:lastRow="0" w:firstColumn="1" w:lastColumn="0" w:noHBand="0" w:noVBand="1"/>
        <w:tblCaption w:val="Financial assets table"/>
        <w:tblDescription w:val="Table showing financial assets at the end of the reporting period"/>
      </w:tblPr>
      <w:tblGrid>
        <w:gridCol w:w="2289"/>
        <w:gridCol w:w="1299"/>
        <w:gridCol w:w="1299"/>
      </w:tblGrid>
      <w:tr w:rsidR="001603D8" w:rsidTr="00023B4B">
        <w:trPr>
          <w:tblHeader/>
        </w:trPr>
        <w:tc>
          <w:tcPr>
            <w:tcW w:w="2289" w:type="dxa"/>
            <w:vAlign w:val="bottom"/>
          </w:tcPr>
          <w:p w:rsidR="001603D8" w:rsidRDefault="001603D8" w:rsidP="00F6171F">
            <w:pPr>
              <w:tabs>
                <w:tab w:val="left" w:pos="929"/>
              </w:tabs>
              <w:spacing w:before="59" w:line="235" w:lineRule="auto"/>
              <w:ind w:right="-154"/>
              <w:rPr>
                <w:sz w:val="20"/>
              </w:rPr>
            </w:pPr>
            <w:r>
              <w:rPr>
                <w:sz w:val="20"/>
              </w:rPr>
              <w:t>Financial assets</w:t>
            </w:r>
          </w:p>
        </w:tc>
        <w:tc>
          <w:tcPr>
            <w:tcW w:w="1299" w:type="dxa"/>
          </w:tcPr>
          <w:p w:rsidR="001603D8" w:rsidRDefault="001603D8" w:rsidP="003A4B19">
            <w:pPr>
              <w:tabs>
                <w:tab w:val="left" w:pos="929"/>
              </w:tabs>
              <w:spacing w:before="59" w:line="235" w:lineRule="auto"/>
              <w:ind w:right="677"/>
              <w:rPr>
                <w:sz w:val="20"/>
              </w:rPr>
            </w:pPr>
            <w:r>
              <w:rPr>
                <w:sz w:val="20"/>
              </w:rPr>
              <w:t>2018</w:t>
            </w:r>
          </w:p>
          <w:p w:rsidR="001603D8" w:rsidRDefault="001603D8" w:rsidP="003A4B19">
            <w:pPr>
              <w:tabs>
                <w:tab w:val="left" w:pos="929"/>
              </w:tabs>
              <w:spacing w:before="59" w:line="235" w:lineRule="auto"/>
              <w:ind w:right="677"/>
              <w:rPr>
                <w:sz w:val="20"/>
              </w:rPr>
            </w:pPr>
            <w:r>
              <w:rPr>
                <w:sz w:val="20"/>
              </w:rPr>
              <w:t>$000</w:t>
            </w:r>
          </w:p>
        </w:tc>
        <w:tc>
          <w:tcPr>
            <w:tcW w:w="1299" w:type="dxa"/>
          </w:tcPr>
          <w:p w:rsidR="001603D8" w:rsidRDefault="001603D8" w:rsidP="003A4B19">
            <w:pPr>
              <w:tabs>
                <w:tab w:val="left" w:pos="929"/>
              </w:tabs>
              <w:spacing w:before="59" w:line="235" w:lineRule="auto"/>
              <w:ind w:right="677"/>
              <w:rPr>
                <w:sz w:val="20"/>
              </w:rPr>
            </w:pPr>
            <w:r>
              <w:rPr>
                <w:sz w:val="20"/>
              </w:rPr>
              <w:t>2017</w:t>
            </w:r>
          </w:p>
          <w:p w:rsidR="001603D8" w:rsidRDefault="001603D8" w:rsidP="003A4B19">
            <w:pPr>
              <w:tabs>
                <w:tab w:val="left" w:pos="929"/>
              </w:tabs>
              <w:spacing w:before="59" w:line="235" w:lineRule="auto"/>
              <w:ind w:right="677"/>
              <w:rPr>
                <w:sz w:val="20"/>
              </w:rPr>
            </w:pPr>
            <w:r>
              <w:rPr>
                <w:sz w:val="20"/>
              </w:rPr>
              <w:t>$000</w:t>
            </w:r>
          </w:p>
        </w:tc>
      </w:tr>
      <w:tr w:rsidR="001603D8" w:rsidTr="00FA50A9">
        <w:tc>
          <w:tcPr>
            <w:tcW w:w="2289" w:type="dxa"/>
          </w:tcPr>
          <w:p w:rsidR="001603D8" w:rsidRDefault="001603D8" w:rsidP="003A4B19">
            <w:pPr>
              <w:tabs>
                <w:tab w:val="left" w:pos="929"/>
              </w:tabs>
              <w:spacing w:before="59" w:line="235" w:lineRule="auto"/>
              <w:ind w:right="677"/>
              <w:rPr>
                <w:sz w:val="20"/>
              </w:rPr>
            </w:pPr>
            <w:r>
              <w:rPr>
                <w:sz w:val="20"/>
              </w:rPr>
              <w:t>Cash and cash equivalents</w:t>
            </w:r>
          </w:p>
        </w:tc>
        <w:tc>
          <w:tcPr>
            <w:tcW w:w="1299" w:type="dxa"/>
            <w:vAlign w:val="bottom"/>
          </w:tcPr>
          <w:p w:rsidR="001603D8" w:rsidRDefault="001603D8" w:rsidP="001603D8">
            <w:pPr>
              <w:tabs>
                <w:tab w:val="left" w:pos="929"/>
              </w:tabs>
              <w:spacing w:before="59" w:line="235" w:lineRule="auto"/>
              <w:ind w:right="-139"/>
              <w:rPr>
                <w:sz w:val="20"/>
              </w:rPr>
            </w:pPr>
            <w:r>
              <w:rPr>
                <w:sz w:val="20"/>
              </w:rPr>
              <w:t>3,062</w:t>
            </w:r>
          </w:p>
        </w:tc>
        <w:tc>
          <w:tcPr>
            <w:tcW w:w="1299" w:type="dxa"/>
            <w:vAlign w:val="bottom"/>
          </w:tcPr>
          <w:p w:rsidR="001603D8" w:rsidRDefault="001603D8" w:rsidP="001603D8">
            <w:pPr>
              <w:tabs>
                <w:tab w:val="left" w:pos="929"/>
              </w:tabs>
              <w:spacing w:before="59" w:line="235" w:lineRule="auto"/>
              <w:ind w:right="462"/>
              <w:rPr>
                <w:sz w:val="20"/>
              </w:rPr>
            </w:pPr>
            <w:r>
              <w:rPr>
                <w:sz w:val="20"/>
              </w:rPr>
              <w:t>5,177</w:t>
            </w:r>
          </w:p>
        </w:tc>
      </w:tr>
      <w:tr w:rsidR="001603D8" w:rsidTr="00FA50A9">
        <w:tc>
          <w:tcPr>
            <w:tcW w:w="2289" w:type="dxa"/>
          </w:tcPr>
          <w:p w:rsidR="001603D8" w:rsidRDefault="001603D8" w:rsidP="003A4B19">
            <w:pPr>
              <w:tabs>
                <w:tab w:val="left" w:pos="929"/>
              </w:tabs>
              <w:spacing w:before="59" w:line="235" w:lineRule="auto"/>
              <w:ind w:right="677"/>
              <w:rPr>
                <w:sz w:val="20"/>
              </w:rPr>
            </w:pPr>
            <w:r>
              <w:rPr>
                <w:sz w:val="20"/>
              </w:rPr>
              <w:t>Receivables (a)</w:t>
            </w:r>
          </w:p>
        </w:tc>
        <w:tc>
          <w:tcPr>
            <w:tcW w:w="1299" w:type="dxa"/>
          </w:tcPr>
          <w:p w:rsidR="001603D8" w:rsidRDefault="001603D8" w:rsidP="001603D8">
            <w:pPr>
              <w:tabs>
                <w:tab w:val="left" w:pos="929"/>
              </w:tabs>
              <w:spacing w:before="59" w:line="235" w:lineRule="auto"/>
              <w:ind w:right="-139"/>
              <w:rPr>
                <w:sz w:val="20"/>
              </w:rPr>
            </w:pPr>
            <w:r>
              <w:rPr>
                <w:sz w:val="20"/>
              </w:rPr>
              <w:t>99</w:t>
            </w:r>
          </w:p>
        </w:tc>
        <w:tc>
          <w:tcPr>
            <w:tcW w:w="1299" w:type="dxa"/>
          </w:tcPr>
          <w:p w:rsidR="001603D8" w:rsidRDefault="00023B4B" w:rsidP="001603D8">
            <w:pPr>
              <w:tabs>
                <w:tab w:val="left" w:pos="929"/>
              </w:tabs>
              <w:spacing w:before="59" w:line="235" w:lineRule="auto"/>
              <w:ind w:right="677"/>
              <w:rPr>
                <w:sz w:val="20"/>
              </w:rPr>
            </w:pPr>
            <w:r>
              <w:rPr>
                <w:sz w:val="20"/>
              </w:rPr>
              <w:t>Nil</w:t>
            </w:r>
          </w:p>
        </w:tc>
      </w:tr>
      <w:tr w:rsidR="001603D8" w:rsidTr="001603D8">
        <w:tc>
          <w:tcPr>
            <w:tcW w:w="2289" w:type="dxa"/>
          </w:tcPr>
          <w:p w:rsidR="001603D8" w:rsidRDefault="001603D8" w:rsidP="003A4B19">
            <w:pPr>
              <w:tabs>
                <w:tab w:val="left" w:pos="929"/>
              </w:tabs>
              <w:spacing w:before="59" w:line="235" w:lineRule="auto"/>
              <w:ind w:right="677"/>
              <w:rPr>
                <w:sz w:val="20"/>
              </w:rPr>
            </w:pPr>
            <w:r>
              <w:rPr>
                <w:sz w:val="20"/>
              </w:rPr>
              <w:t>Total</w:t>
            </w:r>
          </w:p>
        </w:tc>
        <w:tc>
          <w:tcPr>
            <w:tcW w:w="1299" w:type="dxa"/>
          </w:tcPr>
          <w:p w:rsidR="001603D8" w:rsidRDefault="001603D8" w:rsidP="001603D8">
            <w:pPr>
              <w:tabs>
                <w:tab w:val="left" w:pos="929"/>
              </w:tabs>
              <w:spacing w:before="59" w:line="235" w:lineRule="auto"/>
              <w:ind w:right="428"/>
              <w:rPr>
                <w:sz w:val="20"/>
              </w:rPr>
            </w:pPr>
            <w:r>
              <w:rPr>
                <w:sz w:val="20"/>
              </w:rPr>
              <w:t>3,161</w:t>
            </w:r>
          </w:p>
        </w:tc>
        <w:tc>
          <w:tcPr>
            <w:tcW w:w="1299" w:type="dxa"/>
          </w:tcPr>
          <w:p w:rsidR="001603D8" w:rsidRDefault="00023B4B" w:rsidP="00023B4B">
            <w:pPr>
              <w:tabs>
                <w:tab w:val="left" w:pos="929"/>
              </w:tabs>
              <w:spacing w:before="59" w:line="235" w:lineRule="auto"/>
              <w:ind w:right="462"/>
              <w:rPr>
                <w:sz w:val="20"/>
              </w:rPr>
            </w:pPr>
            <w:r>
              <w:rPr>
                <w:sz w:val="20"/>
              </w:rPr>
              <w:t>5,177</w:t>
            </w:r>
          </w:p>
        </w:tc>
      </w:tr>
    </w:tbl>
    <w:p w:rsidR="003A4B19" w:rsidRDefault="003A4B19" w:rsidP="00F6171F">
      <w:pPr>
        <w:tabs>
          <w:tab w:val="left" w:pos="929"/>
        </w:tabs>
        <w:spacing w:before="59" w:line="235" w:lineRule="auto"/>
        <w:ind w:right="677"/>
        <w:rPr>
          <w:sz w:val="20"/>
        </w:rPr>
      </w:pPr>
    </w:p>
    <w:tbl>
      <w:tblPr>
        <w:tblStyle w:val="TableGrid"/>
        <w:tblW w:w="0" w:type="auto"/>
        <w:tblInd w:w="637" w:type="dxa"/>
        <w:tblLook w:val="04A0" w:firstRow="1" w:lastRow="0" w:firstColumn="1" w:lastColumn="0" w:noHBand="0" w:noVBand="1"/>
        <w:tblCaption w:val="Financial liabilities table"/>
        <w:tblDescription w:val="Table showing financial liabilities at the end of the reporting period"/>
      </w:tblPr>
      <w:tblGrid>
        <w:gridCol w:w="2047"/>
        <w:gridCol w:w="1435"/>
        <w:gridCol w:w="1349"/>
      </w:tblGrid>
      <w:tr w:rsidR="00F6171F" w:rsidTr="00F6171F">
        <w:trPr>
          <w:tblHeader/>
        </w:trPr>
        <w:tc>
          <w:tcPr>
            <w:tcW w:w="2047" w:type="dxa"/>
          </w:tcPr>
          <w:p w:rsidR="00F6171F" w:rsidRDefault="00F6171F" w:rsidP="00F6171F">
            <w:pPr>
              <w:tabs>
                <w:tab w:val="left" w:pos="1379"/>
              </w:tabs>
              <w:spacing w:before="59" w:line="235" w:lineRule="auto"/>
              <w:ind w:right="677"/>
              <w:rPr>
                <w:sz w:val="20"/>
              </w:rPr>
            </w:pPr>
            <w:r>
              <w:rPr>
                <w:sz w:val="20"/>
              </w:rPr>
              <w:t>Financial liabilities</w:t>
            </w:r>
          </w:p>
        </w:tc>
        <w:tc>
          <w:tcPr>
            <w:tcW w:w="1435" w:type="dxa"/>
          </w:tcPr>
          <w:p w:rsidR="00F6171F" w:rsidRDefault="00F6171F" w:rsidP="003A4B19">
            <w:pPr>
              <w:tabs>
                <w:tab w:val="left" w:pos="929"/>
              </w:tabs>
              <w:spacing w:before="59" w:line="235" w:lineRule="auto"/>
              <w:ind w:right="677"/>
              <w:rPr>
                <w:sz w:val="20"/>
              </w:rPr>
            </w:pPr>
            <w:r>
              <w:rPr>
                <w:sz w:val="20"/>
              </w:rPr>
              <w:t>2018</w:t>
            </w:r>
          </w:p>
          <w:p w:rsidR="00F6171F" w:rsidRDefault="00F6171F" w:rsidP="00023B4B">
            <w:pPr>
              <w:tabs>
                <w:tab w:val="left" w:pos="944"/>
              </w:tabs>
              <w:spacing w:before="59" w:line="235" w:lineRule="auto"/>
              <w:ind w:right="-283"/>
              <w:rPr>
                <w:sz w:val="20"/>
              </w:rPr>
            </w:pPr>
            <w:r>
              <w:rPr>
                <w:sz w:val="20"/>
              </w:rPr>
              <w:t>$000</w:t>
            </w:r>
          </w:p>
        </w:tc>
        <w:tc>
          <w:tcPr>
            <w:tcW w:w="1004" w:type="dxa"/>
          </w:tcPr>
          <w:p w:rsidR="00F6171F" w:rsidRDefault="00F6171F" w:rsidP="003A4B19">
            <w:pPr>
              <w:tabs>
                <w:tab w:val="left" w:pos="929"/>
              </w:tabs>
              <w:spacing w:before="59" w:line="235" w:lineRule="auto"/>
              <w:ind w:right="677"/>
              <w:rPr>
                <w:sz w:val="20"/>
              </w:rPr>
            </w:pPr>
            <w:r>
              <w:rPr>
                <w:sz w:val="20"/>
              </w:rPr>
              <w:t>2017</w:t>
            </w:r>
          </w:p>
          <w:p w:rsidR="00F6171F" w:rsidRDefault="00F6171F" w:rsidP="003A4B19">
            <w:pPr>
              <w:tabs>
                <w:tab w:val="left" w:pos="929"/>
              </w:tabs>
              <w:spacing w:before="59" w:line="235" w:lineRule="auto"/>
              <w:ind w:right="677"/>
              <w:rPr>
                <w:sz w:val="20"/>
              </w:rPr>
            </w:pPr>
            <w:r>
              <w:rPr>
                <w:sz w:val="20"/>
              </w:rPr>
              <w:t>$000</w:t>
            </w:r>
          </w:p>
        </w:tc>
      </w:tr>
      <w:tr w:rsidR="00F6171F" w:rsidTr="00F6171F">
        <w:trPr>
          <w:tblHeader/>
        </w:trPr>
        <w:tc>
          <w:tcPr>
            <w:tcW w:w="2047" w:type="dxa"/>
          </w:tcPr>
          <w:p w:rsidR="00F6171F" w:rsidRDefault="00F6171F" w:rsidP="003A4B19">
            <w:pPr>
              <w:tabs>
                <w:tab w:val="left" w:pos="929"/>
              </w:tabs>
              <w:spacing w:before="59" w:line="235" w:lineRule="auto"/>
              <w:ind w:right="677"/>
              <w:rPr>
                <w:sz w:val="20"/>
              </w:rPr>
            </w:pPr>
            <w:r>
              <w:rPr>
                <w:sz w:val="20"/>
              </w:rPr>
              <w:t>Payables (b)</w:t>
            </w:r>
          </w:p>
        </w:tc>
        <w:tc>
          <w:tcPr>
            <w:tcW w:w="1435" w:type="dxa"/>
          </w:tcPr>
          <w:p w:rsidR="00F6171F" w:rsidRDefault="00F6171F" w:rsidP="003A4B19">
            <w:pPr>
              <w:tabs>
                <w:tab w:val="left" w:pos="929"/>
              </w:tabs>
              <w:spacing w:before="59" w:line="235" w:lineRule="auto"/>
              <w:ind w:right="677"/>
              <w:rPr>
                <w:sz w:val="20"/>
              </w:rPr>
            </w:pPr>
            <w:r>
              <w:rPr>
                <w:sz w:val="20"/>
              </w:rPr>
              <w:t>126</w:t>
            </w:r>
          </w:p>
        </w:tc>
        <w:tc>
          <w:tcPr>
            <w:tcW w:w="1004" w:type="dxa"/>
          </w:tcPr>
          <w:p w:rsidR="00F6171F" w:rsidRDefault="00F6171F" w:rsidP="003A4B19">
            <w:pPr>
              <w:tabs>
                <w:tab w:val="left" w:pos="929"/>
              </w:tabs>
              <w:spacing w:before="59" w:line="235" w:lineRule="auto"/>
              <w:ind w:right="677"/>
              <w:rPr>
                <w:sz w:val="20"/>
              </w:rPr>
            </w:pPr>
            <w:r>
              <w:rPr>
                <w:sz w:val="20"/>
              </w:rPr>
              <w:t>1,209</w:t>
            </w:r>
          </w:p>
        </w:tc>
      </w:tr>
      <w:tr w:rsidR="00F6171F" w:rsidTr="00F6171F">
        <w:trPr>
          <w:tblHeader/>
        </w:trPr>
        <w:tc>
          <w:tcPr>
            <w:tcW w:w="2047" w:type="dxa"/>
          </w:tcPr>
          <w:p w:rsidR="00F6171F" w:rsidRDefault="00F6171F" w:rsidP="003A4B19">
            <w:pPr>
              <w:tabs>
                <w:tab w:val="left" w:pos="929"/>
              </w:tabs>
              <w:spacing w:before="59" w:line="235" w:lineRule="auto"/>
              <w:ind w:right="677"/>
              <w:rPr>
                <w:sz w:val="20"/>
              </w:rPr>
            </w:pPr>
            <w:r>
              <w:rPr>
                <w:sz w:val="20"/>
              </w:rPr>
              <w:t>Other current liabilities</w:t>
            </w:r>
          </w:p>
        </w:tc>
        <w:tc>
          <w:tcPr>
            <w:tcW w:w="1435" w:type="dxa"/>
            <w:vAlign w:val="bottom"/>
          </w:tcPr>
          <w:p w:rsidR="00F6171F" w:rsidRDefault="00F6171F" w:rsidP="00F6171F">
            <w:pPr>
              <w:tabs>
                <w:tab w:val="left" w:pos="929"/>
              </w:tabs>
              <w:spacing w:before="59" w:line="235" w:lineRule="auto"/>
              <w:ind w:right="677"/>
              <w:rPr>
                <w:sz w:val="20"/>
              </w:rPr>
            </w:pPr>
            <w:r>
              <w:rPr>
                <w:sz w:val="20"/>
              </w:rPr>
              <w:t>0</w:t>
            </w:r>
          </w:p>
        </w:tc>
        <w:tc>
          <w:tcPr>
            <w:tcW w:w="1004" w:type="dxa"/>
            <w:vAlign w:val="bottom"/>
          </w:tcPr>
          <w:p w:rsidR="00F6171F" w:rsidRDefault="00F6171F" w:rsidP="00F6171F">
            <w:pPr>
              <w:tabs>
                <w:tab w:val="left" w:pos="929"/>
              </w:tabs>
              <w:spacing w:before="59" w:line="235" w:lineRule="auto"/>
              <w:ind w:right="677"/>
              <w:rPr>
                <w:sz w:val="20"/>
              </w:rPr>
            </w:pPr>
            <w:r>
              <w:rPr>
                <w:sz w:val="20"/>
              </w:rPr>
              <w:t>1,746</w:t>
            </w:r>
          </w:p>
        </w:tc>
      </w:tr>
      <w:tr w:rsidR="00F6171F" w:rsidTr="00F6171F">
        <w:trPr>
          <w:tblHeader/>
        </w:trPr>
        <w:tc>
          <w:tcPr>
            <w:tcW w:w="2047" w:type="dxa"/>
          </w:tcPr>
          <w:p w:rsidR="00F6171F" w:rsidRDefault="00F6171F" w:rsidP="003A4B19">
            <w:pPr>
              <w:tabs>
                <w:tab w:val="left" w:pos="929"/>
              </w:tabs>
              <w:spacing w:before="59" w:line="235" w:lineRule="auto"/>
              <w:ind w:right="677"/>
              <w:rPr>
                <w:sz w:val="20"/>
              </w:rPr>
            </w:pPr>
            <w:r>
              <w:rPr>
                <w:sz w:val="20"/>
              </w:rPr>
              <w:t>Total</w:t>
            </w:r>
          </w:p>
        </w:tc>
        <w:tc>
          <w:tcPr>
            <w:tcW w:w="1435" w:type="dxa"/>
          </w:tcPr>
          <w:p w:rsidR="00F6171F" w:rsidRDefault="00F6171F" w:rsidP="003A4B19">
            <w:pPr>
              <w:tabs>
                <w:tab w:val="left" w:pos="929"/>
              </w:tabs>
              <w:spacing w:before="59" w:line="235" w:lineRule="auto"/>
              <w:ind w:right="677"/>
              <w:rPr>
                <w:sz w:val="20"/>
              </w:rPr>
            </w:pPr>
            <w:r>
              <w:rPr>
                <w:sz w:val="20"/>
              </w:rPr>
              <w:t>126</w:t>
            </w:r>
          </w:p>
        </w:tc>
        <w:tc>
          <w:tcPr>
            <w:tcW w:w="1004" w:type="dxa"/>
          </w:tcPr>
          <w:p w:rsidR="00F6171F" w:rsidRDefault="00F6171F" w:rsidP="003A4B19">
            <w:pPr>
              <w:tabs>
                <w:tab w:val="left" w:pos="929"/>
              </w:tabs>
              <w:spacing w:before="59" w:line="235" w:lineRule="auto"/>
              <w:ind w:right="677"/>
              <w:rPr>
                <w:sz w:val="20"/>
              </w:rPr>
            </w:pPr>
            <w:r>
              <w:rPr>
                <w:sz w:val="20"/>
              </w:rPr>
              <w:t>2,955</w:t>
            </w:r>
          </w:p>
        </w:tc>
      </w:tr>
    </w:tbl>
    <w:p w:rsidR="00F6171F" w:rsidRDefault="003A4B19" w:rsidP="003A4B19">
      <w:pPr>
        <w:tabs>
          <w:tab w:val="left" w:pos="929"/>
        </w:tabs>
        <w:spacing w:before="59" w:line="235" w:lineRule="auto"/>
        <w:ind w:left="637" w:right="677"/>
        <w:rPr>
          <w:sz w:val="20"/>
        </w:rPr>
      </w:pPr>
      <w:r>
        <w:rPr>
          <w:sz w:val="20"/>
        </w:rPr>
        <w:t xml:space="preserve">(a) </w:t>
      </w:r>
      <w:r w:rsidR="00F6171F">
        <w:rPr>
          <w:sz w:val="20"/>
        </w:rPr>
        <w:t>The amount of receivables excludes GST recoverable from ATO (statutory receivable).</w:t>
      </w:r>
    </w:p>
    <w:p w:rsidR="00A1463E" w:rsidRPr="003A4B19" w:rsidRDefault="00F6171F" w:rsidP="003A4B19">
      <w:pPr>
        <w:tabs>
          <w:tab w:val="left" w:pos="929"/>
        </w:tabs>
        <w:spacing w:before="59" w:line="235" w:lineRule="auto"/>
        <w:ind w:left="637" w:right="677"/>
        <w:rPr>
          <w:sz w:val="20"/>
        </w:rPr>
      </w:pPr>
      <w:r>
        <w:rPr>
          <w:sz w:val="20"/>
        </w:rPr>
        <w:t xml:space="preserve">(b) </w:t>
      </w:r>
      <w:r w:rsidR="00F52429" w:rsidRPr="003A4B19">
        <w:rPr>
          <w:sz w:val="20"/>
        </w:rPr>
        <w:t xml:space="preserve">The amount of payables excludes GST payable to the </w:t>
      </w:r>
      <w:r w:rsidR="00F52429" w:rsidRPr="003A4B19">
        <w:rPr>
          <w:spacing w:val="-8"/>
          <w:sz w:val="20"/>
        </w:rPr>
        <w:t xml:space="preserve">ATO </w:t>
      </w:r>
      <w:r w:rsidR="00F52429" w:rsidRPr="003A4B19">
        <w:rPr>
          <w:sz w:val="20"/>
        </w:rPr>
        <w:t>(statutory</w:t>
      </w:r>
      <w:r w:rsidR="00F52429" w:rsidRPr="003A4B19">
        <w:rPr>
          <w:spacing w:val="5"/>
          <w:sz w:val="20"/>
        </w:rPr>
        <w:t xml:space="preserve"> </w:t>
      </w:r>
      <w:r w:rsidR="00F52429" w:rsidRPr="003A4B19">
        <w:rPr>
          <w:sz w:val="20"/>
        </w:rPr>
        <w:t>payable).</w:t>
      </w:r>
    </w:p>
    <w:p w:rsidR="00A1463E" w:rsidRDefault="00A1463E">
      <w:pPr>
        <w:spacing w:line="235" w:lineRule="auto"/>
        <w:rPr>
          <w:sz w:val="20"/>
        </w:rPr>
        <w:sectPr w:rsidR="00A1463E">
          <w:type w:val="continuous"/>
          <w:pgSz w:w="16840" w:h="11910" w:orient="landscape"/>
          <w:pgMar w:top="560" w:right="0" w:bottom="0" w:left="0" w:header="720" w:footer="720" w:gutter="0"/>
          <w:cols w:num="3" w:space="720" w:equalWidth="0">
            <w:col w:w="5390" w:space="40"/>
            <w:col w:w="5345" w:space="39"/>
            <w:col w:w="6026"/>
          </w:cols>
        </w:sectPr>
      </w:pP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F52429" w:rsidP="004151B8">
      <w:pPr>
        <w:pStyle w:val="Heading4"/>
        <w:numPr>
          <w:ilvl w:val="0"/>
          <w:numId w:val="6"/>
        </w:numPr>
        <w:tabs>
          <w:tab w:val="left" w:pos="985"/>
        </w:tabs>
        <w:spacing w:before="52"/>
        <w:ind w:left="984" w:hanging="304"/>
      </w:pPr>
      <w:r>
        <w:t>Financial instrument</w:t>
      </w:r>
      <w:r>
        <w:rPr>
          <w:spacing w:val="-2"/>
        </w:rPr>
        <w:t xml:space="preserve"> </w:t>
      </w:r>
      <w:r>
        <w:t>disclosures</w:t>
      </w:r>
    </w:p>
    <w:p w:rsidR="00A1463E" w:rsidRDefault="00F52429">
      <w:pPr>
        <w:spacing w:before="108"/>
        <w:ind w:left="680"/>
        <w:rPr>
          <w:i/>
          <w:sz w:val="24"/>
        </w:rPr>
      </w:pPr>
      <w:r>
        <w:rPr>
          <w:i/>
          <w:sz w:val="24"/>
        </w:rPr>
        <w:t>Credit risk</w:t>
      </w:r>
    </w:p>
    <w:p w:rsidR="00A1463E" w:rsidRDefault="00F52429">
      <w:pPr>
        <w:pStyle w:val="BodyText"/>
        <w:spacing w:before="56" w:line="235" w:lineRule="auto"/>
        <w:ind w:left="680" w:right="682"/>
        <w:jc w:val="both"/>
      </w:pPr>
      <w:r>
        <w:t xml:space="preserve">The following table details the sub-department’s maximum exposure to credit risk and the ageing analysis of financial assets. The sub-department’s maximum exposure to credit risk at the end of the reporting period is the carrying amount of financial assets as shown </w:t>
      </w:r>
      <w:r>
        <w:rPr>
          <w:spacing w:val="-4"/>
        </w:rPr>
        <w:t xml:space="preserve">below. </w:t>
      </w:r>
      <w:r>
        <w:t>The table discloses the ageing of financial assets</w:t>
      </w:r>
      <w:r>
        <w:rPr>
          <w:spacing w:val="-18"/>
        </w:rPr>
        <w:t xml:space="preserve"> </w:t>
      </w:r>
      <w:r>
        <w:t>that</w:t>
      </w:r>
      <w:r>
        <w:rPr>
          <w:spacing w:val="-18"/>
        </w:rPr>
        <w:t xml:space="preserve"> </w:t>
      </w:r>
      <w:r>
        <w:t>are</w:t>
      </w:r>
      <w:r>
        <w:rPr>
          <w:spacing w:val="-18"/>
        </w:rPr>
        <w:t xml:space="preserve"> </w:t>
      </w:r>
      <w:r>
        <w:t>past</w:t>
      </w:r>
      <w:r>
        <w:rPr>
          <w:spacing w:val="-18"/>
        </w:rPr>
        <w:t xml:space="preserve"> </w:t>
      </w:r>
      <w:r>
        <w:t>due</w:t>
      </w:r>
      <w:r>
        <w:rPr>
          <w:spacing w:val="-18"/>
        </w:rPr>
        <w:t xml:space="preserve"> </w:t>
      </w:r>
      <w:r>
        <w:t>but</w:t>
      </w:r>
      <w:r>
        <w:rPr>
          <w:spacing w:val="-17"/>
        </w:rPr>
        <w:t xml:space="preserve"> </w:t>
      </w:r>
      <w:r>
        <w:t>not</w:t>
      </w:r>
      <w:r>
        <w:rPr>
          <w:spacing w:val="-18"/>
        </w:rPr>
        <w:t xml:space="preserve"> </w:t>
      </w:r>
      <w:r>
        <w:t>impaired</w:t>
      </w:r>
      <w:r>
        <w:rPr>
          <w:spacing w:val="-18"/>
        </w:rPr>
        <w:t xml:space="preserve"> </w:t>
      </w:r>
      <w:r>
        <w:t>and</w:t>
      </w:r>
      <w:r>
        <w:rPr>
          <w:spacing w:val="-18"/>
        </w:rPr>
        <w:t xml:space="preserve"> </w:t>
      </w:r>
      <w:r>
        <w:t>impaired</w:t>
      </w:r>
      <w:r>
        <w:rPr>
          <w:spacing w:val="-18"/>
        </w:rPr>
        <w:t xml:space="preserve"> </w:t>
      </w:r>
      <w:r>
        <w:t>financial</w:t>
      </w:r>
      <w:r>
        <w:rPr>
          <w:spacing w:val="-18"/>
        </w:rPr>
        <w:t xml:space="preserve"> </w:t>
      </w:r>
      <w:r>
        <w:t>assets.</w:t>
      </w:r>
      <w:r>
        <w:rPr>
          <w:spacing w:val="-18"/>
        </w:rPr>
        <w:t xml:space="preserve"> </w:t>
      </w:r>
      <w:r>
        <w:t>The</w:t>
      </w:r>
      <w:r>
        <w:rPr>
          <w:spacing w:val="-18"/>
        </w:rPr>
        <w:t xml:space="preserve"> </w:t>
      </w:r>
      <w:r>
        <w:t>table</w:t>
      </w:r>
      <w:r>
        <w:rPr>
          <w:spacing w:val="-18"/>
        </w:rPr>
        <w:t xml:space="preserve"> </w:t>
      </w:r>
      <w:r>
        <w:t>is</w:t>
      </w:r>
      <w:r>
        <w:rPr>
          <w:spacing w:val="-18"/>
        </w:rPr>
        <w:t xml:space="preserve"> </w:t>
      </w:r>
      <w:r>
        <w:t>based</w:t>
      </w:r>
      <w:r>
        <w:rPr>
          <w:spacing w:val="-18"/>
        </w:rPr>
        <w:t xml:space="preserve"> </w:t>
      </w:r>
      <w:r>
        <w:t>on</w:t>
      </w:r>
      <w:r>
        <w:rPr>
          <w:spacing w:val="-18"/>
        </w:rPr>
        <w:t xml:space="preserve"> </w:t>
      </w:r>
      <w:r>
        <w:t>information</w:t>
      </w:r>
      <w:r>
        <w:rPr>
          <w:spacing w:val="-18"/>
        </w:rPr>
        <w:t xml:space="preserve"> </w:t>
      </w:r>
      <w:r>
        <w:t>provided</w:t>
      </w:r>
      <w:r>
        <w:rPr>
          <w:spacing w:val="-18"/>
        </w:rPr>
        <w:t xml:space="preserve"> </w:t>
      </w:r>
      <w:r>
        <w:t>to</w:t>
      </w:r>
      <w:r>
        <w:rPr>
          <w:spacing w:val="-18"/>
        </w:rPr>
        <w:t xml:space="preserve"> </w:t>
      </w:r>
      <w:r>
        <w:t>senior</w:t>
      </w:r>
      <w:r>
        <w:rPr>
          <w:spacing w:val="-18"/>
        </w:rPr>
        <w:t xml:space="preserve"> </w:t>
      </w:r>
      <w:r>
        <w:t>management</w:t>
      </w:r>
      <w:r>
        <w:rPr>
          <w:spacing w:val="-18"/>
        </w:rPr>
        <w:t xml:space="preserve"> </w:t>
      </w:r>
      <w:r>
        <w:t>of</w:t>
      </w:r>
      <w:r>
        <w:rPr>
          <w:spacing w:val="-18"/>
        </w:rPr>
        <w:t xml:space="preserve"> </w:t>
      </w:r>
      <w:r>
        <w:t>the</w:t>
      </w:r>
      <w:r>
        <w:rPr>
          <w:spacing w:val="-18"/>
        </w:rPr>
        <w:t xml:space="preserve"> </w:t>
      </w:r>
      <w:r>
        <w:t>sub-department.</w:t>
      </w:r>
    </w:p>
    <w:p w:rsidR="00A1463E" w:rsidRDefault="00F52429">
      <w:pPr>
        <w:pStyle w:val="BodyText"/>
        <w:spacing w:before="169"/>
        <w:ind w:left="680"/>
        <w:jc w:val="both"/>
      </w:pPr>
      <w:r>
        <w:t>The sub-department does not hold any collateral as security or other credit enhancement relating to the financial assets it holds.</w:t>
      </w:r>
    </w:p>
    <w:p w:rsidR="00A1463E" w:rsidRDefault="00A1463E">
      <w:pPr>
        <w:pStyle w:val="BodyText"/>
      </w:pPr>
    </w:p>
    <w:p w:rsidR="00A1463E" w:rsidRDefault="00F52429">
      <w:pPr>
        <w:pStyle w:val="Heading4"/>
        <w:spacing w:before="160"/>
        <w:ind w:left="7" w:right="11"/>
        <w:jc w:val="center"/>
      </w:pPr>
      <w:r>
        <w:t>Ageing analysis of financial assets</w:t>
      </w:r>
    </w:p>
    <w:p w:rsidR="00A1463E" w:rsidRDefault="00A1463E">
      <w:pPr>
        <w:pStyle w:val="BodyText"/>
        <w:spacing w:before="2"/>
        <w:rPr>
          <w:b/>
          <w:sz w:val="15"/>
        </w:rPr>
      </w:pPr>
    </w:p>
    <w:tbl>
      <w:tblPr>
        <w:tblStyle w:val="TableGrid"/>
        <w:tblW w:w="0" w:type="auto"/>
        <w:tblInd w:w="562" w:type="dxa"/>
        <w:tblLook w:val="04A0" w:firstRow="1" w:lastRow="0" w:firstColumn="1" w:lastColumn="0" w:noHBand="0" w:noVBand="1"/>
        <w:tblCaption w:val="ageing analysis of financial assets"/>
        <w:tblDescription w:val="table showing figures for 2018 as part of the ageing analysis of financial assets"/>
      </w:tblPr>
      <w:tblGrid>
        <w:gridCol w:w="2268"/>
        <w:gridCol w:w="993"/>
        <w:gridCol w:w="1559"/>
        <w:gridCol w:w="1701"/>
        <w:gridCol w:w="1633"/>
        <w:gridCol w:w="1744"/>
        <w:gridCol w:w="1584"/>
        <w:gridCol w:w="1701"/>
      </w:tblGrid>
      <w:tr w:rsidR="000E1D3A" w:rsidTr="006604EC">
        <w:trPr>
          <w:tblHeader/>
        </w:trPr>
        <w:tc>
          <w:tcPr>
            <w:tcW w:w="2268" w:type="dxa"/>
          </w:tcPr>
          <w:p w:rsidR="000E1D3A" w:rsidRDefault="000E1D3A" w:rsidP="000E1D3A">
            <w:r>
              <w:t>2018</w:t>
            </w:r>
          </w:p>
        </w:tc>
        <w:tc>
          <w:tcPr>
            <w:tcW w:w="993" w:type="dxa"/>
          </w:tcPr>
          <w:p w:rsidR="000E1D3A" w:rsidRDefault="000E1D3A" w:rsidP="000E1D3A">
            <w:r>
              <w:t>Carrying Amount $000</w:t>
            </w:r>
          </w:p>
        </w:tc>
        <w:tc>
          <w:tcPr>
            <w:tcW w:w="1559" w:type="dxa"/>
          </w:tcPr>
          <w:p w:rsidR="000E1D3A" w:rsidRDefault="000E1D3A" w:rsidP="000E1D3A">
            <w:r>
              <w:t>Not past due and not impaired $000</w:t>
            </w:r>
          </w:p>
        </w:tc>
        <w:tc>
          <w:tcPr>
            <w:tcW w:w="1701" w:type="dxa"/>
          </w:tcPr>
          <w:p w:rsidR="000E1D3A" w:rsidRDefault="000E1D3A" w:rsidP="000E1D3A">
            <w:r>
              <w:t>Past due but not impaired (up to 1 month) $000</w:t>
            </w:r>
          </w:p>
        </w:tc>
        <w:tc>
          <w:tcPr>
            <w:tcW w:w="1633" w:type="dxa"/>
          </w:tcPr>
          <w:p w:rsidR="000E1D3A" w:rsidRDefault="000E1D3A" w:rsidP="000E1D3A">
            <w:r>
              <w:t>Past due but not impaired (1-3 months) $000</w:t>
            </w:r>
          </w:p>
        </w:tc>
        <w:tc>
          <w:tcPr>
            <w:tcW w:w="1744" w:type="dxa"/>
          </w:tcPr>
          <w:p w:rsidR="000E1D3A" w:rsidRDefault="000E1D3A" w:rsidP="000E1D3A">
            <w:r>
              <w:t>Past due but not impaired (3 months – 1 year) $000</w:t>
            </w:r>
          </w:p>
        </w:tc>
        <w:tc>
          <w:tcPr>
            <w:tcW w:w="1584" w:type="dxa"/>
          </w:tcPr>
          <w:p w:rsidR="000E1D3A" w:rsidRDefault="000E1D3A" w:rsidP="000E1D3A">
            <w:r>
              <w:t>Past due but not impaired (1-5 years) $000</w:t>
            </w:r>
          </w:p>
        </w:tc>
        <w:tc>
          <w:tcPr>
            <w:tcW w:w="1701" w:type="dxa"/>
          </w:tcPr>
          <w:p w:rsidR="000E1D3A" w:rsidRDefault="000E1D3A" w:rsidP="000E1D3A">
            <w:r>
              <w:t>Impaired financial assets $000</w:t>
            </w:r>
          </w:p>
        </w:tc>
      </w:tr>
      <w:tr w:rsidR="000E1D3A" w:rsidTr="000E1D3A">
        <w:tc>
          <w:tcPr>
            <w:tcW w:w="2268" w:type="dxa"/>
          </w:tcPr>
          <w:p w:rsidR="000E1D3A" w:rsidRDefault="000E1D3A" w:rsidP="000E1D3A">
            <w:r>
              <w:rPr>
                <w:sz w:val="24"/>
              </w:rPr>
              <w:t>Cash and cash equivalents</w:t>
            </w:r>
          </w:p>
        </w:tc>
        <w:tc>
          <w:tcPr>
            <w:tcW w:w="993" w:type="dxa"/>
          </w:tcPr>
          <w:p w:rsidR="000E1D3A" w:rsidRDefault="000E1D3A" w:rsidP="000E1D3A">
            <w:r>
              <w:t>3062</w:t>
            </w:r>
          </w:p>
        </w:tc>
        <w:tc>
          <w:tcPr>
            <w:tcW w:w="1559" w:type="dxa"/>
          </w:tcPr>
          <w:p w:rsidR="000E1D3A" w:rsidRDefault="000E1D3A" w:rsidP="000E1D3A">
            <w:r>
              <w:t>3062</w:t>
            </w:r>
          </w:p>
        </w:tc>
        <w:tc>
          <w:tcPr>
            <w:tcW w:w="1701" w:type="dxa"/>
          </w:tcPr>
          <w:p w:rsidR="000E1D3A" w:rsidRDefault="000E1D3A" w:rsidP="000E1D3A">
            <w:r>
              <w:t>0</w:t>
            </w:r>
          </w:p>
        </w:tc>
        <w:tc>
          <w:tcPr>
            <w:tcW w:w="1633" w:type="dxa"/>
          </w:tcPr>
          <w:p w:rsidR="000E1D3A" w:rsidRDefault="000E1D3A" w:rsidP="000E1D3A">
            <w:r>
              <w:t>0</w:t>
            </w:r>
          </w:p>
        </w:tc>
        <w:tc>
          <w:tcPr>
            <w:tcW w:w="1744" w:type="dxa"/>
          </w:tcPr>
          <w:p w:rsidR="000E1D3A" w:rsidRDefault="000E1D3A" w:rsidP="000E1D3A">
            <w:r>
              <w:t>0</w:t>
            </w:r>
          </w:p>
        </w:tc>
        <w:tc>
          <w:tcPr>
            <w:tcW w:w="1584" w:type="dxa"/>
          </w:tcPr>
          <w:p w:rsidR="000E1D3A" w:rsidRDefault="000E1D3A" w:rsidP="000E1D3A">
            <w:r>
              <w:t>0</w:t>
            </w:r>
          </w:p>
        </w:tc>
        <w:tc>
          <w:tcPr>
            <w:tcW w:w="1701" w:type="dxa"/>
          </w:tcPr>
          <w:p w:rsidR="000E1D3A" w:rsidRDefault="000E1D3A" w:rsidP="000E1D3A">
            <w:r>
              <w:t>0</w:t>
            </w:r>
          </w:p>
        </w:tc>
      </w:tr>
      <w:tr w:rsidR="000E1D3A" w:rsidTr="000E1D3A">
        <w:tc>
          <w:tcPr>
            <w:tcW w:w="2268" w:type="dxa"/>
          </w:tcPr>
          <w:p w:rsidR="000E1D3A" w:rsidRPr="00137DC8" w:rsidRDefault="000E1D3A" w:rsidP="000E1D3A">
            <w:pPr>
              <w:rPr>
                <w:b/>
              </w:rPr>
            </w:pPr>
            <w:r>
              <w:rPr>
                <w:sz w:val="24"/>
              </w:rPr>
              <w:t>Receivables</w:t>
            </w:r>
            <w:r>
              <w:rPr>
                <w:position w:val="8"/>
                <w:sz w:val="14"/>
              </w:rPr>
              <w:t>(a)</w:t>
            </w:r>
          </w:p>
        </w:tc>
        <w:tc>
          <w:tcPr>
            <w:tcW w:w="993" w:type="dxa"/>
          </w:tcPr>
          <w:p w:rsidR="000E1D3A" w:rsidRDefault="000E1D3A" w:rsidP="000E1D3A">
            <w:r>
              <w:t>99</w:t>
            </w:r>
          </w:p>
        </w:tc>
        <w:tc>
          <w:tcPr>
            <w:tcW w:w="1559" w:type="dxa"/>
          </w:tcPr>
          <w:p w:rsidR="000E1D3A" w:rsidRDefault="000E1D3A" w:rsidP="000E1D3A">
            <w:r>
              <w:t>0</w:t>
            </w:r>
          </w:p>
        </w:tc>
        <w:tc>
          <w:tcPr>
            <w:tcW w:w="1701" w:type="dxa"/>
          </w:tcPr>
          <w:p w:rsidR="000E1D3A" w:rsidRDefault="000E1D3A" w:rsidP="000E1D3A">
            <w:r>
              <w:t>98</w:t>
            </w:r>
          </w:p>
        </w:tc>
        <w:tc>
          <w:tcPr>
            <w:tcW w:w="1633" w:type="dxa"/>
          </w:tcPr>
          <w:p w:rsidR="000E1D3A" w:rsidRDefault="000E1D3A" w:rsidP="000E1D3A">
            <w:r>
              <w:t>0</w:t>
            </w:r>
          </w:p>
        </w:tc>
        <w:tc>
          <w:tcPr>
            <w:tcW w:w="1744" w:type="dxa"/>
          </w:tcPr>
          <w:p w:rsidR="000E1D3A" w:rsidRDefault="000E1D3A" w:rsidP="000E1D3A">
            <w:r>
              <w:t>1</w:t>
            </w:r>
          </w:p>
        </w:tc>
        <w:tc>
          <w:tcPr>
            <w:tcW w:w="1584" w:type="dxa"/>
          </w:tcPr>
          <w:p w:rsidR="000E1D3A" w:rsidRDefault="000E1D3A" w:rsidP="000E1D3A">
            <w:r>
              <w:t>0</w:t>
            </w:r>
          </w:p>
        </w:tc>
        <w:tc>
          <w:tcPr>
            <w:tcW w:w="1701" w:type="dxa"/>
          </w:tcPr>
          <w:p w:rsidR="000E1D3A" w:rsidRDefault="000E1D3A" w:rsidP="000E1D3A">
            <w:r>
              <w:t>0</w:t>
            </w:r>
          </w:p>
        </w:tc>
      </w:tr>
      <w:tr w:rsidR="000E1D3A" w:rsidTr="000E1D3A">
        <w:tc>
          <w:tcPr>
            <w:tcW w:w="2268" w:type="dxa"/>
          </w:tcPr>
          <w:p w:rsidR="000E1D3A" w:rsidRDefault="000E1D3A" w:rsidP="000E1D3A">
            <w:pPr>
              <w:rPr>
                <w:sz w:val="24"/>
              </w:rPr>
            </w:pPr>
            <w:r>
              <w:rPr>
                <w:sz w:val="24"/>
              </w:rPr>
              <w:t>Total</w:t>
            </w:r>
          </w:p>
        </w:tc>
        <w:tc>
          <w:tcPr>
            <w:tcW w:w="993" w:type="dxa"/>
          </w:tcPr>
          <w:p w:rsidR="000E1D3A" w:rsidRDefault="000E1D3A" w:rsidP="000E1D3A">
            <w:r>
              <w:t>3161</w:t>
            </w:r>
          </w:p>
        </w:tc>
        <w:tc>
          <w:tcPr>
            <w:tcW w:w="1559" w:type="dxa"/>
          </w:tcPr>
          <w:p w:rsidR="000E1D3A" w:rsidRDefault="000E1D3A" w:rsidP="000E1D3A">
            <w:r>
              <w:t>3062</w:t>
            </w:r>
          </w:p>
        </w:tc>
        <w:tc>
          <w:tcPr>
            <w:tcW w:w="1701" w:type="dxa"/>
          </w:tcPr>
          <w:p w:rsidR="000E1D3A" w:rsidRDefault="000E1D3A" w:rsidP="000E1D3A">
            <w:r>
              <w:t>98</w:t>
            </w:r>
          </w:p>
        </w:tc>
        <w:tc>
          <w:tcPr>
            <w:tcW w:w="1633" w:type="dxa"/>
          </w:tcPr>
          <w:p w:rsidR="000E1D3A" w:rsidRDefault="000E1D3A" w:rsidP="000E1D3A">
            <w:r>
              <w:t>0</w:t>
            </w:r>
          </w:p>
        </w:tc>
        <w:tc>
          <w:tcPr>
            <w:tcW w:w="1744" w:type="dxa"/>
          </w:tcPr>
          <w:p w:rsidR="000E1D3A" w:rsidRDefault="000E1D3A" w:rsidP="000E1D3A">
            <w:r>
              <w:t>1</w:t>
            </w:r>
          </w:p>
        </w:tc>
        <w:tc>
          <w:tcPr>
            <w:tcW w:w="1584" w:type="dxa"/>
          </w:tcPr>
          <w:p w:rsidR="000E1D3A" w:rsidRDefault="000E1D3A" w:rsidP="000E1D3A">
            <w:r>
              <w:t>0</w:t>
            </w:r>
          </w:p>
        </w:tc>
        <w:tc>
          <w:tcPr>
            <w:tcW w:w="1701" w:type="dxa"/>
          </w:tcPr>
          <w:p w:rsidR="000E1D3A" w:rsidRDefault="000E1D3A" w:rsidP="000E1D3A">
            <w:r>
              <w:t>0</w:t>
            </w:r>
          </w:p>
        </w:tc>
      </w:tr>
    </w:tbl>
    <w:p w:rsidR="000E1D3A" w:rsidRDefault="000E1D3A">
      <w:pPr>
        <w:spacing w:before="201"/>
        <w:ind w:left="680"/>
        <w:jc w:val="both"/>
        <w:rPr>
          <w:sz w:val="20"/>
        </w:rPr>
      </w:pPr>
    </w:p>
    <w:tbl>
      <w:tblPr>
        <w:tblW w:w="131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992"/>
        <w:gridCol w:w="1418"/>
        <w:gridCol w:w="1701"/>
        <w:gridCol w:w="1701"/>
        <w:gridCol w:w="1701"/>
        <w:gridCol w:w="1559"/>
        <w:gridCol w:w="1701"/>
      </w:tblGrid>
      <w:tr w:rsidR="000E1D3A" w:rsidTr="000E1D3A">
        <w:trPr>
          <w:trHeight w:val="347"/>
        </w:trPr>
        <w:tc>
          <w:tcPr>
            <w:tcW w:w="2410" w:type="dxa"/>
          </w:tcPr>
          <w:p w:rsidR="000E1D3A" w:rsidRPr="006604EC" w:rsidRDefault="000E1D3A" w:rsidP="000E1D3A">
            <w:pPr>
              <w:pStyle w:val="TableParagraph"/>
              <w:spacing w:before="9"/>
              <w:ind w:left="50"/>
              <w:rPr>
                <w:sz w:val="24"/>
              </w:rPr>
            </w:pPr>
            <w:r w:rsidRPr="006604EC">
              <w:rPr>
                <w:sz w:val="24"/>
              </w:rPr>
              <w:t>2017</w:t>
            </w:r>
          </w:p>
        </w:tc>
        <w:tc>
          <w:tcPr>
            <w:tcW w:w="992" w:type="dxa"/>
            <w:shd w:val="clear" w:color="auto" w:fill="auto"/>
          </w:tcPr>
          <w:p w:rsidR="000E1D3A" w:rsidRDefault="000E1D3A" w:rsidP="000E1D3A">
            <w:pPr>
              <w:pStyle w:val="TableParagraph"/>
              <w:rPr>
                <w:rFonts w:ascii="Times New Roman"/>
              </w:rPr>
            </w:pPr>
            <w:r>
              <w:t>Carrying Amount $000</w:t>
            </w:r>
          </w:p>
        </w:tc>
        <w:tc>
          <w:tcPr>
            <w:tcW w:w="1418" w:type="dxa"/>
          </w:tcPr>
          <w:p w:rsidR="000E1D3A" w:rsidRDefault="000E1D3A" w:rsidP="000E1D3A">
            <w:pPr>
              <w:pStyle w:val="TableParagraph"/>
              <w:rPr>
                <w:rFonts w:ascii="Times New Roman"/>
              </w:rPr>
            </w:pPr>
            <w:r>
              <w:t>Not past due and not impaired $000</w:t>
            </w:r>
          </w:p>
        </w:tc>
        <w:tc>
          <w:tcPr>
            <w:tcW w:w="1701" w:type="dxa"/>
          </w:tcPr>
          <w:p w:rsidR="000E1D3A" w:rsidRDefault="000E1D3A" w:rsidP="000E1D3A">
            <w:pPr>
              <w:pStyle w:val="TableParagraph"/>
              <w:rPr>
                <w:rFonts w:ascii="Times New Roman"/>
              </w:rPr>
            </w:pPr>
            <w:r>
              <w:t>Past due but not impaired (up to 1 month) $000</w:t>
            </w:r>
          </w:p>
        </w:tc>
        <w:tc>
          <w:tcPr>
            <w:tcW w:w="1701" w:type="dxa"/>
          </w:tcPr>
          <w:p w:rsidR="000E1D3A" w:rsidRDefault="000E1D3A" w:rsidP="000E1D3A">
            <w:pPr>
              <w:pStyle w:val="TableParagraph"/>
              <w:rPr>
                <w:rFonts w:ascii="Times New Roman"/>
              </w:rPr>
            </w:pPr>
            <w:r>
              <w:t>Past due but not impaired (1-3 months) $000</w:t>
            </w:r>
          </w:p>
        </w:tc>
        <w:tc>
          <w:tcPr>
            <w:tcW w:w="1701" w:type="dxa"/>
          </w:tcPr>
          <w:p w:rsidR="000E1D3A" w:rsidRDefault="000E1D3A" w:rsidP="000E1D3A">
            <w:pPr>
              <w:pStyle w:val="TableParagraph"/>
              <w:rPr>
                <w:rFonts w:ascii="Times New Roman"/>
              </w:rPr>
            </w:pPr>
            <w:r>
              <w:t>Past due but not impaired (3 months – 1 year) $000</w:t>
            </w:r>
          </w:p>
        </w:tc>
        <w:tc>
          <w:tcPr>
            <w:tcW w:w="1559" w:type="dxa"/>
          </w:tcPr>
          <w:p w:rsidR="000E1D3A" w:rsidRDefault="000E1D3A" w:rsidP="000E1D3A">
            <w:pPr>
              <w:pStyle w:val="TableParagraph"/>
              <w:rPr>
                <w:rFonts w:ascii="Times New Roman"/>
              </w:rPr>
            </w:pPr>
            <w:r>
              <w:t>Past due but not impaired (1-5 years) $000</w:t>
            </w:r>
          </w:p>
        </w:tc>
        <w:tc>
          <w:tcPr>
            <w:tcW w:w="1701" w:type="dxa"/>
          </w:tcPr>
          <w:p w:rsidR="000E1D3A" w:rsidRDefault="000E1D3A" w:rsidP="000E1D3A">
            <w:pPr>
              <w:pStyle w:val="TableParagraph"/>
              <w:ind w:right="850"/>
              <w:rPr>
                <w:rFonts w:ascii="Times New Roman"/>
              </w:rPr>
            </w:pPr>
            <w:r>
              <w:t>Impaired financial assets $000</w:t>
            </w:r>
          </w:p>
        </w:tc>
      </w:tr>
      <w:tr w:rsidR="000E1D3A" w:rsidTr="000E1D3A">
        <w:trPr>
          <w:trHeight w:val="338"/>
        </w:trPr>
        <w:tc>
          <w:tcPr>
            <w:tcW w:w="2410" w:type="dxa"/>
          </w:tcPr>
          <w:p w:rsidR="000E1D3A" w:rsidRDefault="000E1D3A" w:rsidP="000E1D3A">
            <w:pPr>
              <w:pStyle w:val="TableParagraph"/>
              <w:spacing w:before="1"/>
              <w:ind w:left="50"/>
              <w:rPr>
                <w:sz w:val="24"/>
              </w:rPr>
            </w:pPr>
            <w:r>
              <w:rPr>
                <w:sz w:val="24"/>
              </w:rPr>
              <w:t>Cash and cash equivalents</w:t>
            </w:r>
          </w:p>
        </w:tc>
        <w:tc>
          <w:tcPr>
            <w:tcW w:w="992" w:type="dxa"/>
            <w:shd w:val="clear" w:color="auto" w:fill="auto"/>
          </w:tcPr>
          <w:p w:rsidR="000E1D3A" w:rsidRDefault="000E1D3A" w:rsidP="000E1D3A">
            <w:pPr>
              <w:pStyle w:val="TableParagraph"/>
              <w:spacing w:before="2"/>
              <w:ind w:right="78"/>
              <w:jc w:val="right"/>
              <w:rPr>
                <w:sz w:val="24"/>
              </w:rPr>
            </w:pPr>
            <w:r>
              <w:rPr>
                <w:sz w:val="24"/>
              </w:rPr>
              <w:t>5,177</w:t>
            </w:r>
          </w:p>
        </w:tc>
        <w:tc>
          <w:tcPr>
            <w:tcW w:w="1418" w:type="dxa"/>
          </w:tcPr>
          <w:p w:rsidR="000E1D3A" w:rsidRDefault="000E1D3A" w:rsidP="000E1D3A">
            <w:pPr>
              <w:pStyle w:val="TableParagraph"/>
              <w:spacing w:before="2"/>
              <w:ind w:right="71"/>
              <w:jc w:val="right"/>
              <w:rPr>
                <w:sz w:val="24"/>
              </w:rPr>
            </w:pPr>
            <w:r>
              <w:rPr>
                <w:sz w:val="24"/>
              </w:rPr>
              <w:t>5,177</w:t>
            </w:r>
          </w:p>
        </w:tc>
        <w:tc>
          <w:tcPr>
            <w:tcW w:w="1701" w:type="dxa"/>
          </w:tcPr>
          <w:p w:rsidR="000E1D3A" w:rsidRDefault="000E1D3A" w:rsidP="000E1D3A">
            <w:pPr>
              <w:pStyle w:val="TableParagraph"/>
              <w:spacing w:before="2"/>
              <w:ind w:right="302"/>
              <w:jc w:val="right"/>
              <w:rPr>
                <w:sz w:val="24"/>
              </w:rPr>
            </w:pPr>
            <w:r>
              <w:rPr>
                <w:sz w:val="24"/>
              </w:rPr>
              <w:t>0</w:t>
            </w:r>
          </w:p>
        </w:tc>
        <w:tc>
          <w:tcPr>
            <w:tcW w:w="1701" w:type="dxa"/>
          </w:tcPr>
          <w:p w:rsidR="000E1D3A" w:rsidRDefault="000E1D3A" w:rsidP="000E1D3A">
            <w:pPr>
              <w:pStyle w:val="TableParagraph"/>
              <w:spacing w:before="2"/>
              <w:ind w:right="214"/>
              <w:jc w:val="right"/>
              <w:rPr>
                <w:sz w:val="24"/>
              </w:rPr>
            </w:pPr>
            <w:r>
              <w:rPr>
                <w:sz w:val="24"/>
              </w:rPr>
              <w:t>0</w:t>
            </w:r>
          </w:p>
        </w:tc>
        <w:tc>
          <w:tcPr>
            <w:tcW w:w="1701" w:type="dxa"/>
          </w:tcPr>
          <w:p w:rsidR="000E1D3A" w:rsidRDefault="000E1D3A" w:rsidP="000E1D3A">
            <w:pPr>
              <w:pStyle w:val="TableParagraph"/>
              <w:spacing w:before="2"/>
              <w:ind w:right="177"/>
              <w:jc w:val="right"/>
              <w:rPr>
                <w:sz w:val="24"/>
              </w:rPr>
            </w:pPr>
            <w:r>
              <w:rPr>
                <w:sz w:val="24"/>
              </w:rPr>
              <w:t>0</w:t>
            </w:r>
          </w:p>
        </w:tc>
        <w:tc>
          <w:tcPr>
            <w:tcW w:w="1559" w:type="dxa"/>
          </w:tcPr>
          <w:p w:rsidR="000E1D3A" w:rsidRDefault="000E1D3A" w:rsidP="000E1D3A">
            <w:pPr>
              <w:pStyle w:val="TableParagraph"/>
              <w:spacing w:before="2"/>
              <w:ind w:right="73"/>
              <w:jc w:val="right"/>
              <w:rPr>
                <w:sz w:val="24"/>
              </w:rPr>
            </w:pPr>
            <w:r>
              <w:rPr>
                <w:sz w:val="24"/>
              </w:rPr>
              <w:t>0</w:t>
            </w:r>
          </w:p>
        </w:tc>
        <w:tc>
          <w:tcPr>
            <w:tcW w:w="1701" w:type="dxa"/>
          </w:tcPr>
          <w:p w:rsidR="000E1D3A" w:rsidRDefault="000E1D3A" w:rsidP="000E1D3A">
            <w:pPr>
              <w:pStyle w:val="TableParagraph"/>
              <w:spacing w:before="2"/>
              <w:ind w:right="850"/>
              <w:jc w:val="right"/>
              <w:rPr>
                <w:sz w:val="24"/>
              </w:rPr>
            </w:pPr>
            <w:r>
              <w:rPr>
                <w:sz w:val="24"/>
              </w:rPr>
              <w:t>0</w:t>
            </w:r>
          </w:p>
        </w:tc>
      </w:tr>
      <w:tr w:rsidR="000E1D3A" w:rsidTr="000E1D3A">
        <w:trPr>
          <w:trHeight w:val="304"/>
        </w:trPr>
        <w:tc>
          <w:tcPr>
            <w:tcW w:w="2410" w:type="dxa"/>
          </w:tcPr>
          <w:p w:rsidR="000E1D3A" w:rsidRDefault="000E1D3A" w:rsidP="000E1D3A">
            <w:pPr>
              <w:pStyle w:val="TableParagraph"/>
              <w:spacing w:before="4" w:line="281" w:lineRule="exact"/>
              <w:ind w:left="50"/>
              <w:rPr>
                <w:sz w:val="14"/>
              </w:rPr>
            </w:pPr>
            <w:r>
              <w:rPr>
                <w:sz w:val="24"/>
              </w:rPr>
              <w:t>Receivables</w:t>
            </w:r>
            <w:r>
              <w:rPr>
                <w:position w:val="8"/>
                <w:sz w:val="14"/>
              </w:rPr>
              <w:t>(a)</w:t>
            </w:r>
          </w:p>
        </w:tc>
        <w:tc>
          <w:tcPr>
            <w:tcW w:w="992" w:type="dxa"/>
            <w:shd w:val="clear" w:color="auto" w:fill="auto"/>
          </w:tcPr>
          <w:p w:rsidR="000E1D3A" w:rsidRDefault="000E1D3A" w:rsidP="000E1D3A">
            <w:pPr>
              <w:pStyle w:val="TableParagraph"/>
              <w:spacing w:before="3" w:line="281" w:lineRule="exact"/>
              <w:ind w:right="78"/>
              <w:jc w:val="right"/>
              <w:rPr>
                <w:sz w:val="24"/>
              </w:rPr>
            </w:pPr>
            <w:r>
              <w:rPr>
                <w:sz w:val="24"/>
              </w:rPr>
              <w:t>0</w:t>
            </w:r>
          </w:p>
        </w:tc>
        <w:tc>
          <w:tcPr>
            <w:tcW w:w="1418" w:type="dxa"/>
          </w:tcPr>
          <w:p w:rsidR="000E1D3A" w:rsidRDefault="000E1D3A" w:rsidP="000E1D3A">
            <w:pPr>
              <w:pStyle w:val="TableParagraph"/>
              <w:spacing w:before="3" w:line="281" w:lineRule="exact"/>
              <w:ind w:right="70"/>
              <w:jc w:val="right"/>
              <w:rPr>
                <w:sz w:val="24"/>
              </w:rPr>
            </w:pPr>
            <w:r>
              <w:rPr>
                <w:sz w:val="24"/>
              </w:rPr>
              <w:t>0</w:t>
            </w:r>
          </w:p>
        </w:tc>
        <w:tc>
          <w:tcPr>
            <w:tcW w:w="1701" w:type="dxa"/>
          </w:tcPr>
          <w:p w:rsidR="000E1D3A" w:rsidRDefault="000E1D3A" w:rsidP="000E1D3A">
            <w:pPr>
              <w:pStyle w:val="TableParagraph"/>
              <w:spacing w:before="3" w:line="281" w:lineRule="exact"/>
              <w:ind w:right="301"/>
              <w:jc w:val="right"/>
              <w:rPr>
                <w:sz w:val="24"/>
              </w:rPr>
            </w:pPr>
            <w:r>
              <w:rPr>
                <w:sz w:val="24"/>
              </w:rPr>
              <w:t>0</w:t>
            </w:r>
          </w:p>
        </w:tc>
        <w:tc>
          <w:tcPr>
            <w:tcW w:w="1701" w:type="dxa"/>
          </w:tcPr>
          <w:p w:rsidR="000E1D3A" w:rsidRDefault="000E1D3A" w:rsidP="000E1D3A">
            <w:pPr>
              <w:pStyle w:val="TableParagraph"/>
              <w:spacing w:before="3" w:line="281" w:lineRule="exact"/>
              <w:ind w:right="214"/>
              <w:jc w:val="right"/>
              <w:rPr>
                <w:sz w:val="24"/>
              </w:rPr>
            </w:pPr>
            <w:r>
              <w:rPr>
                <w:sz w:val="24"/>
              </w:rPr>
              <w:t>0</w:t>
            </w:r>
          </w:p>
        </w:tc>
        <w:tc>
          <w:tcPr>
            <w:tcW w:w="1701" w:type="dxa"/>
          </w:tcPr>
          <w:p w:rsidR="000E1D3A" w:rsidRDefault="000E1D3A" w:rsidP="000E1D3A">
            <w:pPr>
              <w:pStyle w:val="TableParagraph"/>
              <w:spacing w:before="3" w:line="281" w:lineRule="exact"/>
              <w:ind w:right="176"/>
              <w:jc w:val="right"/>
              <w:rPr>
                <w:sz w:val="24"/>
              </w:rPr>
            </w:pPr>
            <w:r>
              <w:rPr>
                <w:sz w:val="24"/>
              </w:rPr>
              <w:t>0</w:t>
            </w:r>
          </w:p>
        </w:tc>
        <w:tc>
          <w:tcPr>
            <w:tcW w:w="1559" w:type="dxa"/>
          </w:tcPr>
          <w:p w:rsidR="000E1D3A" w:rsidRDefault="000E1D3A" w:rsidP="000E1D3A">
            <w:pPr>
              <w:pStyle w:val="TableParagraph"/>
              <w:spacing w:before="3" w:line="281" w:lineRule="exact"/>
              <w:ind w:right="72"/>
              <w:jc w:val="right"/>
              <w:rPr>
                <w:sz w:val="24"/>
              </w:rPr>
            </w:pPr>
            <w:r>
              <w:rPr>
                <w:sz w:val="24"/>
              </w:rPr>
              <w:t>0</w:t>
            </w:r>
          </w:p>
        </w:tc>
        <w:tc>
          <w:tcPr>
            <w:tcW w:w="1701" w:type="dxa"/>
          </w:tcPr>
          <w:p w:rsidR="000E1D3A" w:rsidRDefault="000E1D3A" w:rsidP="000E1D3A">
            <w:pPr>
              <w:pStyle w:val="TableParagraph"/>
              <w:spacing w:before="3" w:line="281" w:lineRule="exact"/>
              <w:ind w:right="850"/>
              <w:jc w:val="right"/>
              <w:rPr>
                <w:sz w:val="24"/>
              </w:rPr>
            </w:pPr>
            <w:r>
              <w:rPr>
                <w:sz w:val="24"/>
              </w:rPr>
              <w:t>0</w:t>
            </w:r>
          </w:p>
        </w:tc>
      </w:tr>
      <w:tr w:rsidR="000E1D3A" w:rsidTr="000E1D3A">
        <w:trPr>
          <w:trHeight w:val="317"/>
        </w:trPr>
        <w:tc>
          <w:tcPr>
            <w:tcW w:w="2410" w:type="dxa"/>
          </w:tcPr>
          <w:p w:rsidR="000E1D3A" w:rsidRDefault="000E1D3A" w:rsidP="000E1D3A">
            <w:pPr>
              <w:pStyle w:val="TableParagraph"/>
              <w:spacing w:before="4" w:line="281" w:lineRule="exact"/>
              <w:ind w:left="50"/>
              <w:rPr>
                <w:rFonts w:ascii="Times New Roman"/>
              </w:rPr>
            </w:pPr>
            <w:r w:rsidRPr="00834665">
              <w:rPr>
                <w:sz w:val="24"/>
              </w:rPr>
              <w:t>Total</w:t>
            </w:r>
          </w:p>
        </w:tc>
        <w:tc>
          <w:tcPr>
            <w:tcW w:w="992" w:type="dxa"/>
            <w:shd w:val="clear" w:color="auto" w:fill="auto"/>
          </w:tcPr>
          <w:p w:rsidR="000E1D3A" w:rsidRPr="0054212C" w:rsidRDefault="000E1D3A" w:rsidP="000E1D3A">
            <w:pPr>
              <w:pStyle w:val="TableParagraph"/>
              <w:spacing w:before="24" w:line="274" w:lineRule="exact"/>
              <w:ind w:right="78"/>
              <w:jc w:val="right"/>
              <w:rPr>
                <w:sz w:val="24"/>
              </w:rPr>
            </w:pPr>
            <w:r w:rsidRPr="0054212C">
              <w:rPr>
                <w:sz w:val="24"/>
              </w:rPr>
              <w:t>5,177</w:t>
            </w:r>
          </w:p>
        </w:tc>
        <w:tc>
          <w:tcPr>
            <w:tcW w:w="1418" w:type="dxa"/>
          </w:tcPr>
          <w:p w:rsidR="000E1D3A" w:rsidRPr="0054212C" w:rsidRDefault="000E1D3A" w:rsidP="000E1D3A">
            <w:pPr>
              <w:pStyle w:val="TableParagraph"/>
              <w:spacing w:before="24" w:line="274" w:lineRule="exact"/>
              <w:ind w:right="70"/>
              <w:jc w:val="right"/>
              <w:rPr>
                <w:sz w:val="24"/>
              </w:rPr>
            </w:pPr>
            <w:r w:rsidRPr="0054212C">
              <w:rPr>
                <w:sz w:val="24"/>
              </w:rPr>
              <w:t>5,177</w:t>
            </w:r>
          </w:p>
        </w:tc>
        <w:tc>
          <w:tcPr>
            <w:tcW w:w="1701" w:type="dxa"/>
          </w:tcPr>
          <w:p w:rsidR="000E1D3A" w:rsidRPr="0054212C" w:rsidRDefault="000E1D3A" w:rsidP="000E1D3A">
            <w:pPr>
              <w:pStyle w:val="TableParagraph"/>
              <w:spacing w:before="24" w:line="274" w:lineRule="exact"/>
              <w:ind w:right="302"/>
              <w:jc w:val="right"/>
              <w:rPr>
                <w:sz w:val="24"/>
              </w:rPr>
            </w:pPr>
            <w:r w:rsidRPr="0054212C">
              <w:rPr>
                <w:sz w:val="24"/>
              </w:rPr>
              <w:t>0</w:t>
            </w:r>
          </w:p>
        </w:tc>
        <w:tc>
          <w:tcPr>
            <w:tcW w:w="1701" w:type="dxa"/>
          </w:tcPr>
          <w:p w:rsidR="000E1D3A" w:rsidRPr="0054212C" w:rsidRDefault="000E1D3A" w:rsidP="000E1D3A">
            <w:pPr>
              <w:pStyle w:val="TableParagraph"/>
              <w:spacing w:before="24" w:line="274" w:lineRule="exact"/>
              <w:ind w:right="214"/>
              <w:jc w:val="right"/>
              <w:rPr>
                <w:sz w:val="24"/>
              </w:rPr>
            </w:pPr>
            <w:r w:rsidRPr="0054212C">
              <w:rPr>
                <w:sz w:val="24"/>
              </w:rPr>
              <w:t>0</w:t>
            </w:r>
          </w:p>
        </w:tc>
        <w:tc>
          <w:tcPr>
            <w:tcW w:w="1701" w:type="dxa"/>
          </w:tcPr>
          <w:p w:rsidR="000E1D3A" w:rsidRPr="0054212C" w:rsidRDefault="000E1D3A" w:rsidP="000E1D3A">
            <w:pPr>
              <w:pStyle w:val="TableParagraph"/>
              <w:spacing w:before="24" w:line="274" w:lineRule="exact"/>
              <w:ind w:right="177"/>
              <w:jc w:val="right"/>
              <w:rPr>
                <w:sz w:val="24"/>
              </w:rPr>
            </w:pPr>
            <w:r w:rsidRPr="0054212C">
              <w:rPr>
                <w:sz w:val="24"/>
              </w:rPr>
              <w:t>0</w:t>
            </w:r>
          </w:p>
        </w:tc>
        <w:tc>
          <w:tcPr>
            <w:tcW w:w="1559" w:type="dxa"/>
          </w:tcPr>
          <w:p w:rsidR="000E1D3A" w:rsidRPr="0054212C" w:rsidRDefault="000E1D3A" w:rsidP="000E1D3A">
            <w:pPr>
              <w:pStyle w:val="TableParagraph"/>
              <w:spacing w:before="24" w:line="274" w:lineRule="exact"/>
              <w:ind w:right="73"/>
              <w:jc w:val="right"/>
              <w:rPr>
                <w:sz w:val="24"/>
              </w:rPr>
            </w:pPr>
            <w:r w:rsidRPr="0054212C">
              <w:rPr>
                <w:sz w:val="24"/>
              </w:rPr>
              <w:t>0</w:t>
            </w:r>
          </w:p>
        </w:tc>
        <w:tc>
          <w:tcPr>
            <w:tcW w:w="1701" w:type="dxa"/>
          </w:tcPr>
          <w:p w:rsidR="000E1D3A" w:rsidRPr="0054212C" w:rsidRDefault="000E1D3A" w:rsidP="000E1D3A">
            <w:pPr>
              <w:pStyle w:val="TableParagraph"/>
              <w:spacing w:before="24" w:line="274" w:lineRule="exact"/>
              <w:ind w:right="850"/>
              <w:jc w:val="right"/>
              <w:rPr>
                <w:sz w:val="24"/>
              </w:rPr>
            </w:pPr>
            <w:r w:rsidRPr="0054212C">
              <w:rPr>
                <w:sz w:val="24"/>
              </w:rPr>
              <w:t>0</w:t>
            </w:r>
          </w:p>
        </w:tc>
      </w:tr>
    </w:tbl>
    <w:p w:rsidR="00A1463E" w:rsidRDefault="00F52429" w:rsidP="000E1D3A">
      <w:pPr>
        <w:spacing w:before="201"/>
        <w:ind w:left="567"/>
        <w:jc w:val="both"/>
        <w:rPr>
          <w:sz w:val="20"/>
        </w:rPr>
      </w:pPr>
      <w:r>
        <w:rPr>
          <w:sz w:val="20"/>
        </w:rPr>
        <w:t>(a) The amount of receivables excludes the GST recoverable from the ATO (statutory receivable).</w:t>
      </w:r>
    </w:p>
    <w:p w:rsidR="00A1463E" w:rsidRDefault="00A1463E">
      <w:pPr>
        <w:jc w:val="both"/>
        <w:rPr>
          <w:sz w:val="20"/>
        </w:rPr>
        <w:sectPr w:rsidR="00A1463E">
          <w:pgSz w:w="16840" w:h="11910" w:orient="landscape"/>
          <w:pgMar w:top="540" w:right="0" w:bottom="360" w:left="0" w:header="229" w:footer="145" w:gutter="0"/>
          <w:cols w:space="720"/>
        </w:sectPr>
      </w:pP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F52429">
      <w:pPr>
        <w:spacing w:before="26" w:line="290" w:lineRule="exact"/>
        <w:ind w:left="685"/>
        <w:rPr>
          <w:i/>
          <w:sz w:val="24"/>
        </w:rPr>
      </w:pPr>
      <w:r>
        <w:rPr>
          <w:i/>
          <w:sz w:val="24"/>
        </w:rPr>
        <w:t>Liquidity risk and interest rate exposure</w:t>
      </w:r>
    </w:p>
    <w:p w:rsidR="00A1463E" w:rsidRDefault="00F52429">
      <w:pPr>
        <w:pStyle w:val="BodyText"/>
        <w:spacing w:before="2" w:line="235" w:lineRule="auto"/>
        <w:ind w:left="685" w:right="678"/>
      </w:pPr>
      <w:r>
        <w:t>The following table details the sub-department’s interest rate exposure and the contractual maturity analysis of financial assets and financial liabilities. The maturity analysis section includes interest and principal cash flows. The interest rate exposure section analyses only the carrying amounts of each item.</w:t>
      </w:r>
    </w:p>
    <w:p w:rsidR="00A1463E" w:rsidRDefault="00F52429">
      <w:pPr>
        <w:pStyle w:val="Heading4"/>
        <w:spacing w:before="111" w:after="16"/>
        <w:ind w:left="4283"/>
      </w:pPr>
      <w:r>
        <w:t>Interest rate exposure and maturity analysis of financial assets and financial liabilities</w:t>
      </w:r>
    </w:p>
    <w:p w:rsidR="00B73196" w:rsidRDefault="00B73196">
      <w:pPr>
        <w:tabs>
          <w:tab w:val="left" w:pos="8923"/>
        </w:tabs>
        <w:spacing w:before="33"/>
        <w:ind w:left="685"/>
        <w:rPr>
          <w:spacing w:val="-4"/>
          <w:sz w:val="20"/>
        </w:rPr>
      </w:pPr>
    </w:p>
    <w:tbl>
      <w:tblPr>
        <w:tblStyle w:val="TableGrid"/>
        <w:tblW w:w="0" w:type="auto"/>
        <w:tblInd w:w="709" w:type="dxa"/>
        <w:tblLook w:val="04A0" w:firstRow="1" w:lastRow="0" w:firstColumn="1" w:lastColumn="0" w:noHBand="0" w:noVBand="1"/>
        <w:tblCaption w:val="2018 financial assets"/>
        <w:tblDescription w:val="table showing figures for 2018 financial assets"/>
      </w:tblPr>
      <w:tblGrid>
        <w:gridCol w:w="1538"/>
        <w:gridCol w:w="1538"/>
        <w:gridCol w:w="1539"/>
        <w:gridCol w:w="1539"/>
        <w:gridCol w:w="1539"/>
        <w:gridCol w:w="1539"/>
        <w:gridCol w:w="1539"/>
        <w:gridCol w:w="1539"/>
        <w:gridCol w:w="1539"/>
        <w:gridCol w:w="1539"/>
      </w:tblGrid>
      <w:tr w:rsidR="00B73196" w:rsidTr="00250B68">
        <w:trPr>
          <w:tblHeader/>
        </w:trPr>
        <w:tc>
          <w:tcPr>
            <w:tcW w:w="1538" w:type="dxa"/>
          </w:tcPr>
          <w:p w:rsidR="00B73196" w:rsidRDefault="00B73196" w:rsidP="008724B9">
            <w:r>
              <w:t>2018 Financial assets</w:t>
            </w:r>
          </w:p>
        </w:tc>
        <w:tc>
          <w:tcPr>
            <w:tcW w:w="1538" w:type="dxa"/>
          </w:tcPr>
          <w:p w:rsidR="00B73196" w:rsidRDefault="00B73196" w:rsidP="008724B9">
            <w:r>
              <w:t>Interest rate exposure – Carrying amount $000</w:t>
            </w:r>
          </w:p>
        </w:tc>
        <w:tc>
          <w:tcPr>
            <w:tcW w:w="1539" w:type="dxa"/>
          </w:tcPr>
          <w:p w:rsidR="00B73196" w:rsidRDefault="00B73196" w:rsidP="008724B9">
            <w:r>
              <w:t>Interest rate exposure – fixed interest rate $000</w:t>
            </w:r>
          </w:p>
        </w:tc>
        <w:tc>
          <w:tcPr>
            <w:tcW w:w="1539" w:type="dxa"/>
          </w:tcPr>
          <w:p w:rsidR="00B73196" w:rsidRDefault="00B73196" w:rsidP="008724B9">
            <w:r>
              <w:t>Interest rate exposure – Variable interest rate $000</w:t>
            </w:r>
          </w:p>
        </w:tc>
        <w:tc>
          <w:tcPr>
            <w:tcW w:w="1539" w:type="dxa"/>
          </w:tcPr>
          <w:p w:rsidR="00B73196" w:rsidRDefault="00B73196" w:rsidP="008724B9">
            <w:r>
              <w:t>Interest rate exposure – non-interest bearing $000</w:t>
            </w:r>
          </w:p>
        </w:tc>
        <w:tc>
          <w:tcPr>
            <w:tcW w:w="1539" w:type="dxa"/>
          </w:tcPr>
          <w:p w:rsidR="00B73196" w:rsidRDefault="00B73196" w:rsidP="008724B9">
            <w:r>
              <w:t>Nominal amount $000</w:t>
            </w:r>
          </w:p>
        </w:tc>
        <w:tc>
          <w:tcPr>
            <w:tcW w:w="1539" w:type="dxa"/>
          </w:tcPr>
          <w:p w:rsidR="00B73196" w:rsidRDefault="00B73196" w:rsidP="008724B9">
            <w:r>
              <w:t>Maturity dates – up to 1 month $000</w:t>
            </w:r>
          </w:p>
        </w:tc>
        <w:tc>
          <w:tcPr>
            <w:tcW w:w="1539" w:type="dxa"/>
          </w:tcPr>
          <w:p w:rsidR="00B73196" w:rsidRDefault="00B73196" w:rsidP="008724B9">
            <w:r>
              <w:t>Maturity dates – 1-3 months $000</w:t>
            </w:r>
          </w:p>
        </w:tc>
        <w:tc>
          <w:tcPr>
            <w:tcW w:w="1539" w:type="dxa"/>
          </w:tcPr>
          <w:p w:rsidR="00B73196" w:rsidRDefault="00B73196" w:rsidP="008724B9">
            <w:r>
              <w:t>Maturity dates – 3 months to 1 year $000</w:t>
            </w:r>
          </w:p>
        </w:tc>
        <w:tc>
          <w:tcPr>
            <w:tcW w:w="1539" w:type="dxa"/>
          </w:tcPr>
          <w:p w:rsidR="00B73196" w:rsidRDefault="00B73196" w:rsidP="008724B9">
            <w:r>
              <w:t>Maturity dates – 1-5 years</w:t>
            </w:r>
          </w:p>
        </w:tc>
      </w:tr>
      <w:tr w:rsidR="00B73196" w:rsidTr="008724B9">
        <w:tc>
          <w:tcPr>
            <w:tcW w:w="1538" w:type="dxa"/>
          </w:tcPr>
          <w:p w:rsidR="00B73196" w:rsidRPr="00E47863" w:rsidRDefault="00B73196" w:rsidP="008724B9">
            <w:pPr>
              <w:rPr>
                <w:b/>
              </w:rPr>
            </w:pPr>
            <w:r>
              <w:rPr>
                <w:sz w:val="24"/>
              </w:rPr>
              <w:t>Cash and cash equivalents</w:t>
            </w:r>
          </w:p>
        </w:tc>
        <w:tc>
          <w:tcPr>
            <w:tcW w:w="1538" w:type="dxa"/>
          </w:tcPr>
          <w:p w:rsidR="00B73196" w:rsidRDefault="00B73196" w:rsidP="008724B9">
            <w:r>
              <w:t>3062</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3062</w:t>
            </w:r>
          </w:p>
        </w:tc>
        <w:tc>
          <w:tcPr>
            <w:tcW w:w="1539" w:type="dxa"/>
          </w:tcPr>
          <w:p w:rsidR="00B73196" w:rsidRDefault="00B73196" w:rsidP="008724B9">
            <w:r>
              <w:t>3062</w:t>
            </w:r>
          </w:p>
        </w:tc>
        <w:tc>
          <w:tcPr>
            <w:tcW w:w="1539" w:type="dxa"/>
          </w:tcPr>
          <w:p w:rsidR="00B73196" w:rsidRDefault="00B73196" w:rsidP="008724B9">
            <w:r>
              <w:t>3062</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0</w:t>
            </w:r>
          </w:p>
        </w:tc>
      </w:tr>
      <w:tr w:rsidR="00B73196" w:rsidTr="008724B9">
        <w:tc>
          <w:tcPr>
            <w:tcW w:w="1538" w:type="dxa"/>
          </w:tcPr>
          <w:p w:rsidR="00B73196" w:rsidRDefault="00B73196" w:rsidP="008724B9">
            <w:pPr>
              <w:rPr>
                <w:sz w:val="24"/>
              </w:rPr>
            </w:pPr>
            <w:r>
              <w:rPr>
                <w:sz w:val="24"/>
              </w:rPr>
              <w:t>Receivables</w:t>
            </w:r>
            <w:r>
              <w:rPr>
                <w:position w:val="8"/>
                <w:sz w:val="14"/>
              </w:rPr>
              <w:t>(a)</w:t>
            </w:r>
          </w:p>
        </w:tc>
        <w:tc>
          <w:tcPr>
            <w:tcW w:w="1538" w:type="dxa"/>
          </w:tcPr>
          <w:p w:rsidR="00B73196" w:rsidRDefault="00B73196" w:rsidP="008724B9">
            <w:r>
              <w:t>99</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99</w:t>
            </w:r>
          </w:p>
        </w:tc>
        <w:tc>
          <w:tcPr>
            <w:tcW w:w="1539" w:type="dxa"/>
          </w:tcPr>
          <w:p w:rsidR="00B73196" w:rsidRDefault="00B73196" w:rsidP="008724B9">
            <w:r>
              <w:t>99</w:t>
            </w:r>
          </w:p>
        </w:tc>
        <w:tc>
          <w:tcPr>
            <w:tcW w:w="1539" w:type="dxa"/>
          </w:tcPr>
          <w:p w:rsidR="00B73196" w:rsidRDefault="00B73196" w:rsidP="008724B9">
            <w:r>
              <w:t>99</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0</w:t>
            </w:r>
          </w:p>
        </w:tc>
      </w:tr>
      <w:tr w:rsidR="00B73196" w:rsidTr="008724B9">
        <w:tc>
          <w:tcPr>
            <w:tcW w:w="1538" w:type="dxa"/>
          </w:tcPr>
          <w:p w:rsidR="00B73196" w:rsidRDefault="00B73196" w:rsidP="008724B9">
            <w:pPr>
              <w:rPr>
                <w:sz w:val="24"/>
              </w:rPr>
            </w:pPr>
            <w:r>
              <w:rPr>
                <w:sz w:val="24"/>
              </w:rPr>
              <w:t>Total</w:t>
            </w:r>
          </w:p>
        </w:tc>
        <w:tc>
          <w:tcPr>
            <w:tcW w:w="1538" w:type="dxa"/>
          </w:tcPr>
          <w:p w:rsidR="00B73196" w:rsidRDefault="00B73196" w:rsidP="008724B9">
            <w:r>
              <w:t>3161</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3161</w:t>
            </w:r>
          </w:p>
        </w:tc>
        <w:tc>
          <w:tcPr>
            <w:tcW w:w="1539" w:type="dxa"/>
          </w:tcPr>
          <w:p w:rsidR="00B73196" w:rsidRDefault="00B73196" w:rsidP="008724B9">
            <w:r>
              <w:t>3161</w:t>
            </w:r>
          </w:p>
        </w:tc>
        <w:tc>
          <w:tcPr>
            <w:tcW w:w="1539" w:type="dxa"/>
          </w:tcPr>
          <w:p w:rsidR="00B73196" w:rsidRDefault="00B73196" w:rsidP="008724B9">
            <w:r>
              <w:t>3161</w:t>
            </w:r>
          </w:p>
        </w:tc>
        <w:tc>
          <w:tcPr>
            <w:tcW w:w="1539" w:type="dxa"/>
          </w:tcPr>
          <w:p w:rsidR="00B73196" w:rsidRDefault="00B73196" w:rsidP="008724B9">
            <w:r>
              <w:t>0</w:t>
            </w:r>
          </w:p>
        </w:tc>
        <w:tc>
          <w:tcPr>
            <w:tcW w:w="1539" w:type="dxa"/>
          </w:tcPr>
          <w:p w:rsidR="00B73196" w:rsidRDefault="00B73196" w:rsidP="008724B9">
            <w:r>
              <w:t>0</w:t>
            </w:r>
          </w:p>
        </w:tc>
        <w:tc>
          <w:tcPr>
            <w:tcW w:w="1539" w:type="dxa"/>
          </w:tcPr>
          <w:p w:rsidR="00B73196" w:rsidRDefault="00B73196" w:rsidP="008724B9">
            <w:r>
              <w:t>0</w:t>
            </w:r>
          </w:p>
        </w:tc>
      </w:tr>
    </w:tbl>
    <w:p w:rsidR="00B73196" w:rsidRDefault="00B73196">
      <w:pPr>
        <w:tabs>
          <w:tab w:val="left" w:pos="8923"/>
        </w:tabs>
        <w:spacing w:before="33"/>
        <w:ind w:left="685"/>
        <w:rPr>
          <w:spacing w:val="-4"/>
          <w:sz w:val="20"/>
        </w:rPr>
      </w:pPr>
    </w:p>
    <w:tbl>
      <w:tblPr>
        <w:tblW w:w="1552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4"/>
        <w:gridCol w:w="1560"/>
        <w:gridCol w:w="1417"/>
        <w:gridCol w:w="1559"/>
        <w:gridCol w:w="1560"/>
        <w:gridCol w:w="1559"/>
        <w:gridCol w:w="1559"/>
        <w:gridCol w:w="1559"/>
        <w:gridCol w:w="1560"/>
        <w:gridCol w:w="1559"/>
      </w:tblGrid>
      <w:tr w:rsidR="00B73196" w:rsidTr="00B73196">
        <w:trPr>
          <w:trHeight w:val="405"/>
        </w:trPr>
        <w:tc>
          <w:tcPr>
            <w:tcW w:w="1634" w:type="dxa"/>
          </w:tcPr>
          <w:p w:rsidR="00B73196" w:rsidRDefault="00B73196" w:rsidP="008724B9">
            <w:pPr>
              <w:rPr>
                <w:sz w:val="24"/>
              </w:rPr>
            </w:pPr>
            <w:r w:rsidRPr="00E47863">
              <w:t>2018 Financial Liabilities</w:t>
            </w:r>
          </w:p>
        </w:tc>
        <w:tc>
          <w:tcPr>
            <w:tcW w:w="1560" w:type="dxa"/>
            <w:shd w:val="clear" w:color="auto" w:fill="auto"/>
          </w:tcPr>
          <w:p w:rsidR="00B73196" w:rsidRDefault="00B73196" w:rsidP="008724B9">
            <w:pPr>
              <w:pStyle w:val="TableParagraph"/>
              <w:rPr>
                <w:rFonts w:ascii="Times New Roman"/>
              </w:rPr>
            </w:pPr>
            <w:r>
              <w:t>Interest rate exposure – Carrying amount $000</w:t>
            </w:r>
          </w:p>
        </w:tc>
        <w:tc>
          <w:tcPr>
            <w:tcW w:w="1417" w:type="dxa"/>
          </w:tcPr>
          <w:p w:rsidR="00B73196" w:rsidRDefault="00B73196" w:rsidP="008724B9">
            <w:pPr>
              <w:pStyle w:val="TableParagraph"/>
              <w:rPr>
                <w:rFonts w:ascii="Times New Roman"/>
              </w:rPr>
            </w:pPr>
            <w:r>
              <w:t>Interest rate exposure – fixed interest rate $000</w:t>
            </w:r>
          </w:p>
        </w:tc>
        <w:tc>
          <w:tcPr>
            <w:tcW w:w="1559" w:type="dxa"/>
          </w:tcPr>
          <w:p w:rsidR="00B73196" w:rsidRDefault="00B73196" w:rsidP="008724B9">
            <w:pPr>
              <w:pStyle w:val="TableParagraph"/>
              <w:rPr>
                <w:rFonts w:ascii="Times New Roman"/>
              </w:rPr>
            </w:pPr>
            <w:r>
              <w:t>Interest rate exposure – Variable interest rate $000</w:t>
            </w:r>
          </w:p>
        </w:tc>
        <w:tc>
          <w:tcPr>
            <w:tcW w:w="1560" w:type="dxa"/>
          </w:tcPr>
          <w:p w:rsidR="00B73196" w:rsidRDefault="00B73196" w:rsidP="008724B9">
            <w:pPr>
              <w:pStyle w:val="TableParagraph"/>
              <w:rPr>
                <w:rFonts w:ascii="Times New Roman"/>
              </w:rPr>
            </w:pPr>
            <w:r>
              <w:t>Interest rate exposure – non-interest bearing $000</w:t>
            </w:r>
          </w:p>
        </w:tc>
        <w:tc>
          <w:tcPr>
            <w:tcW w:w="1559" w:type="dxa"/>
          </w:tcPr>
          <w:p w:rsidR="00B73196" w:rsidRDefault="00B73196" w:rsidP="008724B9">
            <w:pPr>
              <w:pStyle w:val="TableParagraph"/>
              <w:rPr>
                <w:rFonts w:ascii="Times New Roman"/>
              </w:rPr>
            </w:pPr>
            <w:r>
              <w:t>Nominal amount $000</w:t>
            </w:r>
          </w:p>
        </w:tc>
        <w:tc>
          <w:tcPr>
            <w:tcW w:w="1559" w:type="dxa"/>
          </w:tcPr>
          <w:p w:rsidR="00B73196" w:rsidRDefault="00B73196" w:rsidP="008724B9">
            <w:pPr>
              <w:pStyle w:val="TableParagraph"/>
              <w:rPr>
                <w:rFonts w:ascii="Times New Roman"/>
              </w:rPr>
            </w:pPr>
            <w:r>
              <w:t>Maturity dates – up to 1 month $000</w:t>
            </w:r>
          </w:p>
        </w:tc>
        <w:tc>
          <w:tcPr>
            <w:tcW w:w="1559" w:type="dxa"/>
          </w:tcPr>
          <w:p w:rsidR="00B73196" w:rsidRDefault="00B73196" w:rsidP="008724B9">
            <w:pPr>
              <w:pStyle w:val="TableParagraph"/>
              <w:rPr>
                <w:rFonts w:ascii="Times New Roman"/>
              </w:rPr>
            </w:pPr>
            <w:r>
              <w:t>Maturity dates – 1-3 months $000</w:t>
            </w:r>
          </w:p>
        </w:tc>
        <w:tc>
          <w:tcPr>
            <w:tcW w:w="1560" w:type="dxa"/>
          </w:tcPr>
          <w:p w:rsidR="00B73196" w:rsidRDefault="00B73196" w:rsidP="008724B9">
            <w:pPr>
              <w:pStyle w:val="TableParagraph"/>
              <w:rPr>
                <w:rFonts w:ascii="Times New Roman"/>
              </w:rPr>
            </w:pPr>
            <w:r>
              <w:t>Maturity dates – 3 months to 1 year $000</w:t>
            </w:r>
          </w:p>
        </w:tc>
        <w:tc>
          <w:tcPr>
            <w:tcW w:w="1559" w:type="dxa"/>
          </w:tcPr>
          <w:p w:rsidR="00B73196" w:rsidRDefault="00B73196" w:rsidP="008724B9">
            <w:pPr>
              <w:pStyle w:val="TableParagraph"/>
              <w:rPr>
                <w:rFonts w:ascii="Times New Roman"/>
              </w:rPr>
            </w:pPr>
            <w:r>
              <w:t>Maturity dates – 1-5 years</w:t>
            </w:r>
          </w:p>
        </w:tc>
      </w:tr>
      <w:tr w:rsidR="00B73196" w:rsidTr="00B73196">
        <w:trPr>
          <w:trHeight w:val="342"/>
        </w:trPr>
        <w:tc>
          <w:tcPr>
            <w:tcW w:w="1634" w:type="dxa"/>
          </w:tcPr>
          <w:p w:rsidR="00B73196" w:rsidRDefault="00B73196" w:rsidP="008724B9">
            <w:pPr>
              <w:pStyle w:val="TableParagraph"/>
              <w:spacing w:before="4"/>
              <w:ind w:left="50"/>
              <w:rPr>
                <w:sz w:val="14"/>
              </w:rPr>
            </w:pPr>
            <w:r>
              <w:rPr>
                <w:sz w:val="24"/>
              </w:rPr>
              <w:t>Payables</w:t>
            </w:r>
            <w:r>
              <w:rPr>
                <w:position w:val="8"/>
                <w:sz w:val="14"/>
              </w:rPr>
              <w:t>(b)</w:t>
            </w:r>
          </w:p>
        </w:tc>
        <w:tc>
          <w:tcPr>
            <w:tcW w:w="1560" w:type="dxa"/>
            <w:shd w:val="clear" w:color="auto" w:fill="auto"/>
          </w:tcPr>
          <w:p w:rsidR="00B73196" w:rsidRDefault="00B73196" w:rsidP="008724B9">
            <w:pPr>
              <w:pStyle w:val="TableParagraph"/>
              <w:spacing w:before="4"/>
              <w:ind w:right="78"/>
              <w:jc w:val="right"/>
              <w:rPr>
                <w:sz w:val="24"/>
              </w:rPr>
            </w:pPr>
            <w:r>
              <w:rPr>
                <w:sz w:val="24"/>
              </w:rPr>
              <w:t>126</w:t>
            </w:r>
          </w:p>
        </w:tc>
        <w:tc>
          <w:tcPr>
            <w:tcW w:w="1417" w:type="dxa"/>
          </w:tcPr>
          <w:p w:rsidR="00B73196" w:rsidRDefault="00B73196" w:rsidP="008724B9">
            <w:pPr>
              <w:pStyle w:val="TableParagraph"/>
              <w:spacing w:before="4"/>
              <w:ind w:right="150"/>
              <w:jc w:val="right"/>
              <w:rPr>
                <w:sz w:val="24"/>
              </w:rPr>
            </w:pPr>
            <w:r>
              <w:rPr>
                <w:sz w:val="24"/>
              </w:rPr>
              <w:t>0</w:t>
            </w:r>
          </w:p>
        </w:tc>
        <w:tc>
          <w:tcPr>
            <w:tcW w:w="1559" w:type="dxa"/>
          </w:tcPr>
          <w:p w:rsidR="00B73196" w:rsidRDefault="00B73196" w:rsidP="008724B9">
            <w:pPr>
              <w:pStyle w:val="TableParagraph"/>
              <w:spacing w:before="4"/>
              <w:ind w:right="92"/>
              <w:jc w:val="right"/>
              <w:rPr>
                <w:sz w:val="24"/>
              </w:rPr>
            </w:pPr>
            <w:r>
              <w:rPr>
                <w:sz w:val="24"/>
              </w:rPr>
              <w:t>0</w:t>
            </w:r>
          </w:p>
        </w:tc>
        <w:tc>
          <w:tcPr>
            <w:tcW w:w="1560" w:type="dxa"/>
          </w:tcPr>
          <w:p w:rsidR="00B73196" w:rsidRDefault="00B73196" w:rsidP="008724B9">
            <w:pPr>
              <w:pStyle w:val="TableParagraph"/>
              <w:spacing w:before="4"/>
              <w:ind w:right="72"/>
              <w:jc w:val="right"/>
              <w:rPr>
                <w:sz w:val="24"/>
              </w:rPr>
            </w:pPr>
            <w:r>
              <w:rPr>
                <w:sz w:val="24"/>
              </w:rPr>
              <w:t>126</w:t>
            </w:r>
          </w:p>
        </w:tc>
        <w:tc>
          <w:tcPr>
            <w:tcW w:w="1559" w:type="dxa"/>
          </w:tcPr>
          <w:p w:rsidR="00B73196" w:rsidRDefault="00B73196" w:rsidP="008724B9">
            <w:pPr>
              <w:pStyle w:val="TableParagraph"/>
              <w:spacing w:before="4"/>
              <w:ind w:right="72"/>
              <w:jc w:val="right"/>
              <w:rPr>
                <w:sz w:val="24"/>
              </w:rPr>
            </w:pPr>
            <w:r>
              <w:rPr>
                <w:sz w:val="24"/>
              </w:rPr>
              <w:t>126</w:t>
            </w:r>
          </w:p>
        </w:tc>
        <w:tc>
          <w:tcPr>
            <w:tcW w:w="1559" w:type="dxa"/>
          </w:tcPr>
          <w:p w:rsidR="00B73196" w:rsidRDefault="00B73196" w:rsidP="008724B9">
            <w:pPr>
              <w:pStyle w:val="TableParagraph"/>
              <w:spacing w:before="4"/>
              <w:ind w:right="246"/>
              <w:jc w:val="right"/>
              <w:rPr>
                <w:sz w:val="24"/>
              </w:rPr>
            </w:pPr>
            <w:r>
              <w:rPr>
                <w:sz w:val="24"/>
              </w:rPr>
              <w:t>126</w:t>
            </w:r>
          </w:p>
        </w:tc>
        <w:tc>
          <w:tcPr>
            <w:tcW w:w="1559" w:type="dxa"/>
          </w:tcPr>
          <w:p w:rsidR="00B73196" w:rsidRDefault="00B73196" w:rsidP="008724B9">
            <w:pPr>
              <w:pStyle w:val="TableParagraph"/>
              <w:spacing w:before="4"/>
              <w:ind w:right="158"/>
              <w:jc w:val="right"/>
              <w:rPr>
                <w:sz w:val="24"/>
              </w:rPr>
            </w:pPr>
            <w:r>
              <w:rPr>
                <w:sz w:val="24"/>
              </w:rPr>
              <w:t>0</w:t>
            </w:r>
          </w:p>
        </w:tc>
        <w:tc>
          <w:tcPr>
            <w:tcW w:w="1560" w:type="dxa"/>
          </w:tcPr>
          <w:p w:rsidR="00B73196" w:rsidRDefault="00B73196" w:rsidP="008724B9">
            <w:pPr>
              <w:pStyle w:val="TableParagraph"/>
              <w:spacing w:before="8"/>
              <w:ind w:right="119"/>
              <w:jc w:val="right"/>
            </w:pPr>
            <w:r>
              <w:t>0</w:t>
            </w:r>
          </w:p>
        </w:tc>
        <w:tc>
          <w:tcPr>
            <w:tcW w:w="1559" w:type="dxa"/>
          </w:tcPr>
          <w:p w:rsidR="00B73196" w:rsidRDefault="00B73196" w:rsidP="008724B9">
            <w:pPr>
              <w:pStyle w:val="TableParagraph"/>
              <w:spacing w:before="8"/>
              <w:ind w:right="78"/>
              <w:jc w:val="right"/>
            </w:pPr>
            <w:r>
              <w:t>0</w:t>
            </w:r>
          </w:p>
        </w:tc>
      </w:tr>
      <w:tr w:rsidR="00B73196" w:rsidTr="00B73196">
        <w:trPr>
          <w:trHeight w:val="302"/>
        </w:trPr>
        <w:tc>
          <w:tcPr>
            <w:tcW w:w="1634" w:type="dxa"/>
          </w:tcPr>
          <w:p w:rsidR="00B73196" w:rsidRDefault="00B73196" w:rsidP="008724B9">
            <w:pPr>
              <w:pStyle w:val="TableParagraph"/>
              <w:spacing w:before="1" w:line="281" w:lineRule="exact"/>
              <w:ind w:left="50"/>
              <w:rPr>
                <w:sz w:val="24"/>
              </w:rPr>
            </w:pPr>
            <w:r>
              <w:rPr>
                <w:sz w:val="24"/>
              </w:rPr>
              <w:t>Other current liabilities</w:t>
            </w:r>
          </w:p>
        </w:tc>
        <w:tc>
          <w:tcPr>
            <w:tcW w:w="1560" w:type="dxa"/>
            <w:shd w:val="clear" w:color="auto" w:fill="auto"/>
          </w:tcPr>
          <w:p w:rsidR="00B73196" w:rsidRDefault="00B73196" w:rsidP="008724B9">
            <w:pPr>
              <w:pStyle w:val="TableParagraph"/>
              <w:spacing w:before="1" w:line="281" w:lineRule="exact"/>
              <w:ind w:right="79"/>
              <w:jc w:val="right"/>
              <w:rPr>
                <w:sz w:val="24"/>
              </w:rPr>
            </w:pPr>
            <w:r>
              <w:rPr>
                <w:sz w:val="24"/>
              </w:rPr>
              <w:t>0</w:t>
            </w:r>
          </w:p>
        </w:tc>
        <w:tc>
          <w:tcPr>
            <w:tcW w:w="1417" w:type="dxa"/>
          </w:tcPr>
          <w:p w:rsidR="00B73196" w:rsidRDefault="00B73196" w:rsidP="008724B9">
            <w:pPr>
              <w:pStyle w:val="TableParagraph"/>
              <w:spacing w:before="1" w:line="281" w:lineRule="exact"/>
              <w:ind w:right="150"/>
              <w:jc w:val="right"/>
              <w:rPr>
                <w:sz w:val="24"/>
              </w:rPr>
            </w:pPr>
            <w:r>
              <w:rPr>
                <w:sz w:val="24"/>
              </w:rPr>
              <w:t>0</w:t>
            </w:r>
          </w:p>
        </w:tc>
        <w:tc>
          <w:tcPr>
            <w:tcW w:w="1559" w:type="dxa"/>
          </w:tcPr>
          <w:p w:rsidR="00B73196" w:rsidRDefault="00B73196" w:rsidP="008724B9">
            <w:pPr>
              <w:pStyle w:val="TableParagraph"/>
              <w:spacing w:before="1" w:line="281" w:lineRule="exact"/>
              <w:ind w:right="92"/>
              <w:jc w:val="right"/>
              <w:rPr>
                <w:sz w:val="24"/>
              </w:rPr>
            </w:pPr>
            <w:r>
              <w:rPr>
                <w:sz w:val="24"/>
              </w:rPr>
              <w:t>0</w:t>
            </w:r>
          </w:p>
        </w:tc>
        <w:tc>
          <w:tcPr>
            <w:tcW w:w="1560" w:type="dxa"/>
          </w:tcPr>
          <w:p w:rsidR="00B73196" w:rsidRDefault="00B73196" w:rsidP="008724B9">
            <w:pPr>
              <w:pStyle w:val="TableParagraph"/>
              <w:spacing w:before="1" w:line="281" w:lineRule="exact"/>
              <w:ind w:right="72"/>
              <w:jc w:val="right"/>
              <w:rPr>
                <w:sz w:val="24"/>
              </w:rPr>
            </w:pPr>
            <w:r>
              <w:rPr>
                <w:sz w:val="24"/>
              </w:rPr>
              <w:t>0</w:t>
            </w:r>
          </w:p>
        </w:tc>
        <w:tc>
          <w:tcPr>
            <w:tcW w:w="1559" w:type="dxa"/>
          </w:tcPr>
          <w:p w:rsidR="00B73196" w:rsidRDefault="00B73196" w:rsidP="008724B9">
            <w:pPr>
              <w:pStyle w:val="TableParagraph"/>
              <w:spacing w:before="1" w:line="281" w:lineRule="exact"/>
              <w:ind w:right="72"/>
              <w:jc w:val="right"/>
              <w:rPr>
                <w:sz w:val="24"/>
              </w:rPr>
            </w:pPr>
            <w:r>
              <w:rPr>
                <w:sz w:val="24"/>
              </w:rPr>
              <w:t>0</w:t>
            </w:r>
          </w:p>
        </w:tc>
        <w:tc>
          <w:tcPr>
            <w:tcW w:w="1559" w:type="dxa"/>
          </w:tcPr>
          <w:p w:rsidR="00B73196" w:rsidRDefault="00B73196" w:rsidP="008724B9">
            <w:pPr>
              <w:pStyle w:val="TableParagraph"/>
              <w:spacing w:before="1" w:line="281" w:lineRule="exact"/>
              <w:ind w:right="246"/>
              <w:jc w:val="right"/>
              <w:rPr>
                <w:sz w:val="24"/>
              </w:rPr>
            </w:pPr>
            <w:r>
              <w:rPr>
                <w:sz w:val="24"/>
              </w:rPr>
              <w:t>0</w:t>
            </w:r>
          </w:p>
        </w:tc>
        <w:tc>
          <w:tcPr>
            <w:tcW w:w="1559" w:type="dxa"/>
          </w:tcPr>
          <w:p w:rsidR="00B73196" w:rsidRDefault="00B73196" w:rsidP="008724B9">
            <w:pPr>
              <w:pStyle w:val="TableParagraph"/>
              <w:spacing w:before="1" w:line="281" w:lineRule="exact"/>
              <w:ind w:right="158"/>
              <w:jc w:val="right"/>
              <w:rPr>
                <w:sz w:val="24"/>
              </w:rPr>
            </w:pPr>
            <w:r>
              <w:rPr>
                <w:sz w:val="24"/>
              </w:rPr>
              <w:t>0</w:t>
            </w:r>
          </w:p>
        </w:tc>
        <w:tc>
          <w:tcPr>
            <w:tcW w:w="1560" w:type="dxa"/>
          </w:tcPr>
          <w:p w:rsidR="00B73196" w:rsidRDefault="00B73196" w:rsidP="008724B9">
            <w:pPr>
              <w:pStyle w:val="TableParagraph"/>
              <w:spacing w:before="1" w:line="281" w:lineRule="exact"/>
              <w:ind w:right="119"/>
              <w:jc w:val="right"/>
              <w:rPr>
                <w:sz w:val="24"/>
              </w:rPr>
            </w:pPr>
            <w:r>
              <w:rPr>
                <w:sz w:val="24"/>
              </w:rPr>
              <w:t>0</w:t>
            </w:r>
          </w:p>
        </w:tc>
        <w:tc>
          <w:tcPr>
            <w:tcW w:w="1559" w:type="dxa"/>
          </w:tcPr>
          <w:p w:rsidR="00B73196" w:rsidRDefault="00B73196" w:rsidP="008724B9">
            <w:pPr>
              <w:pStyle w:val="TableParagraph"/>
              <w:spacing w:before="1" w:line="281" w:lineRule="exact"/>
              <w:ind w:right="77"/>
              <w:jc w:val="right"/>
              <w:rPr>
                <w:sz w:val="24"/>
              </w:rPr>
            </w:pPr>
            <w:r>
              <w:rPr>
                <w:sz w:val="24"/>
              </w:rPr>
              <w:t>0</w:t>
            </w:r>
          </w:p>
        </w:tc>
      </w:tr>
      <w:tr w:rsidR="00B73196" w:rsidTr="00B73196">
        <w:trPr>
          <w:trHeight w:val="309"/>
        </w:trPr>
        <w:tc>
          <w:tcPr>
            <w:tcW w:w="1634" w:type="dxa"/>
          </w:tcPr>
          <w:p w:rsidR="00B73196" w:rsidRDefault="00B73196" w:rsidP="008724B9">
            <w:pPr>
              <w:pStyle w:val="TableParagraph"/>
              <w:spacing w:before="1" w:line="281" w:lineRule="exact"/>
              <w:ind w:left="50"/>
              <w:rPr>
                <w:rFonts w:ascii="Times New Roman"/>
              </w:rPr>
            </w:pPr>
            <w:r w:rsidRPr="00E47863">
              <w:rPr>
                <w:sz w:val="24"/>
              </w:rPr>
              <w:t>Total</w:t>
            </w:r>
          </w:p>
        </w:tc>
        <w:tc>
          <w:tcPr>
            <w:tcW w:w="1560" w:type="dxa"/>
            <w:shd w:val="clear" w:color="auto" w:fill="auto"/>
          </w:tcPr>
          <w:p w:rsidR="00B73196" w:rsidRPr="00E47863" w:rsidRDefault="00B73196" w:rsidP="008724B9">
            <w:pPr>
              <w:pStyle w:val="TableParagraph"/>
              <w:spacing w:before="24" w:line="266" w:lineRule="exact"/>
              <w:ind w:right="78"/>
              <w:jc w:val="right"/>
              <w:rPr>
                <w:sz w:val="24"/>
              </w:rPr>
            </w:pPr>
            <w:r w:rsidRPr="00E47863">
              <w:rPr>
                <w:sz w:val="24"/>
              </w:rPr>
              <w:t>126</w:t>
            </w:r>
          </w:p>
        </w:tc>
        <w:tc>
          <w:tcPr>
            <w:tcW w:w="1417" w:type="dxa"/>
          </w:tcPr>
          <w:p w:rsidR="00B73196" w:rsidRPr="00E47863" w:rsidRDefault="00B73196" w:rsidP="008724B9">
            <w:pPr>
              <w:pStyle w:val="TableParagraph"/>
              <w:spacing w:before="24" w:line="266" w:lineRule="exact"/>
              <w:ind w:right="150"/>
              <w:jc w:val="right"/>
              <w:rPr>
                <w:sz w:val="24"/>
              </w:rPr>
            </w:pPr>
            <w:r w:rsidRPr="00E47863">
              <w:rPr>
                <w:sz w:val="24"/>
              </w:rPr>
              <w:t>0</w:t>
            </w:r>
          </w:p>
        </w:tc>
        <w:tc>
          <w:tcPr>
            <w:tcW w:w="1559" w:type="dxa"/>
          </w:tcPr>
          <w:p w:rsidR="00B73196" w:rsidRPr="00E47863" w:rsidRDefault="00B73196" w:rsidP="008724B9">
            <w:pPr>
              <w:pStyle w:val="TableParagraph"/>
              <w:spacing w:before="24" w:line="266" w:lineRule="exact"/>
              <w:ind w:right="91"/>
              <w:jc w:val="right"/>
              <w:rPr>
                <w:sz w:val="24"/>
              </w:rPr>
            </w:pPr>
            <w:r w:rsidRPr="00E47863">
              <w:rPr>
                <w:sz w:val="24"/>
              </w:rPr>
              <w:t>0</w:t>
            </w:r>
          </w:p>
        </w:tc>
        <w:tc>
          <w:tcPr>
            <w:tcW w:w="1560" w:type="dxa"/>
          </w:tcPr>
          <w:p w:rsidR="00B73196" w:rsidRPr="00E47863" w:rsidRDefault="00B73196" w:rsidP="008724B9">
            <w:pPr>
              <w:pStyle w:val="TableParagraph"/>
              <w:spacing w:before="24" w:line="266" w:lineRule="exact"/>
              <w:ind w:right="72"/>
              <w:jc w:val="right"/>
              <w:rPr>
                <w:sz w:val="24"/>
              </w:rPr>
            </w:pPr>
            <w:r w:rsidRPr="00E47863">
              <w:rPr>
                <w:sz w:val="24"/>
              </w:rPr>
              <w:t>126</w:t>
            </w:r>
          </w:p>
        </w:tc>
        <w:tc>
          <w:tcPr>
            <w:tcW w:w="1559" w:type="dxa"/>
          </w:tcPr>
          <w:p w:rsidR="00B73196" w:rsidRPr="00E47863" w:rsidRDefault="00B73196" w:rsidP="008724B9">
            <w:pPr>
              <w:pStyle w:val="TableParagraph"/>
              <w:spacing w:before="24" w:line="266" w:lineRule="exact"/>
              <w:ind w:right="72"/>
              <w:jc w:val="right"/>
              <w:rPr>
                <w:sz w:val="24"/>
              </w:rPr>
            </w:pPr>
            <w:r w:rsidRPr="00E47863">
              <w:rPr>
                <w:sz w:val="24"/>
              </w:rPr>
              <w:t>126</w:t>
            </w:r>
          </w:p>
        </w:tc>
        <w:tc>
          <w:tcPr>
            <w:tcW w:w="1559" w:type="dxa"/>
          </w:tcPr>
          <w:p w:rsidR="00B73196" w:rsidRPr="00E47863" w:rsidRDefault="00B73196" w:rsidP="008724B9">
            <w:pPr>
              <w:pStyle w:val="TableParagraph"/>
              <w:spacing w:before="24" w:line="266" w:lineRule="exact"/>
              <w:ind w:right="246"/>
              <w:jc w:val="right"/>
              <w:rPr>
                <w:sz w:val="24"/>
              </w:rPr>
            </w:pPr>
            <w:r w:rsidRPr="00E47863">
              <w:rPr>
                <w:sz w:val="24"/>
              </w:rPr>
              <w:t>126</w:t>
            </w:r>
          </w:p>
        </w:tc>
        <w:tc>
          <w:tcPr>
            <w:tcW w:w="1559" w:type="dxa"/>
          </w:tcPr>
          <w:p w:rsidR="00B73196" w:rsidRPr="00E47863" w:rsidRDefault="00B73196" w:rsidP="008724B9">
            <w:pPr>
              <w:pStyle w:val="TableParagraph"/>
              <w:spacing w:before="24" w:line="266" w:lineRule="exact"/>
              <w:ind w:right="158"/>
              <w:jc w:val="right"/>
              <w:rPr>
                <w:sz w:val="24"/>
              </w:rPr>
            </w:pPr>
            <w:r w:rsidRPr="00E47863">
              <w:rPr>
                <w:sz w:val="24"/>
              </w:rPr>
              <w:t>0</w:t>
            </w:r>
          </w:p>
        </w:tc>
        <w:tc>
          <w:tcPr>
            <w:tcW w:w="1560" w:type="dxa"/>
          </w:tcPr>
          <w:p w:rsidR="00B73196" w:rsidRPr="00E47863" w:rsidRDefault="00B73196" w:rsidP="008724B9">
            <w:pPr>
              <w:pStyle w:val="TableParagraph"/>
              <w:spacing w:before="28" w:line="262" w:lineRule="exact"/>
              <w:ind w:right="119"/>
              <w:jc w:val="right"/>
            </w:pPr>
            <w:r w:rsidRPr="00E47863">
              <w:t>0</w:t>
            </w:r>
          </w:p>
        </w:tc>
        <w:tc>
          <w:tcPr>
            <w:tcW w:w="1559" w:type="dxa"/>
          </w:tcPr>
          <w:p w:rsidR="00B73196" w:rsidRPr="00E47863" w:rsidRDefault="00B73196" w:rsidP="008724B9">
            <w:pPr>
              <w:pStyle w:val="TableParagraph"/>
              <w:spacing w:before="28" w:line="262" w:lineRule="exact"/>
              <w:ind w:right="78"/>
              <w:jc w:val="right"/>
            </w:pPr>
            <w:r w:rsidRPr="00E47863">
              <w:t>0</w:t>
            </w:r>
          </w:p>
        </w:tc>
      </w:tr>
    </w:tbl>
    <w:p w:rsidR="00B73196" w:rsidRDefault="00B73196">
      <w:pPr>
        <w:tabs>
          <w:tab w:val="left" w:pos="8923"/>
        </w:tabs>
        <w:spacing w:before="33"/>
        <w:ind w:left="685"/>
        <w:rPr>
          <w:spacing w:val="-4"/>
          <w:sz w:val="20"/>
        </w:rPr>
      </w:pPr>
    </w:p>
    <w:tbl>
      <w:tblPr>
        <w:tblW w:w="1552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34"/>
        <w:gridCol w:w="1560"/>
        <w:gridCol w:w="1417"/>
        <w:gridCol w:w="1418"/>
        <w:gridCol w:w="1417"/>
        <w:gridCol w:w="1843"/>
        <w:gridCol w:w="1559"/>
        <w:gridCol w:w="1559"/>
        <w:gridCol w:w="1560"/>
        <w:gridCol w:w="1559"/>
      </w:tblGrid>
      <w:tr w:rsidR="00B73196" w:rsidTr="00B73196">
        <w:trPr>
          <w:trHeight w:val="340"/>
        </w:trPr>
        <w:tc>
          <w:tcPr>
            <w:tcW w:w="1634" w:type="dxa"/>
          </w:tcPr>
          <w:p w:rsidR="00B73196" w:rsidRDefault="00B73196" w:rsidP="008724B9">
            <w:pPr>
              <w:rPr>
                <w:sz w:val="24"/>
              </w:rPr>
            </w:pPr>
            <w:r w:rsidRPr="00E47863">
              <w:t>2017 Financial Assets</w:t>
            </w:r>
          </w:p>
        </w:tc>
        <w:tc>
          <w:tcPr>
            <w:tcW w:w="1560" w:type="dxa"/>
            <w:shd w:val="clear" w:color="auto" w:fill="auto"/>
          </w:tcPr>
          <w:p w:rsidR="00B73196" w:rsidRDefault="00B73196" w:rsidP="008724B9">
            <w:pPr>
              <w:pStyle w:val="TableParagraph"/>
              <w:rPr>
                <w:rFonts w:ascii="Times New Roman"/>
              </w:rPr>
            </w:pPr>
            <w:r>
              <w:t>Interest rate exposure – Carrying amount $000</w:t>
            </w:r>
          </w:p>
        </w:tc>
        <w:tc>
          <w:tcPr>
            <w:tcW w:w="1417" w:type="dxa"/>
          </w:tcPr>
          <w:p w:rsidR="00B73196" w:rsidRDefault="00B73196" w:rsidP="008724B9">
            <w:pPr>
              <w:pStyle w:val="TableParagraph"/>
              <w:rPr>
                <w:rFonts w:ascii="Times New Roman"/>
              </w:rPr>
            </w:pPr>
            <w:r>
              <w:t>Interest rate exposure – fixed interest rate $000</w:t>
            </w:r>
          </w:p>
        </w:tc>
        <w:tc>
          <w:tcPr>
            <w:tcW w:w="1418" w:type="dxa"/>
          </w:tcPr>
          <w:p w:rsidR="00B73196" w:rsidRDefault="00B73196" w:rsidP="008724B9">
            <w:pPr>
              <w:pStyle w:val="TableParagraph"/>
              <w:rPr>
                <w:rFonts w:ascii="Times New Roman"/>
              </w:rPr>
            </w:pPr>
            <w:r>
              <w:t>Interest rate exposure – Variable interest rate $000</w:t>
            </w:r>
          </w:p>
        </w:tc>
        <w:tc>
          <w:tcPr>
            <w:tcW w:w="1417" w:type="dxa"/>
          </w:tcPr>
          <w:p w:rsidR="00B73196" w:rsidRDefault="00B73196" w:rsidP="008724B9">
            <w:pPr>
              <w:pStyle w:val="TableParagraph"/>
              <w:rPr>
                <w:rFonts w:ascii="Times New Roman"/>
              </w:rPr>
            </w:pPr>
            <w:r>
              <w:t>Interest rate exposure – non-interest bearing $000</w:t>
            </w:r>
          </w:p>
        </w:tc>
        <w:tc>
          <w:tcPr>
            <w:tcW w:w="1843" w:type="dxa"/>
          </w:tcPr>
          <w:p w:rsidR="00B73196" w:rsidRDefault="00B73196" w:rsidP="008724B9">
            <w:pPr>
              <w:pStyle w:val="TableParagraph"/>
              <w:rPr>
                <w:rFonts w:ascii="Times New Roman"/>
              </w:rPr>
            </w:pPr>
            <w:r>
              <w:t>Nominal amount $000</w:t>
            </w:r>
          </w:p>
        </w:tc>
        <w:tc>
          <w:tcPr>
            <w:tcW w:w="1559" w:type="dxa"/>
          </w:tcPr>
          <w:p w:rsidR="00B73196" w:rsidRDefault="00B73196" w:rsidP="008724B9">
            <w:pPr>
              <w:pStyle w:val="TableParagraph"/>
              <w:rPr>
                <w:rFonts w:ascii="Times New Roman"/>
              </w:rPr>
            </w:pPr>
            <w:r>
              <w:t>Maturity dates – up to 1 month $000</w:t>
            </w:r>
          </w:p>
        </w:tc>
        <w:tc>
          <w:tcPr>
            <w:tcW w:w="1559" w:type="dxa"/>
          </w:tcPr>
          <w:p w:rsidR="00B73196" w:rsidRDefault="00B73196" w:rsidP="008724B9">
            <w:pPr>
              <w:pStyle w:val="TableParagraph"/>
              <w:rPr>
                <w:rFonts w:ascii="Times New Roman"/>
              </w:rPr>
            </w:pPr>
            <w:r>
              <w:t>Maturity dates – 1-3 months $000</w:t>
            </w:r>
          </w:p>
        </w:tc>
        <w:tc>
          <w:tcPr>
            <w:tcW w:w="1560" w:type="dxa"/>
          </w:tcPr>
          <w:p w:rsidR="00B73196" w:rsidRDefault="00B73196" w:rsidP="008724B9">
            <w:pPr>
              <w:pStyle w:val="TableParagraph"/>
              <w:rPr>
                <w:rFonts w:ascii="Times New Roman"/>
              </w:rPr>
            </w:pPr>
            <w:r>
              <w:t>Maturity dates – 3 months to 1 year $000</w:t>
            </w:r>
          </w:p>
        </w:tc>
        <w:tc>
          <w:tcPr>
            <w:tcW w:w="1559" w:type="dxa"/>
          </w:tcPr>
          <w:p w:rsidR="00B73196" w:rsidRDefault="00B73196" w:rsidP="008724B9">
            <w:pPr>
              <w:pStyle w:val="TableParagraph"/>
              <w:rPr>
                <w:rFonts w:ascii="Times New Roman"/>
              </w:rPr>
            </w:pPr>
            <w:r>
              <w:t>Maturity dates – 1-5 years</w:t>
            </w:r>
          </w:p>
        </w:tc>
      </w:tr>
      <w:tr w:rsidR="00B73196" w:rsidTr="00B73196">
        <w:trPr>
          <w:trHeight w:val="337"/>
        </w:trPr>
        <w:tc>
          <w:tcPr>
            <w:tcW w:w="1634" w:type="dxa"/>
          </w:tcPr>
          <w:p w:rsidR="00B73196" w:rsidRDefault="00B73196" w:rsidP="008724B9">
            <w:pPr>
              <w:pStyle w:val="TableParagraph"/>
              <w:spacing w:before="1"/>
              <w:ind w:left="50"/>
              <w:rPr>
                <w:sz w:val="24"/>
              </w:rPr>
            </w:pPr>
            <w:r>
              <w:rPr>
                <w:sz w:val="24"/>
              </w:rPr>
              <w:t>Cash and cash equivalents</w:t>
            </w:r>
          </w:p>
        </w:tc>
        <w:tc>
          <w:tcPr>
            <w:tcW w:w="1560" w:type="dxa"/>
            <w:shd w:val="clear" w:color="auto" w:fill="auto"/>
          </w:tcPr>
          <w:p w:rsidR="00B73196" w:rsidRDefault="00B73196" w:rsidP="008724B9">
            <w:pPr>
              <w:pStyle w:val="TableParagraph"/>
              <w:spacing w:before="1"/>
              <w:ind w:right="78"/>
              <w:jc w:val="right"/>
              <w:rPr>
                <w:sz w:val="24"/>
              </w:rPr>
            </w:pPr>
            <w:r>
              <w:rPr>
                <w:sz w:val="24"/>
              </w:rPr>
              <w:t>5,177</w:t>
            </w:r>
          </w:p>
        </w:tc>
        <w:tc>
          <w:tcPr>
            <w:tcW w:w="1417" w:type="dxa"/>
          </w:tcPr>
          <w:p w:rsidR="00B73196" w:rsidRDefault="00B73196" w:rsidP="008724B9">
            <w:pPr>
              <w:pStyle w:val="TableParagraph"/>
              <w:spacing w:before="1"/>
              <w:ind w:right="150"/>
              <w:jc w:val="right"/>
              <w:rPr>
                <w:sz w:val="24"/>
              </w:rPr>
            </w:pPr>
            <w:r>
              <w:rPr>
                <w:sz w:val="24"/>
              </w:rPr>
              <w:t>0</w:t>
            </w:r>
          </w:p>
        </w:tc>
        <w:tc>
          <w:tcPr>
            <w:tcW w:w="1418" w:type="dxa"/>
          </w:tcPr>
          <w:p w:rsidR="00B73196" w:rsidRDefault="00B73196" w:rsidP="008724B9">
            <w:pPr>
              <w:pStyle w:val="TableParagraph"/>
              <w:spacing w:before="1"/>
              <w:ind w:right="92"/>
              <w:jc w:val="right"/>
              <w:rPr>
                <w:sz w:val="24"/>
              </w:rPr>
            </w:pPr>
            <w:r>
              <w:rPr>
                <w:sz w:val="24"/>
              </w:rPr>
              <w:t>0</w:t>
            </w:r>
          </w:p>
        </w:tc>
        <w:tc>
          <w:tcPr>
            <w:tcW w:w="1417" w:type="dxa"/>
          </w:tcPr>
          <w:p w:rsidR="00B73196" w:rsidRDefault="00B73196" w:rsidP="008724B9">
            <w:pPr>
              <w:pStyle w:val="TableParagraph"/>
              <w:spacing w:before="1"/>
              <w:ind w:right="72"/>
              <w:jc w:val="right"/>
              <w:rPr>
                <w:sz w:val="24"/>
              </w:rPr>
            </w:pPr>
            <w:r>
              <w:rPr>
                <w:sz w:val="24"/>
              </w:rPr>
              <w:t>5,177</w:t>
            </w:r>
          </w:p>
        </w:tc>
        <w:tc>
          <w:tcPr>
            <w:tcW w:w="1843" w:type="dxa"/>
          </w:tcPr>
          <w:p w:rsidR="00B73196" w:rsidRDefault="00B73196" w:rsidP="008724B9">
            <w:pPr>
              <w:pStyle w:val="TableParagraph"/>
              <w:spacing w:before="1"/>
              <w:ind w:right="72"/>
              <w:jc w:val="right"/>
              <w:rPr>
                <w:sz w:val="24"/>
              </w:rPr>
            </w:pPr>
            <w:r>
              <w:rPr>
                <w:sz w:val="24"/>
              </w:rPr>
              <w:t>5,177</w:t>
            </w:r>
          </w:p>
        </w:tc>
        <w:tc>
          <w:tcPr>
            <w:tcW w:w="1559" w:type="dxa"/>
          </w:tcPr>
          <w:p w:rsidR="00B73196" w:rsidRDefault="00B73196" w:rsidP="008724B9">
            <w:pPr>
              <w:pStyle w:val="TableParagraph"/>
              <w:spacing w:before="1"/>
              <w:ind w:right="246"/>
              <w:jc w:val="right"/>
              <w:rPr>
                <w:sz w:val="24"/>
              </w:rPr>
            </w:pPr>
            <w:r>
              <w:rPr>
                <w:sz w:val="24"/>
              </w:rPr>
              <w:t>5,177</w:t>
            </w:r>
          </w:p>
        </w:tc>
        <w:tc>
          <w:tcPr>
            <w:tcW w:w="1559" w:type="dxa"/>
          </w:tcPr>
          <w:p w:rsidR="00B73196" w:rsidRDefault="00B73196" w:rsidP="008724B9">
            <w:pPr>
              <w:pStyle w:val="TableParagraph"/>
              <w:spacing w:before="1"/>
              <w:ind w:right="158"/>
              <w:jc w:val="right"/>
              <w:rPr>
                <w:sz w:val="24"/>
              </w:rPr>
            </w:pPr>
            <w:r>
              <w:rPr>
                <w:sz w:val="24"/>
              </w:rPr>
              <w:t>0</w:t>
            </w:r>
          </w:p>
        </w:tc>
        <w:tc>
          <w:tcPr>
            <w:tcW w:w="1560" w:type="dxa"/>
          </w:tcPr>
          <w:p w:rsidR="00B73196" w:rsidRDefault="00B73196" w:rsidP="008724B9">
            <w:pPr>
              <w:pStyle w:val="TableParagraph"/>
              <w:spacing w:before="5"/>
              <w:ind w:right="119"/>
              <w:jc w:val="right"/>
            </w:pPr>
            <w:r>
              <w:t>0</w:t>
            </w:r>
          </w:p>
        </w:tc>
        <w:tc>
          <w:tcPr>
            <w:tcW w:w="1559" w:type="dxa"/>
          </w:tcPr>
          <w:p w:rsidR="00B73196" w:rsidRDefault="00B73196" w:rsidP="008724B9">
            <w:pPr>
              <w:pStyle w:val="TableParagraph"/>
              <w:spacing w:before="5"/>
              <w:ind w:right="78"/>
              <w:jc w:val="right"/>
            </w:pPr>
            <w:r>
              <w:t>0</w:t>
            </w:r>
          </w:p>
        </w:tc>
      </w:tr>
      <w:tr w:rsidR="00B73196" w:rsidTr="00B73196">
        <w:trPr>
          <w:trHeight w:val="304"/>
        </w:trPr>
        <w:tc>
          <w:tcPr>
            <w:tcW w:w="1634" w:type="dxa"/>
          </w:tcPr>
          <w:p w:rsidR="00B73196" w:rsidRDefault="00B73196" w:rsidP="008724B9">
            <w:pPr>
              <w:pStyle w:val="TableParagraph"/>
              <w:spacing w:before="3" w:line="281" w:lineRule="exact"/>
              <w:ind w:left="50"/>
              <w:rPr>
                <w:sz w:val="14"/>
              </w:rPr>
            </w:pPr>
            <w:r>
              <w:rPr>
                <w:sz w:val="24"/>
              </w:rPr>
              <w:t>Receivables</w:t>
            </w:r>
            <w:r>
              <w:rPr>
                <w:position w:val="8"/>
                <w:sz w:val="14"/>
              </w:rPr>
              <w:t>(a)</w:t>
            </w:r>
          </w:p>
        </w:tc>
        <w:tc>
          <w:tcPr>
            <w:tcW w:w="1560" w:type="dxa"/>
            <w:shd w:val="clear" w:color="auto" w:fill="auto"/>
          </w:tcPr>
          <w:p w:rsidR="00B73196" w:rsidRDefault="00B73196" w:rsidP="008724B9">
            <w:pPr>
              <w:pStyle w:val="TableParagraph"/>
              <w:spacing w:before="3" w:line="281" w:lineRule="exact"/>
              <w:ind w:right="79"/>
              <w:jc w:val="right"/>
              <w:rPr>
                <w:sz w:val="24"/>
              </w:rPr>
            </w:pPr>
            <w:r>
              <w:rPr>
                <w:sz w:val="24"/>
              </w:rPr>
              <w:t>0</w:t>
            </w:r>
          </w:p>
        </w:tc>
        <w:tc>
          <w:tcPr>
            <w:tcW w:w="1417" w:type="dxa"/>
          </w:tcPr>
          <w:p w:rsidR="00B73196" w:rsidRDefault="00B73196" w:rsidP="008724B9">
            <w:pPr>
              <w:pStyle w:val="TableParagraph"/>
              <w:spacing w:before="3" w:line="281" w:lineRule="exact"/>
              <w:ind w:right="150"/>
              <w:jc w:val="right"/>
              <w:rPr>
                <w:sz w:val="24"/>
              </w:rPr>
            </w:pPr>
            <w:r>
              <w:rPr>
                <w:sz w:val="24"/>
              </w:rPr>
              <w:t>0</w:t>
            </w:r>
          </w:p>
        </w:tc>
        <w:tc>
          <w:tcPr>
            <w:tcW w:w="1418" w:type="dxa"/>
          </w:tcPr>
          <w:p w:rsidR="00B73196" w:rsidRDefault="00B73196" w:rsidP="008724B9">
            <w:pPr>
              <w:pStyle w:val="TableParagraph"/>
              <w:spacing w:before="3" w:line="281" w:lineRule="exact"/>
              <w:ind w:right="92"/>
              <w:jc w:val="right"/>
              <w:rPr>
                <w:sz w:val="24"/>
              </w:rPr>
            </w:pPr>
            <w:r>
              <w:rPr>
                <w:sz w:val="24"/>
              </w:rPr>
              <w:t>0</w:t>
            </w:r>
          </w:p>
        </w:tc>
        <w:tc>
          <w:tcPr>
            <w:tcW w:w="1417" w:type="dxa"/>
          </w:tcPr>
          <w:p w:rsidR="00B73196" w:rsidRDefault="00B73196" w:rsidP="008724B9">
            <w:pPr>
              <w:pStyle w:val="TableParagraph"/>
              <w:spacing w:before="3" w:line="281" w:lineRule="exact"/>
              <w:ind w:right="72"/>
              <w:jc w:val="right"/>
              <w:rPr>
                <w:sz w:val="24"/>
              </w:rPr>
            </w:pPr>
            <w:r>
              <w:rPr>
                <w:sz w:val="24"/>
              </w:rPr>
              <w:t>0</w:t>
            </w:r>
          </w:p>
        </w:tc>
        <w:tc>
          <w:tcPr>
            <w:tcW w:w="1843" w:type="dxa"/>
          </w:tcPr>
          <w:p w:rsidR="00B73196" w:rsidRDefault="00B73196" w:rsidP="008724B9">
            <w:pPr>
              <w:pStyle w:val="TableParagraph"/>
              <w:spacing w:before="3" w:line="281" w:lineRule="exact"/>
              <w:ind w:right="72"/>
              <w:jc w:val="right"/>
              <w:rPr>
                <w:sz w:val="24"/>
              </w:rPr>
            </w:pPr>
            <w:r>
              <w:rPr>
                <w:sz w:val="24"/>
              </w:rPr>
              <w:t>0</w:t>
            </w:r>
          </w:p>
        </w:tc>
        <w:tc>
          <w:tcPr>
            <w:tcW w:w="1559" w:type="dxa"/>
          </w:tcPr>
          <w:p w:rsidR="00B73196" w:rsidRDefault="00B73196" w:rsidP="008724B9">
            <w:pPr>
              <w:pStyle w:val="TableParagraph"/>
              <w:spacing w:before="3" w:line="281" w:lineRule="exact"/>
              <w:ind w:right="246"/>
              <w:jc w:val="right"/>
              <w:rPr>
                <w:sz w:val="24"/>
              </w:rPr>
            </w:pPr>
            <w:r>
              <w:rPr>
                <w:sz w:val="24"/>
              </w:rPr>
              <w:t>0</w:t>
            </w:r>
          </w:p>
        </w:tc>
        <w:tc>
          <w:tcPr>
            <w:tcW w:w="1559" w:type="dxa"/>
          </w:tcPr>
          <w:p w:rsidR="00B73196" w:rsidRDefault="00B73196" w:rsidP="008724B9">
            <w:pPr>
              <w:pStyle w:val="TableParagraph"/>
              <w:spacing w:before="3" w:line="281" w:lineRule="exact"/>
              <w:ind w:right="158"/>
              <w:jc w:val="right"/>
              <w:rPr>
                <w:sz w:val="24"/>
              </w:rPr>
            </w:pPr>
            <w:r>
              <w:rPr>
                <w:sz w:val="24"/>
              </w:rPr>
              <w:t>0</w:t>
            </w:r>
          </w:p>
        </w:tc>
        <w:tc>
          <w:tcPr>
            <w:tcW w:w="1560" w:type="dxa"/>
          </w:tcPr>
          <w:p w:rsidR="00B73196" w:rsidRDefault="00B73196" w:rsidP="008724B9">
            <w:pPr>
              <w:pStyle w:val="TableParagraph"/>
              <w:spacing w:before="8"/>
              <w:ind w:right="119"/>
              <w:jc w:val="right"/>
            </w:pPr>
            <w:r>
              <w:t>0</w:t>
            </w:r>
          </w:p>
        </w:tc>
        <w:tc>
          <w:tcPr>
            <w:tcW w:w="1559" w:type="dxa"/>
          </w:tcPr>
          <w:p w:rsidR="00B73196" w:rsidRDefault="00B73196" w:rsidP="008724B9">
            <w:pPr>
              <w:pStyle w:val="TableParagraph"/>
              <w:spacing w:before="8"/>
              <w:ind w:right="78"/>
              <w:jc w:val="right"/>
            </w:pPr>
            <w:r>
              <w:t>0</w:t>
            </w:r>
          </w:p>
        </w:tc>
      </w:tr>
      <w:tr w:rsidR="00B73196" w:rsidTr="00B73196">
        <w:trPr>
          <w:trHeight w:val="310"/>
        </w:trPr>
        <w:tc>
          <w:tcPr>
            <w:tcW w:w="1634" w:type="dxa"/>
          </w:tcPr>
          <w:p w:rsidR="00B73196" w:rsidRPr="00E47863" w:rsidRDefault="00B73196" w:rsidP="008724B9">
            <w:pPr>
              <w:pStyle w:val="TableParagraph"/>
              <w:spacing w:before="1"/>
              <w:ind w:left="50"/>
              <w:rPr>
                <w:sz w:val="24"/>
              </w:rPr>
            </w:pPr>
            <w:r w:rsidRPr="00E47863">
              <w:rPr>
                <w:sz w:val="24"/>
              </w:rPr>
              <w:t>Total</w:t>
            </w:r>
          </w:p>
        </w:tc>
        <w:tc>
          <w:tcPr>
            <w:tcW w:w="1560" w:type="dxa"/>
            <w:shd w:val="clear" w:color="auto" w:fill="auto"/>
          </w:tcPr>
          <w:p w:rsidR="00B73196" w:rsidRPr="00E47863" w:rsidRDefault="00B73196" w:rsidP="008724B9">
            <w:pPr>
              <w:pStyle w:val="TableParagraph"/>
              <w:spacing w:before="1" w:line="266" w:lineRule="exact"/>
              <w:ind w:left="50" w:right="78"/>
              <w:jc w:val="right"/>
              <w:rPr>
                <w:sz w:val="24"/>
              </w:rPr>
            </w:pPr>
            <w:r w:rsidRPr="00E47863">
              <w:rPr>
                <w:sz w:val="24"/>
              </w:rPr>
              <w:t>5,177</w:t>
            </w:r>
          </w:p>
        </w:tc>
        <w:tc>
          <w:tcPr>
            <w:tcW w:w="1417" w:type="dxa"/>
          </w:tcPr>
          <w:p w:rsidR="00B73196" w:rsidRPr="00E47863" w:rsidRDefault="00B73196" w:rsidP="008724B9">
            <w:pPr>
              <w:pStyle w:val="TableParagraph"/>
              <w:spacing w:before="1" w:line="266" w:lineRule="exact"/>
              <w:ind w:left="50" w:right="150"/>
              <w:jc w:val="right"/>
              <w:rPr>
                <w:sz w:val="24"/>
              </w:rPr>
            </w:pPr>
            <w:r>
              <w:rPr>
                <w:sz w:val="24"/>
              </w:rPr>
              <w:t>0</w:t>
            </w:r>
          </w:p>
        </w:tc>
        <w:tc>
          <w:tcPr>
            <w:tcW w:w="1418" w:type="dxa"/>
          </w:tcPr>
          <w:p w:rsidR="00B73196" w:rsidRPr="00E47863" w:rsidRDefault="00B73196" w:rsidP="008724B9">
            <w:pPr>
              <w:pStyle w:val="TableParagraph"/>
              <w:spacing w:before="1" w:line="266" w:lineRule="exact"/>
              <w:ind w:left="50" w:right="92"/>
              <w:jc w:val="right"/>
              <w:rPr>
                <w:sz w:val="24"/>
              </w:rPr>
            </w:pPr>
            <w:r>
              <w:rPr>
                <w:sz w:val="24"/>
              </w:rPr>
              <w:t>0</w:t>
            </w:r>
          </w:p>
        </w:tc>
        <w:tc>
          <w:tcPr>
            <w:tcW w:w="1417" w:type="dxa"/>
          </w:tcPr>
          <w:p w:rsidR="00B73196" w:rsidRPr="00E47863" w:rsidRDefault="00B73196" w:rsidP="008724B9">
            <w:pPr>
              <w:pStyle w:val="TableParagraph"/>
              <w:spacing w:before="1" w:line="266" w:lineRule="exact"/>
              <w:ind w:left="50" w:right="72"/>
              <w:jc w:val="right"/>
              <w:rPr>
                <w:sz w:val="24"/>
              </w:rPr>
            </w:pPr>
            <w:r w:rsidRPr="00E47863">
              <w:rPr>
                <w:sz w:val="24"/>
              </w:rPr>
              <w:t>5,177</w:t>
            </w:r>
          </w:p>
        </w:tc>
        <w:tc>
          <w:tcPr>
            <w:tcW w:w="1843" w:type="dxa"/>
          </w:tcPr>
          <w:p w:rsidR="00B73196" w:rsidRPr="00E47863" w:rsidRDefault="00B73196" w:rsidP="008724B9">
            <w:pPr>
              <w:pStyle w:val="TableParagraph"/>
              <w:spacing w:before="1" w:line="266" w:lineRule="exact"/>
              <w:ind w:left="50" w:right="72"/>
              <w:jc w:val="right"/>
              <w:rPr>
                <w:sz w:val="24"/>
              </w:rPr>
            </w:pPr>
            <w:r w:rsidRPr="00E47863">
              <w:rPr>
                <w:sz w:val="24"/>
              </w:rPr>
              <w:t>5,177</w:t>
            </w:r>
          </w:p>
        </w:tc>
        <w:tc>
          <w:tcPr>
            <w:tcW w:w="1559" w:type="dxa"/>
          </w:tcPr>
          <w:p w:rsidR="00B73196" w:rsidRPr="00E47863" w:rsidRDefault="00B73196" w:rsidP="008724B9">
            <w:pPr>
              <w:pStyle w:val="TableParagraph"/>
              <w:spacing w:before="1" w:line="266" w:lineRule="exact"/>
              <w:ind w:left="50" w:right="246"/>
              <w:jc w:val="right"/>
              <w:rPr>
                <w:sz w:val="24"/>
              </w:rPr>
            </w:pPr>
            <w:r w:rsidRPr="00E47863">
              <w:rPr>
                <w:sz w:val="24"/>
              </w:rPr>
              <w:t>5,177</w:t>
            </w:r>
          </w:p>
        </w:tc>
        <w:tc>
          <w:tcPr>
            <w:tcW w:w="1559" w:type="dxa"/>
          </w:tcPr>
          <w:p w:rsidR="00B73196" w:rsidRPr="00E47863" w:rsidRDefault="00B73196" w:rsidP="008724B9">
            <w:pPr>
              <w:pStyle w:val="TableParagraph"/>
              <w:spacing w:before="1" w:line="266" w:lineRule="exact"/>
              <w:ind w:left="50" w:right="158"/>
              <w:jc w:val="right"/>
              <w:rPr>
                <w:sz w:val="24"/>
              </w:rPr>
            </w:pPr>
            <w:r>
              <w:rPr>
                <w:sz w:val="24"/>
              </w:rPr>
              <w:t>0</w:t>
            </w:r>
          </w:p>
        </w:tc>
        <w:tc>
          <w:tcPr>
            <w:tcW w:w="1560" w:type="dxa"/>
          </w:tcPr>
          <w:p w:rsidR="00B73196" w:rsidRPr="00E47863" w:rsidRDefault="00B73196" w:rsidP="008724B9">
            <w:pPr>
              <w:pStyle w:val="TableParagraph"/>
              <w:spacing w:before="1" w:line="262" w:lineRule="exact"/>
              <w:ind w:left="50" w:right="119"/>
              <w:jc w:val="right"/>
              <w:rPr>
                <w:sz w:val="24"/>
              </w:rPr>
            </w:pPr>
            <w:r>
              <w:rPr>
                <w:sz w:val="24"/>
              </w:rPr>
              <w:t>0</w:t>
            </w:r>
          </w:p>
        </w:tc>
        <w:tc>
          <w:tcPr>
            <w:tcW w:w="1559" w:type="dxa"/>
          </w:tcPr>
          <w:p w:rsidR="00B73196" w:rsidRPr="00E47863" w:rsidRDefault="00B73196" w:rsidP="008724B9">
            <w:pPr>
              <w:pStyle w:val="TableParagraph"/>
              <w:spacing w:before="1" w:line="262" w:lineRule="exact"/>
              <w:ind w:left="50" w:right="78"/>
              <w:jc w:val="right"/>
              <w:rPr>
                <w:sz w:val="24"/>
              </w:rPr>
            </w:pPr>
            <w:r>
              <w:rPr>
                <w:sz w:val="24"/>
              </w:rPr>
              <w:t>0</w:t>
            </w:r>
          </w:p>
        </w:tc>
      </w:tr>
    </w:tbl>
    <w:p w:rsidR="00B73196" w:rsidRDefault="00B73196" w:rsidP="00250B68">
      <w:pPr>
        <w:tabs>
          <w:tab w:val="left" w:pos="8923"/>
        </w:tabs>
        <w:spacing w:before="33"/>
        <w:rPr>
          <w:spacing w:val="-4"/>
          <w:sz w:val="20"/>
        </w:rPr>
      </w:pPr>
    </w:p>
    <w:p w:rsidR="00B73196" w:rsidRDefault="00B73196">
      <w:pPr>
        <w:tabs>
          <w:tab w:val="left" w:pos="8923"/>
        </w:tabs>
        <w:spacing w:before="33"/>
        <w:ind w:left="685"/>
        <w:rPr>
          <w:spacing w:val="-4"/>
          <w:sz w:val="20"/>
        </w:rPr>
      </w:pPr>
    </w:p>
    <w:p w:rsidR="00B73196" w:rsidRDefault="00B73196">
      <w:pPr>
        <w:tabs>
          <w:tab w:val="left" w:pos="8923"/>
        </w:tabs>
        <w:spacing w:before="33"/>
        <w:ind w:left="685"/>
        <w:rPr>
          <w:spacing w:val="-4"/>
          <w:sz w:val="20"/>
        </w:rPr>
      </w:pPr>
    </w:p>
    <w:p w:rsidR="00A1463E" w:rsidRDefault="00F52429">
      <w:pPr>
        <w:tabs>
          <w:tab w:val="left" w:pos="8923"/>
        </w:tabs>
        <w:spacing w:before="33"/>
        <w:ind w:left="685"/>
        <w:rPr>
          <w:sz w:val="20"/>
        </w:rPr>
      </w:pPr>
      <w:r>
        <w:rPr>
          <w:spacing w:val="-4"/>
          <w:sz w:val="20"/>
        </w:rPr>
        <w:t xml:space="preserve">(a) The amount </w:t>
      </w:r>
      <w:r>
        <w:rPr>
          <w:spacing w:val="-3"/>
          <w:sz w:val="20"/>
        </w:rPr>
        <w:t xml:space="preserve">of </w:t>
      </w:r>
      <w:r>
        <w:rPr>
          <w:spacing w:val="-5"/>
          <w:sz w:val="20"/>
        </w:rPr>
        <w:t xml:space="preserve">receivables excludes </w:t>
      </w:r>
      <w:r>
        <w:rPr>
          <w:spacing w:val="-3"/>
          <w:sz w:val="20"/>
        </w:rPr>
        <w:t xml:space="preserve">the </w:t>
      </w:r>
      <w:r>
        <w:rPr>
          <w:spacing w:val="-4"/>
          <w:sz w:val="20"/>
        </w:rPr>
        <w:t xml:space="preserve">GST </w:t>
      </w:r>
      <w:r>
        <w:rPr>
          <w:spacing w:val="-5"/>
          <w:sz w:val="20"/>
        </w:rPr>
        <w:t xml:space="preserve">recoverable from </w:t>
      </w:r>
      <w:r>
        <w:rPr>
          <w:spacing w:val="-3"/>
          <w:sz w:val="20"/>
        </w:rPr>
        <w:t>the</w:t>
      </w:r>
      <w:r>
        <w:rPr>
          <w:spacing w:val="-28"/>
          <w:sz w:val="20"/>
        </w:rPr>
        <w:t xml:space="preserve"> </w:t>
      </w:r>
      <w:r>
        <w:rPr>
          <w:spacing w:val="-10"/>
          <w:sz w:val="20"/>
        </w:rPr>
        <w:t xml:space="preserve">ATO </w:t>
      </w:r>
      <w:r>
        <w:rPr>
          <w:spacing w:val="-5"/>
          <w:sz w:val="20"/>
        </w:rPr>
        <w:t>(statutory</w:t>
      </w:r>
      <w:r>
        <w:rPr>
          <w:spacing w:val="-6"/>
          <w:sz w:val="20"/>
        </w:rPr>
        <w:t xml:space="preserve"> </w:t>
      </w:r>
      <w:r>
        <w:rPr>
          <w:spacing w:val="-5"/>
          <w:sz w:val="20"/>
        </w:rPr>
        <w:t>receivable).</w:t>
      </w:r>
      <w:r>
        <w:rPr>
          <w:spacing w:val="-5"/>
          <w:sz w:val="20"/>
        </w:rPr>
        <w:tab/>
      </w:r>
      <w:r>
        <w:rPr>
          <w:position w:val="3"/>
          <w:sz w:val="20"/>
        </w:rPr>
        <w:t xml:space="preserve">(b) The amount of payables excludes the GST payable to the </w:t>
      </w:r>
      <w:r>
        <w:rPr>
          <w:spacing w:val="-8"/>
          <w:position w:val="3"/>
          <w:sz w:val="20"/>
        </w:rPr>
        <w:t xml:space="preserve">ATO </w:t>
      </w:r>
      <w:r>
        <w:rPr>
          <w:position w:val="3"/>
          <w:sz w:val="20"/>
        </w:rPr>
        <w:t>(statutory</w:t>
      </w:r>
      <w:r>
        <w:rPr>
          <w:spacing w:val="-20"/>
          <w:position w:val="3"/>
          <w:sz w:val="20"/>
        </w:rPr>
        <w:t xml:space="preserve"> </w:t>
      </w:r>
      <w:r>
        <w:rPr>
          <w:position w:val="3"/>
          <w:sz w:val="20"/>
        </w:rPr>
        <w:t>payable).</w:t>
      </w:r>
    </w:p>
    <w:p w:rsidR="00A1463E" w:rsidRDefault="00F52429">
      <w:pPr>
        <w:spacing w:before="62" w:line="290" w:lineRule="exact"/>
        <w:ind w:left="685"/>
        <w:rPr>
          <w:i/>
          <w:sz w:val="24"/>
        </w:rPr>
      </w:pPr>
      <w:r>
        <w:rPr>
          <w:i/>
          <w:sz w:val="24"/>
        </w:rPr>
        <w:t>Fair values</w:t>
      </w:r>
    </w:p>
    <w:p w:rsidR="00A1463E" w:rsidRDefault="00F52429">
      <w:pPr>
        <w:pStyle w:val="BodyText"/>
        <w:spacing w:before="2" w:line="235" w:lineRule="auto"/>
        <w:ind w:left="685"/>
      </w:pPr>
      <w:r>
        <w:rPr>
          <w:spacing w:val="-6"/>
        </w:rPr>
        <w:t xml:space="preserve">All </w:t>
      </w:r>
      <w:r>
        <w:rPr>
          <w:spacing w:val="-7"/>
        </w:rPr>
        <w:t xml:space="preserve">financial assets </w:t>
      </w:r>
      <w:r>
        <w:rPr>
          <w:spacing w:val="-6"/>
        </w:rPr>
        <w:t xml:space="preserve">and </w:t>
      </w:r>
      <w:r>
        <w:rPr>
          <w:spacing w:val="-7"/>
        </w:rPr>
        <w:t xml:space="preserve">liabilities </w:t>
      </w:r>
      <w:proofErr w:type="spellStart"/>
      <w:r>
        <w:rPr>
          <w:spacing w:val="-8"/>
        </w:rPr>
        <w:t>recognised</w:t>
      </w:r>
      <w:proofErr w:type="spellEnd"/>
      <w:r>
        <w:rPr>
          <w:spacing w:val="-8"/>
        </w:rPr>
        <w:t xml:space="preserve"> </w:t>
      </w:r>
      <w:r>
        <w:rPr>
          <w:spacing w:val="-4"/>
        </w:rPr>
        <w:t xml:space="preserve">in </w:t>
      </w:r>
      <w:r>
        <w:rPr>
          <w:spacing w:val="-6"/>
        </w:rPr>
        <w:t>the</w:t>
      </w:r>
      <w:r>
        <w:rPr>
          <w:spacing w:val="-9"/>
        </w:rPr>
        <w:t xml:space="preserve"> Statement </w:t>
      </w:r>
      <w:r>
        <w:rPr>
          <w:spacing w:val="-4"/>
        </w:rPr>
        <w:t xml:space="preserve">of </w:t>
      </w:r>
      <w:r>
        <w:rPr>
          <w:spacing w:val="-8"/>
        </w:rPr>
        <w:t xml:space="preserve">Financial </w:t>
      </w:r>
      <w:r>
        <w:rPr>
          <w:spacing w:val="-7"/>
        </w:rPr>
        <w:t xml:space="preserve">Position, whether they are </w:t>
      </w:r>
      <w:r>
        <w:rPr>
          <w:spacing w:val="-8"/>
        </w:rPr>
        <w:t xml:space="preserve">carried </w:t>
      </w:r>
      <w:r>
        <w:rPr>
          <w:spacing w:val="-5"/>
        </w:rPr>
        <w:t xml:space="preserve">at </w:t>
      </w:r>
      <w:r>
        <w:rPr>
          <w:spacing w:val="-7"/>
        </w:rPr>
        <w:t xml:space="preserve">cost </w:t>
      </w:r>
      <w:r>
        <w:rPr>
          <w:spacing w:val="-4"/>
        </w:rPr>
        <w:t xml:space="preserve">or </w:t>
      </w:r>
      <w:r>
        <w:rPr>
          <w:spacing w:val="-7"/>
        </w:rPr>
        <w:t xml:space="preserve">fair </w:t>
      </w:r>
      <w:r>
        <w:rPr>
          <w:spacing w:val="-8"/>
        </w:rPr>
        <w:t xml:space="preserve">value, </w:t>
      </w:r>
      <w:r>
        <w:rPr>
          <w:spacing w:val="-7"/>
        </w:rPr>
        <w:t xml:space="preserve">are </w:t>
      </w:r>
      <w:proofErr w:type="spellStart"/>
      <w:r>
        <w:rPr>
          <w:spacing w:val="-8"/>
        </w:rPr>
        <w:t>recognised</w:t>
      </w:r>
      <w:proofErr w:type="spellEnd"/>
      <w:r>
        <w:rPr>
          <w:spacing w:val="-8"/>
        </w:rPr>
        <w:t xml:space="preserve"> </w:t>
      </w:r>
      <w:r>
        <w:rPr>
          <w:spacing w:val="-5"/>
        </w:rPr>
        <w:t xml:space="preserve">at </w:t>
      </w:r>
      <w:r>
        <w:rPr>
          <w:spacing w:val="-8"/>
        </w:rPr>
        <w:t xml:space="preserve">amounts </w:t>
      </w:r>
      <w:r>
        <w:rPr>
          <w:spacing w:val="-7"/>
        </w:rPr>
        <w:t xml:space="preserve">that </w:t>
      </w:r>
      <w:r>
        <w:rPr>
          <w:spacing w:val="-8"/>
        </w:rPr>
        <w:t xml:space="preserve">represent </w:t>
      </w:r>
      <w:r>
        <w:t xml:space="preserve">a </w:t>
      </w:r>
      <w:r>
        <w:rPr>
          <w:spacing w:val="-7"/>
        </w:rPr>
        <w:t xml:space="preserve">reasonable </w:t>
      </w:r>
      <w:r>
        <w:rPr>
          <w:spacing w:val="-8"/>
        </w:rPr>
        <w:t xml:space="preserve">approximation </w:t>
      </w:r>
      <w:r>
        <w:rPr>
          <w:spacing w:val="-4"/>
        </w:rPr>
        <w:t xml:space="preserve">of </w:t>
      </w:r>
      <w:r>
        <w:rPr>
          <w:spacing w:val="-7"/>
        </w:rPr>
        <w:t xml:space="preserve">fair value unless otherwise </w:t>
      </w:r>
      <w:r>
        <w:rPr>
          <w:spacing w:val="-8"/>
        </w:rPr>
        <w:t xml:space="preserve">stated </w:t>
      </w:r>
      <w:r>
        <w:rPr>
          <w:spacing w:val="-4"/>
        </w:rPr>
        <w:t xml:space="preserve">in </w:t>
      </w:r>
      <w:r>
        <w:rPr>
          <w:spacing w:val="-6"/>
        </w:rPr>
        <w:t xml:space="preserve">the </w:t>
      </w:r>
      <w:r>
        <w:rPr>
          <w:spacing w:val="-8"/>
        </w:rPr>
        <w:t xml:space="preserve">applicable </w:t>
      </w:r>
      <w:r>
        <w:rPr>
          <w:spacing w:val="-9"/>
        </w:rPr>
        <w:t>notes.</w:t>
      </w:r>
    </w:p>
    <w:p w:rsidR="00A1463E" w:rsidRDefault="00A1463E">
      <w:pPr>
        <w:spacing w:line="235" w:lineRule="auto"/>
        <w:sectPr w:rsidR="00A1463E">
          <w:pgSz w:w="16840" w:h="11910" w:orient="landscape"/>
          <w:pgMar w:top="540" w:right="0" w:bottom="360" w:left="0" w:header="229" w:footer="145" w:gutter="0"/>
          <w:cols w:space="720"/>
        </w:sectPr>
      </w:pP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A1463E">
      <w:pPr>
        <w:rPr>
          <w:sz w:val="14"/>
        </w:rPr>
        <w:sectPr w:rsidR="00A1463E">
          <w:pgSz w:w="16840" w:h="11910" w:orient="landscape"/>
          <w:pgMar w:top="540" w:right="0" w:bottom="360" w:left="0" w:header="229" w:footer="145" w:gutter="0"/>
          <w:cols w:space="720"/>
        </w:sectPr>
      </w:pPr>
    </w:p>
    <w:p w:rsidR="00A1463E" w:rsidRDefault="00F52429">
      <w:pPr>
        <w:pStyle w:val="Heading2"/>
        <w:ind w:left="685"/>
      </w:pPr>
      <w:r>
        <w:rPr>
          <w:color w:val="353434"/>
        </w:rPr>
        <w:t>Note 31. Special purpose accounts - administered</w:t>
      </w:r>
    </w:p>
    <w:p w:rsidR="00A1463E" w:rsidRDefault="00F52429">
      <w:pPr>
        <w:spacing w:before="143"/>
        <w:ind w:left="685"/>
        <w:rPr>
          <w:sz w:val="14"/>
        </w:rPr>
      </w:pPr>
      <w:r>
        <w:rPr>
          <w:i/>
          <w:sz w:val="24"/>
        </w:rPr>
        <w:t xml:space="preserve">ICT Renewal and Reform Fund </w:t>
      </w:r>
      <w:r>
        <w:rPr>
          <w:i/>
          <w:position w:val="8"/>
          <w:sz w:val="14"/>
        </w:rPr>
        <w:t>(</w:t>
      </w:r>
      <w:r>
        <w:rPr>
          <w:position w:val="8"/>
          <w:sz w:val="14"/>
        </w:rPr>
        <w:t>a)</w:t>
      </w:r>
    </w:p>
    <w:p w:rsidR="00A1463E" w:rsidRDefault="00F52429">
      <w:pPr>
        <w:pStyle w:val="BodyText"/>
        <w:spacing w:before="113" w:after="47" w:line="235" w:lineRule="auto"/>
        <w:ind w:left="685" w:right="153"/>
        <w:jc w:val="both"/>
      </w:pPr>
      <w:r>
        <w:t xml:space="preserve">The purpose of the account is to expedite the delivery of Information and Communication </w:t>
      </w:r>
      <w:r>
        <w:rPr>
          <w:spacing w:val="-3"/>
        </w:rPr>
        <w:t xml:space="preserve">Technology </w:t>
      </w:r>
      <w:r>
        <w:t xml:space="preserve">(ICT) </w:t>
      </w:r>
      <w:r>
        <w:rPr>
          <w:spacing w:val="-3"/>
        </w:rPr>
        <w:t xml:space="preserve">reform </w:t>
      </w:r>
      <w:r>
        <w:t xml:space="preserve">across the </w:t>
      </w:r>
      <w:r>
        <w:rPr>
          <w:spacing w:val="-3"/>
        </w:rPr>
        <w:t xml:space="preserve">Western </w:t>
      </w:r>
      <w:r>
        <w:t>Australia Public Sector</w:t>
      </w:r>
      <w:r>
        <w:rPr>
          <w:spacing w:val="-16"/>
        </w:rPr>
        <w:t xml:space="preserve"> </w:t>
      </w:r>
      <w:r>
        <w:t>in</w:t>
      </w:r>
      <w:r>
        <w:rPr>
          <w:spacing w:val="-16"/>
        </w:rPr>
        <w:t xml:space="preserve"> </w:t>
      </w:r>
      <w:r>
        <w:t>an</w:t>
      </w:r>
      <w:r>
        <w:rPr>
          <w:spacing w:val="-16"/>
        </w:rPr>
        <w:t xml:space="preserve"> </w:t>
      </w:r>
      <w:r>
        <w:t>efficient</w:t>
      </w:r>
      <w:r>
        <w:rPr>
          <w:spacing w:val="-16"/>
        </w:rPr>
        <w:t xml:space="preserve"> </w:t>
      </w:r>
      <w:r>
        <w:t>and</w:t>
      </w:r>
      <w:r>
        <w:rPr>
          <w:spacing w:val="-16"/>
        </w:rPr>
        <w:t xml:space="preserve"> </w:t>
      </w:r>
      <w:r>
        <w:t>cost-effective</w:t>
      </w:r>
      <w:r>
        <w:rPr>
          <w:spacing w:val="-16"/>
        </w:rPr>
        <w:t xml:space="preserve"> </w:t>
      </w:r>
      <w:r>
        <w:t>manner</w:t>
      </w:r>
      <w:r>
        <w:rPr>
          <w:spacing w:val="-16"/>
        </w:rPr>
        <w:t xml:space="preserve"> </w:t>
      </w:r>
      <w:r>
        <w:t>as</w:t>
      </w:r>
      <w:r>
        <w:rPr>
          <w:spacing w:val="-16"/>
        </w:rPr>
        <w:t xml:space="preserve"> </w:t>
      </w:r>
      <w:r>
        <w:t>approved</w:t>
      </w:r>
      <w:r>
        <w:rPr>
          <w:spacing w:val="-16"/>
        </w:rPr>
        <w:t xml:space="preserve"> </w:t>
      </w:r>
      <w:r>
        <w:t>by</w:t>
      </w:r>
      <w:r>
        <w:rPr>
          <w:spacing w:val="-16"/>
        </w:rPr>
        <w:t xml:space="preserve"> </w:t>
      </w:r>
      <w:r>
        <w:t>the</w:t>
      </w:r>
      <w:r>
        <w:rPr>
          <w:spacing w:val="-16"/>
        </w:rPr>
        <w:t xml:space="preserve"> </w:t>
      </w:r>
      <w:r>
        <w:t>Economic</w:t>
      </w:r>
      <w:r w:rsidR="00380E15">
        <w:t xml:space="preserve"> and Expenditure Reform Committee and/or Cabinet.</w:t>
      </w:r>
    </w:p>
    <w:tbl>
      <w:tblPr>
        <w:tblW w:w="106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1"/>
        <w:gridCol w:w="1420"/>
        <w:gridCol w:w="1300"/>
      </w:tblGrid>
      <w:tr w:rsidR="00380E15" w:rsidRPr="00380E15" w:rsidTr="00D40680">
        <w:trPr>
          <w:trHeight w:val="510"/>
        </w:trPr>
        <w:tc>
          <w:tcPr>
            <w:tcW w:w="7911" w:type="dxa"/>
            <w:shd w:val="clear" w:color="auto" w:fill="auto"/>
            <w:vAlign w:val="center"/>
            <w:hideMark/>
          </w:tcPr>
          <w:p w:rsidR="00380E15" w:rsidRPr="00380E15" w:rsidRDefault="00380E15" w:rsidP="00380E15">
            <w:pPr>
              <w:widowControl/>
              <w:autoSpaceDE/>
              <w:autoSpaceDN/>
              <w:jc w:val="both"/>
              <w:rPr>
                <w:rFonts w:ascii="Arial" w:eastAsia="Times New Roman" w:hAnsi="Arial" w:cs="Arial"/>
                <w:i/>
                <w:iCs/>
                <w:sz w:val="20"/>
                <w:szCs w:val="20"/>
                <w:lang w:val="en-AU" w:eastAsia="en-AU" w:bidi="ar-SA"/>
              </w:rPr>
            </w:pPr>
            <w:r w:rsidRPr="00380E15">
              <w:rPr>
                <w:rFonts w:ascii="Arial" w:eastAsia="Times New Roman" w:hAnsi="Arial" w:cs="Arial"/>
                <w:i/>
                <w:iCs/>
                <w:sz w:val="20"/>
                <w:szCs w:val="20"/>
                <w:lang w:val="en-AU" w:eastAsia="en-AU" w:bidi="ar-SA"/>
              </w:rPr>
              <w:t> </w:t>
            </w:r>
            <w:r w:rsidR="00F12DD0">
              <w:rPr>
                <w:rFonts w:ascii="Arial" w:eastAsia="Times New Roman" w:hAnsi="Arial" w:cs="Arial"/>
                <w:i/>
                <w:iCs/>
                <w:sz w:val="20"/>
                <w:szCs w:val="20"/>
                <w:lang w:val="en-AU" w:eastAsia="en-AU" w:bidi="ar-SA"/>
              </w:rPr>
              <w:t>Special accounts administered</w:t>
            </w:r>
          </w:p>
        </w:tc>
        <w:tc>
          <w:tcPr>
            <w:tcW w:w="1420" w:type="dxa"/>
            <w:shd w:val="clear" w:color="auto" w:fill="auto"/>
            <w:vAlign w:val="bottom"/>
            <w:hideMark/>
          </w:tcPr>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2018</w:t>
            </w:r>
            <w:r w:rsidRPr="00380E15">
              <w:rPr>
                <w:rFonts w:ascii="Arial" w:eastAsia="Times New Roman" w:hAnsi="Arial" w:cs="Arial"/>
                <w:b/>
                <w:bCs/>
                <w:sz w:val="20"/>
                <w:szCs w:val="20"/>
                <w:lang w:val="en-AU" w:eastAsia="en-AU" w:bidi="ar-SA"/>
              </w:rPr>
              <w:br/>
              <w:t>$000</w:t>
            </w:r>
          </w:p>
        </w:tc>
        <w:tc>
          <w:tcPr>
            <w:tcW w:w="1300" w:type="dxa"/>
            <w:shd w:val="clear" w:color="auto" w:fill="auto"/>
            <w:vAlign w:val="center"/>
            <w:hideMark/>
          </w:tcPr>
          <w:p w:rsidR="00380E15" w:rsidRPr="00380E15" w:rsidRDefault="00380E15" w:rsidP="00380E15">
            <w:pPr>
              <w:widowControl/>
              <w:autoSpaceDE/>
              <w:autoSpaceDN/>
              <w:jc w:val="right"/>
              <w:rPr>
                <w:rFonts w:ascii="Arial" w:eastAsia="Times New Roman" w:hAnsi="Arial" w:cs="Arial"/>
                <w:b/>
                <w:bCs/>
                <w:sz w:val="18"/>
                <w:szCs w:val="18"/>
                <w:lang w:val="en-AU" w:eastAsia="en-AU" w:bidi="ar-SA"/>
              </w:rPr>
            </w:pPr>
            <w:r w:rsidRPr="00380E15">
              <w:rPr>
                <w:rFonts w:ascii="Arial" w:eastAsia="Times New Roman" w:hAnsi="Arial" w:cs="Arial"/>
                <w:b/>
                <w:bCs/>
                <w:sz w:val="18"/>
                <w:szCs w:val="18"/>
                <w:lang w:val="en-AU" w:eastAsia="en-AU" w:bidi="ar-SA"/>
              </w:rPr>
              <w:t>2017</w:t>
            </w:r>
            <w:r w:rsidRPr="00380E15">
              <w:rPr>
                <w:rFonts w:ascii="Arial" w:eastAsia="Times New Roman" w:hAnsi="Arial" w:cs="Arial"/>
                <w:b/>
                <w:bCs/>
                <w:sz w:val="18"/>
                <w:szCs w:val="18"/>
                <w:lang w:val="en-AU" w:eastAsia="en-AU" w:bidi="ar-SA"/>
              </w:rPr>
              <w:br/>
              <w:t>$000</w:t>
            </w:r>
          </w:p>
        </w:tc>
      </w:tr>
      <w:tr w:rsidR="00380E15" w:rsidRPr="00380E15" w:rsidTr="00380E15">
        <w:trPr>
          <w:trHeight w:val="255"/>
        </w:trPr>
        <w:tc>
          <w:tcPr>
            <w:tcW w:w="7911" w:type="dxa"/>
            <w:shd w:val="clear" w:color="auto" w:fill="auto"/>
            <w:vAlign w:val="center"/>
            <w:hideMark/>
          </w:tcPr>
          <w:p w:rsidR="00380E15" w:rsidRPr="00380E15" w:rsidRDefault="00380E15" w:rsidP="00380E15">
            <w:pPr>
              <w:widowControl/>
              <w:autoSpaceDE/>
              <w:autoSpaceDN/>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Balance at start of period</w:t>
            </w:r>
          </w:p>
        </w:tc>
        <w:tc>
          <w:tcPr>
            <w:tcW w:w="1420" w:type="dxa"/>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6,826</w:t>
            </w:r>
          </w:p>
        </w:tc>
        <w:tc>
          <w:tcPr>
            <w:tcW w:w="1300" w:type="dxa"/>
            <w:shd w:val="clear" w:color="auto" w:fill="auto"/>
            <w:vAlign w:val="bottom"/>
            <w:hideMark/>
          </w:tcPr>
          <w:p w:rsidR="00380E15" w:rsidRPr="00380E15" w:rsidRDefault="00380E15" w:rsidP="00380E15">
            <w:pPr>
              <w:widowControl/>
              <w:autoSpaceDE/>
              <w:autoSpaceDN/>
              <w:jc w:val="right"/>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5,224</w:t>
            </w:r>
          </w:p>
        </w:tc>
      </w:tr>
      <w:tr w:rsidR="00380E15" w:rsidRPr="00380E15" w:rsidTr="00380E15">
        <w:trPr>
          <w:trHeight w:val="255"/>
        </w:trPr>
        <w:tc>
          <w:tcPr>
            <w:tcW w:w="7911" w:type="dxa"/>
            <w:shd w:val="clear" w:color="auto" w:fill="auto"/>
            <w:vAlign w:val="center"/>
            <w:hideMark/>
          </w:tcPr>
          <w:p w:rsidR="00380E15" w:rsidRPr="00380E15" w:rsidRDefault="00380E15" w:rsidP="00380E15">
            <w:pPr>
              <w:widowControl/>
              <w:autoSpaceDE/>
              <w:autoSpaceDN/>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Receipts</w:t>
            </w:r>
          </w:p>
        </w:tc>
        <w:tc>
          <w:tcPr>
            <w:tcW w:w="1420" w:type="dxa"/>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0</w:t>
            </w:r>
          </w:p>
        </w:tc>
        <w:tc>
          <w:tcPr>
            <w:tcW w:w="1300" w:type="dxa"/>
            <w:shd w:val="clear" w:color="auto" w:fill="auto"/>
            <w:vAlign w:val="bottom"/>
            <w:hideMark/>
          </w:tcPr>
          <w:p w:rsidR="00380E15" w:rsidRPr="00380E15" w:rsidRDefault="00380E15" w:rsidP="00380E15">
            <w:pPr>
              <w:widowControl/>
              <w:autoSpaceDE/>
              <w:autoSpaceDN/>
              <w:jc w:val="right"/>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5,632</w:t>
            </w:r>
          </w:p>
        </w:tc>
      </w:tr>
      <w:tr w:rsidR="00380E15" w:rsidRPr="00380E15" w:rsidTr="00380E15">
        <w:trPr>
          <w:trHeight w:val="255"/>
        </w:trPr>
        <w:tc>
          <w:tcPr>
            <w:tcW w:w="7911" w:type="dxa"/>
            <w:shd w:val="clear" w:color="auto" w:fill="auto"/>
            <w:vAlign w:val="center"/>
            <w:hideMark/>
          </w:tcPr>
          <w:p w:rsidR="00380E15" w:rsidRPr="00380E15" w:rsidRDefault="00380E15" w:rsidP="00380E15">
            <w:pPr>
              <w:widowControl/>
              <w:autoSpaceDE/>
              <w:autoSpaceDN/>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Payments</w:t>
            </w:r>
          </w:p>
        </w:tc>
        <w:tc>
          <w:tcPr>
            <w:tcW w:w="1420" w:type="dxa"/>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(5,463)</w:t>
            </w:r>
          </w:p>
        </w:tc>
        <w:tc>
          <w:tcPr>
            <w:tcW w:w="1300" w:type="dxa"/>
            <w:shd w:val="clear" w:color="auto" w:fill="auto"/>
            <w:vAlign w:val="bottom"/>
            <w:hideMark/>
          </w:tcPr>
          <w:p w:rsidR="00380E15" w:rsidRPr="00380E15" w:rsidRDefault="00380E15" w:rsidP="00380E15">
            <w:pPr>
              <w:widowControl/>
              <w:autoSpaceDE/>
              <w:autoSpaceDN/>
              <w:jc w:val="right"/>
              <w:rPr>
                <w:rFonts w:ascii="Arial" w:eastAsia="Times New Roman" w:hAnsi="Arial" w:cs="Arial"/>
                <w:color w:val="000000"/>
                <w:sz w:val="20"/>
                <w:szCs w:val="20"/>
                <w:lang w:val="en-AU" w:eastAsia="en-AU" w:bidi="ar-SA"/>
              </w:rPr>
            </w:pPr>
            <w:r w:rsidRPr="00380E15">
              <w:rPr>
                <w:rFonts w:ascii="Arial" w:eastAsia="Times New Roman" w:hAnsi="Arial" w:cs="Arial"/>
                <w:color w:val="000000"/>
                <w:sz w:val="20"/>
                <w:szCs w:val="20"/>
                <w:lang w:val="en-AU" w:eastAsia="en-AU" w:bidi="ar-SA"/>
              </w:rPr>
              <w:t>(4,030)</w:t>
            </w:r>
          </w:p>
        </w:tc>
      </w:tr>
      <w:tr w:rsidR="00380E15" w:rsidRPr="00380E15" w:rsidTr="00380E15">
        <w:trPr>
          <w:trHeight w:val="270"/>
        </w:trPr>
        <w:tc>
          <w:tcPr>
            <w:tcW w:w="7911" w:type="dxa"/>
            <w:shd w:val="clear" w:color="auto" w:fill="auto"/>
            <w:vAlign w:val="center"/>
            <w:hideMark/>
          </w:tcPr>
          <w:p w:rsidR="00380E15" w:rsidRPr="00380E15" w:rsidRDefault="00380E15" w:rsidP="00380E15">
            <w:pPr>
              <w:widowControl/>
              <w:autoSpaceDE/>
              <w:autoSpaceDN/>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Balance at end of period</w:t>
            </w:r>
          </w:p>
        </w:tc>
        <w:tc>
          <w:tcPr>
            <w:tcW w:w="1420" w:type="dxa"/>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1,363</w:t>
            </w:r>
          </w:p>
        </w:tc>
        <w:tc>
          <w:tcPr>
            <w:tcW w:w="1300" w:type="dxa"/>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6,826</w:t>
            </w:r>
          </w:p>
        </w:tc>
      </w:tr>
    </w:tbl>
    <w:p w:rsidR="00A1463E" w:rsidRDefault="00F52429" w:rsidP="00380E15">
      <w:pPr>
        <w:ind w:left="709"/>
        <w:jc w:val="both"/>
        <w:rPr>
          <w:sz w:val="20"/>
        </w:rPr>
      </w:pPr>
      <w:r>
        <w:rPr>
          <w:sz w:val="20"/>
        </w:rPr>
        <w:t>(a) Established under section 16(1)(d) of Financial Management Act 2006.</w:t>
      </w:r>
    </w:p>
    <w:p w:rsidR="00A1463E" w:rsidRDefault="00F52429" w:rsidP="00AE0087">
      <w:pPr>
        <w:pStyle w:val="Heading2"/>
        <w:ind w:left="567"/>
      </w:pPr>
      <w:r>
        <w:rPr>
          <w:color w:val="353434"/>
        </w:rPr>
        <w:t>Note 32. Supplementary financial information</w:t>
      </w:r>
    </w:p>
    <w:p w:rsidR="00A1463E" w:rsidRDefault="00F52429" w:rsidP="00A47797">
      <w:pPr>
        <w:pStyle w:val="Heading3"/>
        <w:ind w:left="567"/>
      </w:pPr>
      <w:r>
        <w:t>Write-offs</w:t>
      </w:r>
    </w:p>
    <w:p w:rsidR="00A1463E" w:rsidRDefault="00A1463E"/>
    <w:p w:rsidR="00AE0087" w:rsidRDefault="00AE0087" w:rsidP="00AE0087">
      <w:pPr>
        <w:ind w:left="567"/>
      </w:pPr>
      <w:r w:rsidRPr="00AE0087">
        <w:t>No public property was written-off by the sub-department during the reporting period.</w:t>
      </w:r>
    </w:p>
    <w:p w:rsidR="002A7DE5" w:rsidRPr="006604EC" w:rsidRDefault="002A7DE5" w:rsidP="00AE0087">
      <w:pPr>
        <w:ind w:left="567"/>
        <w:rPr>
          <w:b/>
        </w:rPr>
      </w:pPr>
    </w:p>
    <w:tbl>
      <w:tblPr>
        <w:tblStyle w:val="TableGrid"/>
        <w:tblW w:w="0" w:type="auto"/>
        <w:tblInd w:w="562" w:type="dxa"/>
        <w:tblLook w:val="04A0" w:firstRow="1" w:lastRow="0" w:firstColumn="1" w:lastColumn="0" w:noHBand="0" w:noVBand="1"/>
        <w:tblCaption w:val="losses through theft, default and other causes"/>
        <w:tblDescription w:val="table showing figures for losses through theft, default and other causes as part of the supplementary financial information"/>
      </w:tblPr>
      <w:tblGrid>
        <w:gridCol w:w="7938"/>
        <w:gridCol w:w="1560"/>
        <w:gridCol w:w="1275"/>
      </w:tblGrid>
      <w:tr w:rsidR="00F12DD0" w:rsidRPr="006604EC" w:rsidTr="006604EC">
        <w:trPr>
          <w:tblHeader/>
        </w:trPr>
        <w:tc>
          <w:tcPr>
            <w:tcW w:w="7938" w:type="dxa"/>
          </w:tcPr>
          <w:p w:rsidR="00F12DD0" w:rsidRPr="006604EC" w:rsidRDefault="00F12DD0" w:rsidP="00DC3AEB">
            <w:pPr>
              <w:rPr>
                <w:b/>
              </w:rPr>
            </w:pPr>
            <w:r w:rsidRPr="006604EC">
              <w:rPr>
                <w:b/>
              </w:rPr>
              <w:t>(b) losses through theft, default and other causes</w:t>
            </w:r>
          </w:p>
        </w:tc>
        <w:tc>
          <w:tcPr>
            <w:tcW w:w="1560" w:type="dxa"/>
          </w:tcPr>
          <w:p w:rsidR="00F12DD0" w:rsidRPr="006604EC" w:rsidRDefault="00F12DD0" w:rsidP="00DC3AEB">
            <w:pPr>
              <w:rPr>
                <w:b/>
              </w:rPr>
            </w:pPr>
            <w:r w:rsidRPr="006604EC">
              <w:rPr>
                <w:b/>
              </w:rPr>
              <w:t>2018 $000</w:t>
            </w:r>
          </w:p>
        </w:tc>
        <w:tc>
          <w:tcPr>
            <w:tcW w:w="1275" w:type="dxa"/>
          </w:tcPr>
          <w:p w:rsidR="00F12DD0" w:rsidRPr="006604EC" w:rsidRDefault="00F12DD0" w:rsidP="00DC3AEB">
            <w:pPr>
              <w:rPr>
                <w:b/>
              </w:rPr>
            </w:pPr>
            <w:r w:rsidRPr="006604EC">
              <w:rPr>
                <w:b/>
              </w:rPr>
              <w:t>2017 $000</w:t>
            </w:r>
          </w:p>
        </w:tc>
      </w:tr>
      <w:tr w:rsidR="00F12DD0" w:rsidTr="00F12DD0">
        <w:tc>
          <w:tcPr>
            <w:tcW w:w="7938" w:type="dxa"/>
          </w:tcPr>
          <w:p w:rsidR="00F12DD0" w:rsidRDefault="00F12DD0" w:rsidP="00DC3AEB">
            <w:r w:rsidRPr="002A7DE5">
              <w:rPr>
                <w:rFonts w:ascii="Arial" w:eastAsia="Times New Roman" w:hAnsi="Arial" w:cs="Arial"/>
                <w:sz w:val="20"/>
                <w:szCs w:val="20"/>
                <w:lang w:val="en-AU" w:eastAsia="en-AU" w:bidi="ar-SA"/>
              </w:rPr>
              <w:t>Losses of public money and public and other property through theft or default</w:t>
            </w:r>
          </w:p>
        </w:tc>
        <w:tc>
          <w:tcPr>
            <w:tcW w:w="1560" w:type="dxa"/>
          </w:tcPr>
          <w:p w:rsidR="00F12DD0" w:rsidRDefault="00F12DD0" w:rsidP="00DC3AEB">
            <w:r>
              <w:t>0</w:t>
            </w:r>
          </w:p>
        </w:tc>
        <w:tc>
          <w:tcPr>
            <w:tcW w:w="1275" w:type="dxa"/>
          </w:tcPr>
          <w:p w:rsidR="00F12DD0" w:rsidRDefault="00F12DD0" w:rsidP="00DC3AEB">
            <w:r>
              <w:t>0</w:t>
            </w:r>
          </w:p>
        </w:tc>
      </w:tr>
      <w:tr w:rsidR="00F12DD0" w:rsidTr="00F12DD0">
        <w:tc>
          <w:tcPr>
            <w:tcW w:w="7938" w:type="dxa"/>
          </w:tcPr>
          <w:p w:rsidR="00F12DD0" w:rsidRDefault="00F12DD0" w:rsidP="00DC3AEB">
            <w:r w:rsidRPr="002A7DE5">
              <w:rPr>
                <w:rFonts w:ascii="Arial" w:eastAsia="Times New Roman" w:hAnsi="Arial" w:cs="Arial"/>
                <w:sz w:val="20"/>
                <w:szCs w:val="20"/>
                <w:lang w:val="en-AU" w:eastAsia="en-AU" w:bidi="ar-SA"/>
              </w:rPr>
              <w:t>Amounts recovered</w:t>
            </w:r>
          </w:p>
        </w:tc>
        <w:tc>
          <w:tcPr>
            <w:tcW w:w="1560" w:type="dxa"/>
          </w:tcPr>
          <w:p w:rsidR="00F12DD0" w:rsidRDefault="00F12DD0" w:rsidP="00DC3AEB">
            <w:r>
              <w:t>0</w:t>
            </w:r>
          </w:p>
        </w:tc>
        <w:tc>
          <w:tcPr>
            <w:tcW w:w="1275" w:type="dxa"/>
          </w:tcPr>
          <w:p w:rsidR="00F12DD0" w:rsidRDefault="00F12DD0" w:rsidP="00DC3AEB">
            <w:r>
              <w:t>0</w:t>
            </w:r>
          </w:p>
        </w:tc>
      </w:tr>
      <w:tr w:rsidR="00F12DD0" w:rsidTr="00F12DD0">
        <w:tc>
          <w:tcPr>
            <w:tcW w:w="7938" w:type="dxa"/>
          </w:tcPr>
          <w:p w:rsidR="00F12DD0" w:rsidRDefault="00F12DD0" w:rsidP="00DC3AEB">
            <w:r>
              <w:t>Total</w:t>
            </w:r>
          </w:p>
        </w:tc>
        <w:tc>
          <w:tcPr>
            <w:tcW w:w="1560" w:type="dxa"/>
          </w:tcPr>
          <w:p w:rsidR="00F12DD0" w:rsidRDefault="00F12DD0" w:rsidP="00DC3AEB">
            <w:r>
              <w:t>0</w:t>
            </w:r>
          </w:p>
        </w:tc>
        <w:tc>
          <w:tcPr>
            <w:tcW w:w="1275" w:type="dxa"/>
          </w:tcPr>
          <w:p w:rsidR="00F12DD0" w:rsidRDefault="00F12DD0" w:rsidP="00DC3AEB">
            <w:r>
              <w:t>0</w:t>
            </w:r>
          </w:p>
        </w:tc>
      </w:tr>
    </w:tbl>
    <w:p w:rsidR="00F12DD0" w:rsidRDefault="00F12DD0" w:rsidP="00D26A3D">
      <w:pPr>
        <w:rPr>
          <w:b/>
        </w:rPr>
      </w:pPr>
    </w:p>
    <w:tbl>
      <w:tblPr>
        <w:tblStyle w:val="TableGrid"/>
        <w:tblW w:w="0" w:type="auto"/>
        <w:tblInd w:w="562" w:type="dxa"/>
        <w:tblLook w:val="04A0" w:firstRow="1" w:lastRow="0" w:firstColumn="1" w:lastColumn="0" w:noHBand="0" w:noVBand="1"/>
        <w:tblCaption w:val="gifts of public property"/>
        <w:tblDescription w:val="table showing figures for gifts of public property as part of supplementary financial information"/>
      </w:tblPr>
      <w:tblGrid>
        <w:gridCol w:w="7938"/>
        <w:gridCol w:w="1560"/>
        <w:gridCol w:w="1275"/>
      </w:tblGrid>
      <w:tr w:rsidR="00F12DD0" w:rsidTr="006604EC">
        <w:trPr>
          <w:tblHeader/>
        </w:trPr>
        <w:tc>
          <w:tcPr>
            <w:tcW w:w="7938" w:type="dxa"/>
          </w:tcPr>
          <w:p w:rsidR="00F12DD0" w:rsidRDefault="00F12DD0" w:rsidP="00DC3AEB">
            <w:pPr>
              <w:tabs>
                <w:tab w:val="left" w:pos="1309"/>
              </w:tabs>
            </w:pPr>
            <w:r w:rsidRPr="002A7DE5">
              <w:rPr>
                <w:rFonts w:ascii="Arial" w:eastAsia="Times New Roman" w:hAnsi="Arial" w:cs="Arial"/>
                <w:b/>
                <w:bCs/>
                <w:sz w:val="20"/>
                <w:szCs w:val="20"/>
                <w:lang w:val="en-AU" w:eastAsia="en-AU" w:bidi="ar-SA"/>
              </w:rPr>
              <w:t>(c) Gifts of public property</w:t>
            </w:r>
          </w:p>
        </w:tc>
        <w:tc>
          <w:tcPr>
            <w:tcW w:w="1560" w:type="dxa"/>
          </w:tcPr>
          <w:p w:rsidR="00F12DD0" w:rsidRDefault="00F12DD0" w:rsidP="00DC3AEB">
            <w:r>
              <w:t>2018 $000</w:t>
            </w:r>
          </w:p>
        </w:tc>
        <w:tc>
          <w:tcPr>
            <w:tcW w:w="1275" w:type="dxa"/>
          </w:tcPr>
          <w:p w:rsidR="00F12DD0" w:rsidRDefault="00F12DD0" w:rsidP="00DC3AEB">
            <w:r>
              <w:t>2017 $000</w:t>
            </w:r>
          </w:p>
        </w:tc>
      </w:tr>
      <w:tr w:rsidR="00F12DD0" w:rsidTr="006604EC">
        <w:tc>
          <w:tcPr>
            <w:tcW w:w="7938" w:type="dxa"/>
          </w:tcPr>
          <w:p w:rsidR="00F12DD0" w:rsidRDefault="00F12DD0" w:rsidP="00DC3AEB">
            <w:r w:rsidRPr="002A7DE5">
              <w:rPr>
                <w:rFonts w:ascii="Arial" w:eastAsia="Times New Roman" w:hAnsi="Arial" w:cs="Arial"/>
                <w:sz w:val="20"/>
                <w:szCs w:val="20"/>
                <w:lang w:val="en-AU" w:eastAsia="en-AU" w:bidi="ar-SA"/>
              </w:rPr>
              <w:t>Gifts of public property provided by the sub-department</w:t>
            </w:r>
          </w:p>
        </w:tc>
        <w:tc>
          <w:tcPr>
            <w:tcW w:w="1560" w:type="dxa"/>
          </w:tcPr>
          <w:p w:rsidR="00F12DD0" w:rsidRDefault="00F12DD0" w:rsidP="00DC3AEB">
            <w:r>
              <w:t>0</w:t>
            </w:r>
          </w:p>
        </w:tc>
        <w:tc>
          <w:tcPr>
            <w:tcW w:w="1275" w:type="dxa"/>
          </w:tcPr>
          <w:p w:rsidR="00F12DD0" w:rsidRDefault="00F12DD0" w:rsidP="00DC3AEB">
            <w:r>
              <w:t>0</w:t>
            </w:r>
          </w:p>
        </w:tc>
      </w:tr>
      <w:tr w:rsidR="00F12DD0" w:rsidTr="006604EC">
        <w:tc>
          <w:tcPr>
            <w:tcW w:w="7938" w:type="dxa"/>
          </w:tcPr>
          <w:p w:rsidR="00F12DD0" w:rsidRDefault="00F12DD0" w:rsidP="00DC3AEB">
            <w:r>
              <w:t>Total</w:t>
            </w:r>
          </w:p>
        </w:tc>
        <w:tc>
          <w:tcPr>
            <w:tcW w:w="1560" w:type="dxa"/>
          </w:tcPr>
          <w:p w:rsidR="00F12DD0" w:rsidRDefault="00F12DD0" w:rsidP="00DC3AEB">
            <w:r>
              <w:t>0</w:t>
            </w:r>
          </w:p>
        </w:tc>
        <w:tc>
          <w:tcPr>
            <w:tcW w:w="1275" w:type="dxa"/>
          </w:tcPr>
          <w:p w:rsidR="00F12DD0" w:rsidRDefault="00F12DD0" w:rsidP="00DC3AEB">
            <w:r>
              <w:t>0</w:t>
            </w:r>
          </w:p>
        </w:tc>
      </w:tr>
    </w:tbl>
    <w:p w:rsidR="00F12DD0" w:rsidRPr="002A7DE5" w:rsidRDefault="00F12DD0" w:rsidP="00AE0087">
      <w:pPr>
        <w:ind w:left="567"/>
        <w:rPr>
          <w:b/>
        </w:rPr>
        <w:sectPr w:rsidR="00F12DD0" w:rsidRPr="002A7DE5" w:rsidSect="00AE0087">
          <w:type w:val="continuous"/>
          <w:pgSz w:w="16840" w:h="11910" w:orient="landscape"/>
          <w:pgMar w:top="560" w:right="0" w:bottom="0" w:left="0" w:header="720" w:footer="720" w:gutter="0"/>
          <w:cols w:space="40"/>
        </w:sectPr>
      </w:pPr>
    </w:p>
    <w:p w:rsidR="00A1463E" w:rsidRDefault="00A1463E">
      <w:pPr>
        <w:pStyle w:val="BodyText"/>
        <w:spacing w:before="7"/>
        <w:rPr>
          <w:sz w:val="8"/>
        </w:rPr>
      </w:pPr>
    </w:p>
    <w:p w:rsidR="00A1463E" w:rsidRDefault="00F52429">
      <w:pPr>
        <w:spacing w:before="36"/>
        <w:ind w:left="659"/>
        <w:rPr>
          <w:sz w:val="28"/>
        </w:rPr>
      </w:pPr>
      <w:r>
        <w:rPr>
          <w:color w:val="353434"/>
          <w:sz w:val="32"/>
        </w:rPr>
        <w:t xml:space="preserve">NOTES TO THE FINANCIAL STATEMENTS </w:t>
      </w:r>
      <w:proofErr w:type="gramStart"/>
      <w:r>
        <w:rPr>
          <w:color w:val="353434"/>
          <w:sz w:val="28"/>
        </w:rPr>
        <w:t>For</w:t>
      </w:r>
      <w:proofErr w:type="gramEnd"/>
      <w:r>
        <w:rPr>
          <w:color w:val="353434"/>
          <w:sz w:val="28"/>
        </w:rPr>
        <w:t xml:space="preserve"> the year ended 30 June 2018</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F52429">
      <w:pPr>
        <w:pStyle w:val="Heading2"/>
      </w:pPr>
      <w:r>
        <w:rPr>
          <w:color w:val="353434"/>
        </w:rPr>
        <w:t>Note 33. Explanatory Statement for Administered Items - Income and Expenses</w:t>
      </w:r>
    </w:p>
    <w:p w:rsidR="00A1463E" w:rsidRDefault="00F52429">
      <w:pPr>
        <w:pStyle w:val="BodyText"/>
        <w:spacing w:before="148" w:line="235" w:lineRule="auto"/>
        <w:ind w:left="680"/>
      </w:pPr>
      <w:r>
        <w:t xml:space="preserve">All variance between estimates (original budget) and actual results </w:t>
      </w:r>
      <w:r>
        <w:rPr>
          <w:spacing w:val="-3"/>
        </w:rPr>
        <w:t xml:space="preserve">for </w:t>
      </w:r>
      <w:r>
        <w:t xml:space="preserve">2018, and between the actual results </w:t>
      </w:r>
      <w:r>
        <w:rPr>
          <w:spacing w:val="-3"/>
        </w:rPr>
        <w:t xml:space="preserve">for </w:t>
      </w:r>
      <w:r>
        <w:t>2018 and 2017 are shown</w:t>
      </w:r>
      <w:r>
        <w:rPr>
          <w:spacing w:val="-4"/>
        </w:rPr>
        <w:t xml:space="preserve"> below. </w:t>
      </w:r>
      <w:r>
        <w:t xml:space="preserve">Narratives are provided for </w:t>
      </w:r>
      <w:r>
        <w:rPr>
          <w:spacing w:val="-4"/>
        </w:rPr>
        <w:t xml:space="preserve">key </w:t>
      </w:r>
      <w:r>
        <w:t>major variances, which are generally greater than 5% and $113k.</w:t>
      </w:r>
    </w:p>
    <w:p w:rsidR="00A1463E" w:rsidRDefault="00A1463E">
      <w:pPr>
        <w:pStyle w:val="BodyText"/>
        <w:spacing w:line="20" w:lineRule="exact"/>
        <w:ind w:left="7319"/>
        <w:rPr>
          <w:sz w:val="2"/>
        </w:rPr>
      </w:pPr>
    </w:p>
    <w:tbl>
      <w:tblPr>
        <w:tblW w:w="131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100"/>
        <w:gridCol w:w="1440"/>
        <w:gridCol w:w="1200"/>
        <w:gridCol w:w="1180"/>
        <w:gridCol w:w="1780"/>
        <w:gridCol w:w="1840"/>
      </w:tblGrid>
      <w:tr w:rsidR="006A1C92" w:rsidRPr="006A1C92" w:rsidTr="00D40680">
        <w:trPr>
          <w:trHeight w:val="1245"/>
        </w:trPr>
        <w:tc>
          <w:tcPr>
            <w:tcW w:w="4593" w:type="dxa"/>
            <w:shd w:val="clear" w:color="auto" w:fill="auto"/>
            <w:vAlign w:val="bottom"/>
            <w:hideMark/>
          </w:tcPr>
          <w:p w:rsidR="006A1C92" w:rsidRPr="006A1C92" w:rsidRDefault="00D26A3D" w:rsidP="0054212C">
            <w:pPr>
              <w:widowControl/>
              <w:autoSpaceDE/>
              <w:autoSpaceDN/>
              <w:rPr>
                <w:rFonts w:ascii="Arial" w:eastAsia="Times New Roman" w:hAnsi="Arial" w:cs="Arial"/>
                <w:sz w:val="18"/>
                <w:szCs w:val="18"/>
                <w:lang w:val="en-AU" w:eastAsia="en-AU" w:bidi="ar-SA"/>
              </w:rPr>
            </w:pPr>
            <w:r w:rsidRPr="006A1C92">
              <w:rPr>
                <w:rFonts w:ascii="Arial" w:eastAsia="Times New Roman" w:hAnsi="Arial" w:cs="Arial"/>
                <w:b/>
                <w:bCs/>
                <w:sz w:val="20"/>
                <w:szCs w:val="20"/>
                <w:lang w:val="en-AU" w:eastAsia="en-AU" w:bidi="ar-SA"/>
              </w:rPr>
              <w:t>INCOME FROM ADMINISTERED ITEMS</w:t>
            </w:r>
            <w:r>
              <w:rPr>
                <w:rFonts w:ascii="Arial" w:eastAsia="Times New Roman" w:hAnsi="Arial" w:cs="Arial"/>
                <w:b/>
                <w:bCs/>
                <w:sz w:val="20"/>
                <w:szCs w:val="20"/>
                <w:lang w:val="en-AU" w:eastAsia="en-AU" w:bidi="ar-SA"/>
              </w:rPr>
              <w:t xml:space="preserve"> - Income</w:t>
            </w:r>
            <w:r w:rsidR="006A1C92" w:rsidRPr="006A1C92">
              <w:rPr>
                <w:rFonts w:ascii="Arial" w:eastAsia="Times New Roman" w:hAnsi="Arial" w:cs="Arial"/>
                <w:sz w:val="18"/>
                <w:szCs w:val="18"/>
                <w:lang w:val="en-AU" w:eastAsia="en-AU" w:bidi="ar-SA"/>
              </w:rPr>
              <w:t> </w:t>
            </w:r>
          </w:p>
        </w:tc>
        <w:tc>
          <w:tcPr>
            <w:tcW w:w="110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Variance Note</w:t>
            </w:r>
          </w:p>
        </w:tc>
        <w:tc>
          <w:tcPr>
            <w:tcW w:w="144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Estimate</w:t>
            </w:r>
            <w:r w:rsidRPr="006A1C92">
              <w:rPr>
                <w:rFonts w:ascii="Arial" w:eastAsia="Times New Roman" w:hAnsi="Arial" w:cs="Arial"/>
                <w:b/>
                <w:bCs/>
                <w:sz w:val="20"/>
                <w:szCs w:val="20"/>
                <w:lang w:val="en-AU" w:eastAsia="en-AU" w:bidi="ar-SA"/>
              </w:rPr>
              <w:br/>
              <w:t>2018</w:t>
            </w:r>
            <w:r w:rsidRPr="006A1C92">
              <w:rPr>
                <w:rFonts w:ascii="Arial" w:eastAsia="Times New Roman" w:hAnsi="Arial" w:cs="Arial"/>
                <w:b/>
                <w:bCs/>
                <w:sz w:val="20"/>
                <w:szCs w:val="20"/>
                <w:lang w:val="en-AU" w:eastAsia="en-AU" w:bidi="ar-SA"/>
              </w:rPr>
              <w:br/>
              <w:t>$000</w:t>
            </w:r>
          </w:p>
        </w:tc>
        <w:tc>
          <w:tcPr>
            <w:tcW w:w="120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Actual</w:t>
            </w:r>
            <w:r w:rsidRPr="006A1C92">
              <w:rPr>
                <w:rFonts w:ascii="Arial" w:eastAsia="Times New Roman" w:hAnsi="Arial" w:cs="Arial"/>
                <w:b/>
                <w:bCs/>
                <w:sz w:val="20"/>
                <w:szCs w:val="20"/>
                <w:lang w:val="en-AU" w:eastAsia="en-AU" w:bidi="ar-SA"/>
              </w:rPr>
              <w:br/>
              <w:t>2018</w:t>
            </w:r>
            <w:r w:rsidRPr="006A1C92">
              <w:rPr>
                <w:rFonts w:ascii="Arial" w:eastAsia="Times New Roman" w:hAnsi="Arial" w:cs="Arial"/>
                <w:b/>
                <w:bCs/>
                <w:sz w:val="20"/>
                <w:szCs w:val="20"/>
                <w:lang w:val="en-AU" w:eastAsia="en-AU" w:bidi="ar-SA"/>
              </w:rPr>
              <w:br/>
              <w:t>$000</w:t>
            </w:r>
          </w:p>
        </w:tc>
        <w:tc>
          <w:tcPr>
            <w:tcW w:w="118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Actual</w:t>
            </w:r>
            <w:r w:rsidRPr="006A1C92">
              <w:rPr>
                <w:rFonts w:ascii="Arial" w:eastAsia="Times New Roman" w:hAnsi="Arial" w:cs="Arial"/>
                <w:b/>
                <w:bCs/>
                <w:sz w:val="20"/>
                <w:szCs w:val="20"/>
                <w:lang w:val="en-AU" w:eastAsia="en-AU" w:bidi="ar-SA"/>
              </w:rPr>
              <w:br/>
              <w:t>2017</w:t>
            </w:r>
            <w:r w:rsidRPr="006A1C92">
              <w:rPr>
                <w:rFonts w:ascii="Arial" w:eastAsia="Times New Roman" w:hAnsi="Arial" w:cs="Arial"/>
                <w:b/>
                <w:bCs/>
                <w:sz w:val="20"/>
                <w:szCs w:val="20"/>
                <w:lang w:val="en-AU" w:eastAsia="en-AU" w:bidi="ar-SA"/>
              </w:rPr>
              <w:br/>
              <w:t>$000</w:t>
            </w:r>
          </w:p>
        </w:tc>
        <w:tc>
          <w:tcPr>
            <w:tcW w:w="178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 xml:space="preserve">Variance between estimate and actual </w:t>
            </w:r>
            <w:r w:rsidRPr="006A1C92">
              <w:rPr>
                <w:rFonts w:ascii="Arial" w:eastAsia="Times New Roman" w:hAnsi="Arial" w:cs="Arial"/>
                <w:b/>
                <w:bCs/>
                <w:sz w:val="20"/>
                <w:szCs w:val="20"/>
                <w:lang w:val="en-AU" w:eastAsia="en-AU" w:bidi="ar-SA"/>
              </w:rPr>
              <w:br/>
              <w:t>$000</w:t>
            </w:r>
          </w:p>
        </w:tc>
        <w:tc>
          <w:tcPr>
            <w:tcW w:w="1840" w:type="dxa"/>
            <w:shd w:val="clear" w:color="auto" w:fill="auto"/>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Variance between actual results for 2018 and 2017</w:t>
            </w:r>
            <w:r w:rsidRPr="006A1C92">
              <w:rPr>
                <w:rFonts w:ascii="Arial" w:eastAsia="Times New Roman" w:hAnsi="Arial" w:cs="Arial"/>
                <w:b/>
                <w:bCs/>
                <w:sz w:val="20"/>
                <w:szCs w:val="20"/>
                <w:lang w:val="en-AU" w:eastAsia="en-AU" w:bidi="ar-SA"/>
              </w:rPr>
              <w:br/>
              <w:t>$000</w:t>
            </w:r>
          </w:p>
        </w:tc>
      </w:tr>
      <w:tr w:rsidR="006A1C92" w:rsidRPr="006A1C92" w:rsidTr="00D40680">
        <w:trPr>
          <w:trHeight w:val="255"/>
        </w:trPr>
        <w:tc>
          <w:tcPr>
            <w:tcW w:w="4593" w:type="dxa"/>
            <w:shd w:val="clear" w:color="auto" w:fill="auto"/>
            <w:vAlign w:val="center"/>
            <w:hideMark/>
          </w:tcPr>
          <w:p w:rsidR="006A1C92" w:rsidRPr="006A1C92" w:rsidRDefault="006A1C92" w:rsidP="006A1C92">
            <w:pPr>
              <w:widowControl/>
              <w:autoSpaceDE/>
              <w:autoSpaceDN/>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Administered grants and transfer payments</w:t>
            </w:r>
          </w:p>
        </w:tc>
        <w:tc>
          <w:tcPr>
            <w:tcW w:w="1100" w:type="dxa"/>
            <w:shd w:val="clear" w:color="auto" w:fill="auto"/>
            <w:vAlign w:val="center"/>
            <w:hideMark/>
          </w:tcPr>
          <w:p w:rsidR="006A1C92" w:rsidRPr="006A1C92" w:rsidRDefault="006A1C92" w:rsidP="006A1C92">
            <w:pPr>
              <w:widowControl/>
              <w:autoSpaceDE/>
              <w:autoSpaceDN/>
              <w:jc w:val="right"/>
              <w:rPr>
                <w:rFonts w:ascii="Arial" w:eastAsia="Times New Roman" w:hAnsi="Arial" w:cs="Arial"/>
                <w:sz w:val="18"/>
                <w:szCs w:val="18"/>
                <w:lang w:val="en-AU" w:eastAsia="en-AU" w:bidi="ar-SA"/>
              </w:rPr>
            </w:pPr>
            <w:r w:rsidRPr="006A1C92">
              <w:rPr>
                <w:rFonts w:ascii="Arial" w:eastAsia="Times New Roman" w:hAnsi="Arial" w:cs="Arial"/>
                <w:sz w:val="18"/>
                <w:szCs w:val="18"/>
                <w:lang w:val="en-AU" w:eastAsia="en-AU" w:bidi="ar-SA"/>
              </w:rPr>
              <w:t>1</w:t>
            </w:r>
          </w:p>
        </w:tc>
        <w:tc>
          <w:tcPr>
            <w:tcW w:w="144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5,839</w:t>
            </w:r>
          </w:p>
        </w:tc>
        <w:tc>
          <w:tcPr>
            <w:tcW w:w="120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0</w:t>
            </w:r>
          </w:p>
        </w:tc>
        <w:tc>
          <w:tcPr>
            <w:tcW w:w="118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5,632</w:t>
            </w:r>
          </w:p>
        </w:tc>
        <w:tc>
          <w:tcPr>
            <w:tcW w:w="178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(5,839)</w:t>
            </w:r>
          </w:p>
        </w:tc>
        <w:tc>
          <w:tcPr>
            <w:tcW w:w="184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(5,632)</w:t>
            </w:r>
          </w:p>
        </w:tc>
      </w:tr>
      <w:tr w:rsidR="006A1C92" w:rsidRPr="006A1C92" w:rsidTr="00D40680">
        <w:trPr>
          <w:trHeight w:val="255"/>
        </w:trPr>
        <w:tc>
          <w:tcPr>
            <w:tcW w:w="4593" w:type="dxa"/>
            <w:shd w:val="clear" w:color="auto" w:fill="auto"/>
            <w:vAlign w:val="center"/>
            <w:hideMark/>
          </w:tcPr>
          <w:p w:rsidR="006A1C92" w:rsidRPr="006A1C92" w:rsidRDefault="006A1C92" w:rsidP="006A1C92">
            <w:pPr>
              <w:widowControl/>
              <w:autoSpaceDE/>
              <w:autoSpaceDN/>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Total administered Income</w:t>
            </w:r>
          </w:p>
        </w:tc>
        <w:tc>
          <w:tcPr>
            <w:tcW w:w="1100" w:type="dxa"/>
            <w:shd w:val="clear" w:color="auto" w:fill="auto"/>
            <w:vAlign w:val="center"/>
            <w:hideMark/>
          </w:tcPr>
          <w:p w:rsidR="006A1C92" w:rsidRPr="006A1C92" w:rsidRDefault="006A1C92" w:rsidP="006A1C92">
            <w:pPr>
              <w:widowControl/>
              <w:autoSpaceDE/>
              <w:autoSpaceDN/>
              <w:jc w:val="right"/>
              <w:rPr>
                <w:rFonts w:ascii="Arial" w:eastAsia="Times New Roman" w:hAnsi="Arial" w:cs="Arial"/>
                <w:sz w:val="18"/>
                <w:szCs w:val="18"/>
                <w:lang w:val="en-AU" w:eastAsia="en-AU" w:bidi="ar-SA"/>
              </w:rPr>
            </w:pPr>
            <w:r w:rsidRPr="006A1C92">
              <w:rPr>
                <w:rFonts w:ascii="Arial" w:eastAsia="Times New Roman" w:hAnsi="Arial" w:cs="Arial"/>
                <w:sz w:val="18"/>
                <w:szCs w:val="18"/>
                <w:lang w:val="en-AU" w:eastAsia="en-AU" w:bidi="ar-SA"/>
              </w:rPr>
              <w:t> </w:t>
            </w:r>
          </w:p>
        </w:tc>
        <w:tc>
          <w:tcPr>
            <w:tcW w:w="144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5,839</w:t>
            </w:r>
          </w:p>
        </w:tc>
        <w:tc>
          <w:tcPr>
            <w:tcW w:w="120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0</w:t>
            </w:r>
          </w:p>
        </w:tc>
        <w:tc>
          <w:tcPr>
            <w:tcW w:w="118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5,632</w:t>
            </w:r>
          </w:p>
        </w:tc>
        <w:tc>
          <w:tcPr>
            <w:tcW w:w="178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(5,839)</w:t>
            </w:r>
          </w:p>
        </w:tc>
        <w:tc>
          <w:tcPr>
            <w:tcW w:w="1840" w:type="dxa"/>
            <w:shd w:val="clear" w:color="auto" w:fill="auto"/>
            <w:noWrap/>
            <w:vAlign w:val="bottom"/>
            <w:hideMark/>
          </w:tcPr>
          <w:p w:rsidR="006A1C92" w:rsidRPr="006A1C92" w:rsidRDefault="006A1C92" w:rsidP="006A1C92">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(5,632)</w:t>
            </w:r>
          </w:p>
        </w:tc>
      </w:tr>
    </w:tbl>
    <w:p w:rsidR="006A1C92" w:rsidRDefault="006A1C92" w:rsidP="006A1C92">
      <w:pPr>
        <w:spacing w:before="145" w:line="290" w:lineRule="exact"/>
        <w:rPr>
          <w:b/>
          <w:sz w:val="24"/>
        </w:rPr>
      </w:pPr>
    </w:p>
    <w:tbl>
      <w:tblPr>
        <w:tblW w:w="131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100"/>
        <w:gridCol w:w="1440"/>
        <w:gridCol w:w="1200"/>
        <w:gridCol w:w="1180"/>
        <w:gridCol w:w="1780"/>
        <w:gridCol w:w="1840"/>
      </w:tblGrid>
      <w:tr w:rsidR="00D26A3D" w:rsidRPr="006A1C92" w:rsidTr="00DC3AEB">
        <w:trPr>
          <w:trHeight w:val="255"/>
        </w:trPr>
        <w:tc>
          <w:tcPr>
            <w:tcW w:w="4593" w:type="dxa"/>
            <w:shd w:val="clear" w:color="auto" w:fill="auto"/>
            <w:vAlign w:val="center"/>
            <w:hideMark/>
          </w:tcPr>
          <w:p w:rsidR="00D26A3D" w:rsidRPr="006A1C92" w:rsidRDefault="006604EC" w:rsidP="0054212C">
            <w:pPr>
              <w:widowControl/>
              <w:autoSpaceDE/>
              <w:autoSpaceDN/>
              <w:rPr>
                <w:rFonts w:ascii="Arial" w:eastAsia="Times New Roman" w:hAnsi="Arial" w:cs="Arial"/>
                <w:sz w:val="20"/>
                <w:szCs w:val="20"/>
                <w:u w:val="single"/>
                <w:lang w:val="en-AU" w:eastAsia="en-AU" w:bidi="ar-SA"/>
              </w:rPr>
            </w:pPr>
            <w:r>
              <w:rPr>
                <w:rFonts w:ascii="Arial" w:eastAsia="Times New Roman" w:hAnsi="Arial" w:cs="Arial"/>
                <w:b/>
                <w:bCs/>
                <w:sz w:val="20"/>
                <w:szCs w:val="20"/>
                <w:lang w:val="en-AU" w:eastAsia="en-AU" w:bidi="ar-SA"/>
              </w:rPr>
              <w:t xml:space="preserve">Income from administered items - </w:t>
            </w:r>
            <w:r w:rsidR="00D26A3D" w:rsidRPr="006604EC">
              <w:rPr>
                <w:rFonts w:ascii="Arial" w:eastAsia="Times New Roman" w:hAnsi="Arial" w:cs="Arial"/>
                <w:b/>
                <w:bCs/>
                <w:sz w:val="20"/>
                <w:szCs w:val="20"/>
                <w:lang w:val="en-AU" w:eastAsia="en-AU" w:bidi="ar-SA"/>
              </w:rPr>
              <w:t>Expenses</w:t>
            </w:r>
          </w:p>
        </w:tc>
        <w:tc>
          <w:tcPr>
            <w:tcW w:w="1100" w:type="dxa"/>
            <w:shd w:val="clear" w:color="auto" w:fill="auto"/>
            <w:vAlign w:val="center"/>
            <w:hideMark/>
          </w:tcPr>
          <w:p w:rsidR="00D26A3D" w:rsidRPr="006A1C92" w:rsidRDefault="00D26A3D" w:rsidP="00DC3AEB">
            <w:pPr>
              <w:widowControl/>
              <w:autoSpaceDE/>
              <w:autoSpaceDN/>
              <w:jc w:val="both"/>
              <w:rPr>
                <w:rFonts w:ascii="Arial" w:eastAsia="Times New Roman" w:hAnsi="Arial" w:cs="Arial"/>
                <w:sz w:val="20"/>
                <w:szCs w:val="20"/>
                <w:u w:val="single"/>
                <w:lang w:val="en-AU" w:eastAsia="en-AU" w:bidi="ar-SA"/>
              </w:rPr>
            </w:pPr>
            <w:r w:rsidRPr="006A1C92">
              <w:rPr>
                <w:rFonts w:ascii="Arial" w:eastAsia="Times New Roman" w:hAnsi="Arial" w:cs="Arial"/>
                <w:b/>
                <w:bCs/>
                <w:sz w:val="20"/>
                <w:szCs w:val="20"/>
                <w:lang w:val="en-AU" w:eastAsia="en-AU" w:bidi="ar-SA"/>
              </w:rPr>
              <w:t>Variance Note</w:t>
            </w:r>
          </w:p>
        </w:tc>
        <w:tc>
          <w:tcPr>
            <w:tcW w:w="1440" w:type="dxa"/>
            <w:shd w:val="clear" w:color="auto" w:fill="auto"/>
            <w:noWrap/>
            <w:vAlign w:val="bottom"/>
            <w:hideMark/>
          </w:tcPr>
          <w:p w:rsidR="00D26A3D" w:rsidRPr="006A1C92" w:rsidRDefault="00D26A3D" w:rsidP="00DC3AEB">
            <w:pPr>
              <w:widowControl/>
              <w:autoSpaceDE/>
              <w:autoSpaceDN/>
              <w:jc w:val="right"/>
              <w:rPr>
                <w:rFonts w:ascii="Times New Roman" w:eastAsia="Times New Roman" w:hAnsi="Times New Roman" w:cs="Times New Roman"/>
                <w:sz w:val="20"/>
                <w:szCs w:val="20"/>
                <w:lang w:val="en-AU" w:eastAsia="en-AU" w:bidi="ar-SA"/>
              </w:rPr>
            </w:pPr>
            <w:r w:rsidRPr="006A1C92">
              <w:rPr>
                <w:rFonts w:ascii="Arial" w:eastAsia="Times New Roman" w:hAnsi="Arial" w:cs="Arial"/>
                <w:b/>
                <w:bCs/>
                <w:sz w:val="20"/>
                <w:szCs w:val="20"/>
                <w:lang w:val="en-AU" w:eastAsia="en-AU" w:bidi="ar-SA"/>
              </w:rPr>
              <w:t>Estimate</w:t>
            </w:r>
            <w:r w:rsidRPr="006A1C92">
              <w:rPr>
                <w:rFonts w:ascii="Arial" w:eastAsia="Times New Roman" w:hAnsi="Arial" w:cs="Arial"/>
                <w:b/>
                <w:bCs/>
                <w:sz w:val="20"/>
                <w:szCs w:val="20"/>
                <w:lang w:val="en-AU" w:eastAsia="en-AU" w:bidi="ar-SA"/>
              </w:rPr>
              <w:br/>
              <w:t>2018</w:t>
            </w:r>
            <w:r w:rsidRPr="006A1C92">
              <w:rPr>
                <w:rFonts w:ascii="Arial" w:eastAsia="Times New Roman" w:hAnsi="Arial" w:cs="Arial"/>
                <w:b/>
                <w:bCs/>
                <w:sz w:val="20"/>
                <w:szCs w:val="20"/>
                <w:lang w:val="en-AU" w:eastAsia="en-AU" w:bidi="ar-SA"/>
              </w:rPr>
              <w:br/>
              <w:t>$000</w:t>
            </w:r>
          </w:p>
        </w:tc>
        <w:tc>
          <w:tcPr>
            <w:tcW w:w="120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b/>
                <w:bCs/>
                <w:sz w:val="20"/>
                <w:szCs w:val="20"/>
                <w:lang w:val="en-AU" w:eastAsia="en-AU" w:bidi="ar-SA"/>
              </w:rPr>
              <w:t>Actual</w:t>
            </w:r>
            <w:r w:rsidRPr="006A1C92">
              <w:rPr>
                <w:rFonts w:ascii="Arial" w:eastAsia="Times New Roman" w:hAnsi="Arial" w:cs="Arial"/>
                <w:b/>
                <w:bCs/>
                <w:sz w:val="20"/>
                <w:szCs w:val="20"/>
                <w:lang w:val="en-AU" w:eastAsia="en-AU" w:bidi="ar-SA"/>
              </w:rPr>
              <w:br/>
              <w:t>2018</w:t>
            </w:r>
            <w:r w:rsidRPr="006A1C92">
              <w:rPr>
                <w:rFonts w:ascii="Arial" w:eastAsia="Times New Roman" w:hAnsi="Arial" w:cs="Arial"/>
                <w:b/>
                <w:bCs/>
                <w:sz w:val="20"/>
                <w:szCs w:val="20"/>
                <w:lang w:val="en-AU" w:eastAsia="en-AU" w:bidi="ar-SA"/>
              </w:rPr>
              <w:br/>
              <w:t>$000</w:t>
            </w:r>
          </w:p>
        </w:tc>
        <w:tc>
          <w:tcPr>
            <w:tcW w:w="118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b/>
                <w:bCs/>
                <w:sz w:val="20"/>
                <w:szCs w:val="20"/>
                <w:lang w:val="en-AU" w:eastAsia="en-AU" w:bidi="ar-SA"/>
              </w:rPr>
              <w:t>Actual</w:t>
            </w:r>
            <w:r w:rsidRPr="006A1C92">
              <w:rPr>
                <w:rFonts w:ascii="Arial" w:eastAsia="Times New Roman" w:hAnsi="Arial" w:cs="Arial"/>
                <w:b/>
                <w:bCs/>
                <w:sz w:val="20"/>
                <w:szCs w:val="20"/>
                <w:lang w:val="en-AU" w:eastAsia="en-AU" w:bidi="ar-SA"/>
              </w:rPr>
              <w:br/>
              <w:t>2017</w:t>
            </w:r>
            <w:r w:rsidRPr="006A1C92">
              <w:rPr>
                <w:rFonts w:ascii="Arial" w:eastAsia="Times New Roman" w:hAnsi="Arial" w:cs="Arial"/>
                <w:b/>
                <w:bCs/>
                <w:sz w:val="20"/>
                <w:szCs w:val="20"/>
                <w:lang w:val="en-AU" w:eastAsia="en-AU" w:bidi="ar-SA"/>
              </w:rPr>
              <w:br/>
              <w:t>$000</w:t>
            </w:r>
          </w:p>
        </w:tc>
        <w:tc>
          <w:tcPr>
            <w:tcW w:w="1780" w:type="dxa"/>
            <w:shd w:val="clear" w:color="auto" w:fill="auto"/>
            <w:noWrap/>
            <w:vAlign w:val="bottom"/>
            <w:hideMark/>
          </w:tcPr>
          <w:p w:rsidR="00D26A3D" w:rsidRPr="006A1C92" w:rsidRDefault="00D26A3D" w:rsidP="00DC3AEB">
            <w:pPr>
              <w:widowControl/>
              <w:autoSpaceDE/>
              <w:autoSpaceDN/>
              <w:jc w:val="right"/>
              <w:rPr>
                <w:rFonts w:ascii="Times New Roman" w:eastAsia="Times New Roman" w:hAnsi="Times New Roman" w:cs="Times New Roman"/>
                <w:sz w:val="20"/>
                <w:szCs w:val="20"/>
                <w:lang w:val="en-AU" w:eastAsia="en-AU" w:bidi="ar-SA"/>
              </w:rPr>
            </w:pPr>
            <w:r w:rsidRPr="006A1C92">
              <w:rPr>
                <w:rFonts w:ascii="Arial" w:eastAsia="Times New Roman" w:hAnsi="Arial" w:cs="Arial"/>
                <w:b/>
                <w:bCs/>
                <w:sz w:val="20"/>
                <w:szCs w:val="20"/>
                <w:lang w:val="en-AU" w:eastAsia="en-AU" w:bidi="ar-SA"/>
              </w:rPr>
              <w:t xml:space="preserve">Variance between estimate and actual </w:t>
            </w:r>
            <w:r w:rsidRPr="006A1C92">
              <w:rPr>
                <w:rFonts w:ascii="Arial" w:eastAsia="Times New Roman" w:hAnsi="Arial" w:cs="Arial"/>
                <w:b/>
                <w:bCs/>
                <w:sz w:val="20"/>
                <w:szCs w:val="20"/>
                <w:lang w:val="en-AU" w:eastAsia="en-AU" w:bidi="ar-SA"/>
              </w:rPr>
              <w:br/>
              <w:t>$000</w:t>
            </w:r>
          </w:p>
        </w:tc>
        <w:tc>
          <w:tcPr>
            <w:tcW w:w="1840" w:type="dxa"/>
            <w:shd w:val="clear" w:color="auto" w:fill="auto"/>
            <w:noWrap/>
            <w:vAlign w:val="bottom"/>
            <w:hideMark/>
          </w:tcPr>
          <w:p w:rsidR="00D26A3D" w:rsidRPr="006A1C92" w:rsidRDefault="00D26A3D" w:rsidP="00DC3AEB">
            <w:pPr>
              <w:widowControl/>
              <w:autoSpaceDE/>
              <w:autoSpaceDN/>
              <w:jc w:val="right"/>
              <w:rPr>
                <w:rFonts w:ascii="Times New Roman" w:eastAsia="Times New Roman" w:hAnsi="Times New Roman" w:cs="Times New Roman"/>
                <w:sz w:val="20"/>
                <w:szCs w:val="20"/>
                <w:lang w:val="en-AU" w:eastAsia="en-AU" w:bidi="ar-SA"/>
              </w:rPr>
            </w:pPr>
            <w:r w:rsidRPr="006A1C92">
              <w:rPr>
                <w:rFonts w:ascii="Arial" w:eastAsia="Times New Roman" w:hAnsi="Arial" w:cs="Arial"/>
                <w:b/>
                <w:bCs/>
                <w:sz w:val="20"/>
                <w:szCs w:val="20"/>
                <w:lang w:val="en-AU" w:eastAsia="en-AU" w:bidi="ar-SA"/>
              </w:rPr>
              <w:t>Variance between actual results for 2018 and 2017</w:t>
            </w:r>
            <w:r w:rsidRPr="006A1C92">
              <w:rPr>
                <w:rFonts w:ascii="Arial" w:eastAsia="Times New Roman" w:hAnsi="Arial" w:cs="Arial"/>
                <w:b/>
                <w:bCs/>
                <w:sz w:val="20"/>
                <w:szCs w:val="20"/>
                <w:lang w:val="en-AU" w:eastAsia="en-AU" w:bidi="ar-SA"/>
              </w:rPr>
              <w:br/>
              <w:t>$000</w:t>
            </w:r>
          </w:p>
        </w:tc>
      </w:tr>
      <w:tr w:rsidR="00D26A3D" w:rsidRPr="006A1C92" w:rsidTr="00DC3AEB">
        <w:trPr>
          <w:trHeight w:val="255"/>
        </w:trPr>
        <w:tc>
          <w:tcPr>
            <w:tcW w:w="4593" w:type="dxa"/>
            <w:shd w:val="clear" w:color="auto" w:fill="auto"/>
            <w:vAlign w:val="center"/>
            <w:hideMark/>
          </w:tcPr>
          <w:p w:rsidR="00D26A3D" w:rsidRPr="006A1C92" w:rsidRDefault="00D26A3D" w:rsidP="00DC3AEB">
            <w:pPr>
              <w:widowControl/>
              <w:autoSpaceDE/>
              <w:autoSpaceDN/>
              <w:jc w:val="both"/>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ICT renewal and reform fund</w:t>
            </w:r>
          </w:p>
        </w:tc>
        <w:tc>
          <w:tcPr>
            <w:tcW w:w="1100" w:type="dxa"/>
            <w:shd w:val="clear" w:color="auto" w:fill="auto"/>
            <w:noWrap/>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2</w:t>
            </w:r>
          </w:p>
        </w:tc>
        <w:tc>
          <w:tcPr>
            <w:tcW w:w="144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12,005</w:t>
            </w:r>
          </w:p>
        </w:tc>
        <w:tc>
          <w:tcPr>
            <w:tcW w:w="120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5,365</w:t>
            </w:r>
          </w:p>
        </w:tc>
        <w:tc>
          <w:tcPr>
            <w:tcW w:w="118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4,128</w:t>
            </w:r>
          </w:p>
        </w:tc>
        <w:tc>
          <w:tcPr>
            <w:tcW w:w="178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(6,640)</w:t>
            </w:r>
          </w:p>
        </w:tc>
        <w:tc>
          <w:tcPr>
            <w:tcW w:w="184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sz w:val="20"/>
                <w:szCs w:val="20"/>
                <w:lang w:val="en-AU" w:eastAsia="en-AU" w:bidi="ar-SA"/>
              </w:rPr>
            </w:pPr>
            <w:r w:rsidRPr="006A1C92">
              <w:rPr>
                <w:rFonts w:ascii="Arial" w:eastAsia="Times New Roman" w:hAnsi="Arial" w:cs="Arial"/>
                <w:sz w:val="20"/>
                <w:szCs w:val="20"/>
                <w:lang w:val="en-AU" w:eastAsia="en-AU" w:bidi="ar-SA"/>
              </w:rPr>
              <w:t>1,237</w:t>
            </w:r>
          </w:p>
        </w:tc>
      </w:tr>
      <w:tr w:rsidR="00D26A3D" w:rsidRPr="006A1C92" w:rsidTr="00DC3AEB">
        <w:trPr>
          <w:trHeight w:val="255"/>
        </w:trPr>
        <w:tc>
          <w:tcPr>
            <w:tcW w:w="4593" w:type="dxa"/>
            <w:shd w:val="clear" w:color="auto" w:fill="auto"/>
            <w:vAlign w:val="center"/>
            <w:hideMark/>
          </w:tcPr>
          <w:p w:rsidR="00D26A3D" w:rsidRPr="006A1C92" w:rsidRDefault="00D26A3D" w:rsidP="00DC3AEB">
            <w:pPr>
              <w:widowControl/>
              <w:autoSpaceDE/>
              <w:autoSpaceDN/>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Total administered expenses</w:t>
            </w:r>
          </w:p>
        </w:tc>
        <w:tc>
          <w:tcPr>
            <w:tcW w:w="1100" w:type="dxa"/>
            <w:shd w:val="clear" w:color="auto" w:fill="auto"/>
            <w:vAlign w:val="center"/>
            <w:hideMark/>
          </w:tcPr>
          <w:p w:rsidR="00D26A3D" w:rsidRPr="006A1C92" w:rsidRDefault="00D26A3D" w:rsidP="00DC3AEB">
            <w:pPr>
              <w:widowControl/>
              <w:autoSpaceDE/>
              <w:autoSpaceDN/>
              <w:rPr>
                <w:rFonts w:ascii="Arial" w:eastAsia="Times New Roman" w:hAnsi="Arial" w:cs="Arial"/>
                <w:b/>
                <w:bCs/>
                <w:sz w:val="18"/>
                <w:szCs w:val="18"/>
                <w:lang w:val="en-AU" w:eastAsia="en-AU" w:bidi="ar-SA"/>
              </w:rPr>
            </w:pPr>
            <w:r w:rsidRPr="006A1C92">
              <w:rPr>
                <w:rFonts w:ascii="Arial" w:eastAsia="Times New Roman" w:hAnsi="Arial" w:cs="Arial"/>
                <w:b/>
                <w:bCs/>
                <w:sz w:val="18"/>
                <w:szCs w:val="18"/>
                <w:lang w:val="en-AU" w:eastAsia="en-AU" w:bidi="ar-SA"/>
              </w:rPr>
              <w:t> </w:t>
            </w:r>
          </w:p>
        </w:tc>
        <w:tc>
          <w:tcPr>
            <w:tcW w:w="144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12,005</w:t>
            </w:r>
          </w:p>
        </w:tc>
        <w:tc>
          <w:tcPr>
            <w:tcW w:w="120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5,365</w:t>
            </w:r>
          </w:p>
        </w:tc>
        <w:tc>
          <w:tcPr>
            <w:tcW w:w="118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4,128</w:t>
            </w:r>
          </w:p>
        </w:tc>
        <w:tc>
          <w:tcPr>
            <w:tcW w:w="178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(6,640)</w:t>
            </w:r>
          </w:p>
        </w:tc>
        <w:tc>
          <w:tcPr>
            <w:tcW w:w="1840" w:type="dxa"/>
            <w:shd w:val="clear" w:color="auto" w:fill="auto"/>
            <w:noWrap/>
            <w:vAlign w:val="bottom"/>
            <w:hideMark/>
          </w:tcPr>
          <w:p w:rsidR="00D26A3D" w:rsidRPr="006A1C92" w:rsidRDefault="00D26A3D" w:rsidP="00DC3AEB">
            <w:pPr>
              <w:widowControl/>
              <w:autoSpaceDE/>
              <w:autoSpaceDN/>
              <w:jc w:val="right"/>
              <w:rPr>
                <w:rFonts w:ascii="Arial" w:eastAsia="Times New Roman" w:hAnsi="Arial" w:cs="Arial"/>
                <w:b/>
                <w:bCs/>
                <w:sz w:val="20"/>
                <w:szCs w:val="20"/>
                <w:lang w:val="en-AU" w:eastAsia="en-AU" w:bidi="ar-SA"/>
              </w:rPr>
            </w:pPr>
            <w:r w:rsidRPr="006A1C92">
              <w:rPr>
                <w:rFonts w:ascii="Arial" w:eastAsia="Times New Roman" w:hAnsi="Arial" w:cs="Arial"/>
                <w:b/>
                <w:bCs/>
                <w:sz w:val="20"/>
                <w:szCs w:val="20"/>
                <w:lang w:val="en-AU" w:eastAsia="en-AU" w:bidi="ar-SA"/>
              </w:rPr>
              <w:t>1,237</w:t>
            </w:r>
          </w:p>
        </w:tc>
      </w:tr>
    </w:tbl>
    <w:p w:rsidR="00D26A3D" w:rsidRDefault="00D26A3D" w:rsidP="006A1C92">
      <w:pPr>
        <w:spacing w:before="145" w:line="290" w:lineRule="exact"/>
        <w:rPr>
          <w:b/>
          <w:sz w:val="24"/>
        </w:rPr>
      </w:pPr>
    </w:p>
    <w:p w:rsidR="00A1463E" w:rsidRDefault="00F52429">
      <w:pPr>
        <w:spacing w:before="145" w:line="290" w:lineRule="exact"/>
        <w:ind w:left="680"/>
        <w:rPr>
          <w:b/>
          <w:sz w:val="24"/>
        </w:rPr>
      </w:pPr>
      <w:r>
        <w:rPr>
          <w:b/>
          <w:sz w:val="24"/>
        </w:rPr>
        <w:t>Major Estimate and Actual (2018) Variance Narratives</w:t>
      </w:r>
    </w:p>
    <w:p w:rsidR="00A1463E" w:rsidRDefault="00F52429" w:rsidP="004151B8">
      <w:pPr>
        <w:pStyle w:val="ListParagraph"/>
        <w:numPr>
          <w:ilvl w:val="1"/>
          <w:numId w:val="5"/>
        </w:numPr>
        <w:tabs>
          <w:tab w:val="left" w:pos="917"/>
        </w:tabs>
        <w:spacing w:line="288" w:lineRule="exact"/>
        <w:ind w:firstLine="0"/>
      </w:pPr>
      <w:r>
        <w:t>The Estimated Administered Income amount was deferred to</w:t>
      </w:r>
      <w:r>
        <w:rPr>
          <w:spacing w:val="-7"/>
        </w:rPr>
        <w:t xml:space="preserve"> </w:t>
      </w:r>
      <w:r>
        <w:t>2018/19.</w:t>
      </w:r>
    </w:p>
    <w:p w:rsidR="00A1463E" w:rsidRDefault="00F52429" w:rsidP="004151B8">
      <w:pPr>
        <w:pStyle w:val="ListParagraph"/>
        <w:numPr>
          <w:ilvl w:val="1"/>
          <w:numId w:val="5"/>
        </w:numPr>
        <w:tabs>
          <w:tab w:val="left" w:pos="913"/>
        </w:tabs>
        <w:spacing w:before="2" w:line="235" w:lineRule="auto"/>
        <w:ind w:right="677" w:firstLine="0"/>
      </w:pPr>
      <w:r>
        <w:t>The</w:t>
      </w:r>
      <w:r>
        <w:rPr>
          <w:spacing w:val="-9"/>
        </w:rPr>
        <w:t xml:space="preserve"> </w:t>
      </w:r>
      <w:r>
        <w:t>variance</w:t>
      </w:r>
      <w:r>
        <w:rPr>
          <w:spacing w:val="-9"/>
        </w:rPr>
        <w:t xml:space="preserve"> </w:t>
      </w:r>
      <w:r>
        <w:t>between</w:t>
      </w:r>
      <w:r>
        <w:rPr>
          <w:spacing w:val="-9"/>
        </w:rPr>
        <w:t xml:space="preserve"> </w:t>
      </w:r>
      <w:r>
        <w:t>estimate</w:t>
      </w:r>
      <w:r>
        <w:rPr>
          <w:spacing w:val="-9"/>
        </w:rPr>
        <w:t xml:space="preserve"> </w:t>
      </w:r>
      <w:r>
        <w:t>and</w:t>
      </w:r>
      <w:r>
        <w:rPr>
          <w:spacing w:val="-9"/>
        </w:rPr>
        <w:t xml:space="preserve"> </w:t>
      </w:r>
      <w:r>
        <w:t>actual</w:t>
      </w:r>
      <w:r>
        <w:rPr>
          <w:spacing w:val="-9"/>
        </w:rPr>
        <w:t xml:space="preserve"> </w:t>
      </w:r>
      <w:r>
        <w:t>relates</w:t>
      </w:r>
      <w:r>
        <w:rPr>
          <w:spacing w:val="-9"/>
        </w:rPr>
        <w:t xml:space="preserve"> </w:t>
      </w:r>
      <w:r>
        <w:t>to</w:t>
      </w:r>
      <w:r>
        <w:rPr>
          <w:spacing w:val="-9"/>
        </w:rPr>
        <w:t xml:space="preserve"> </w:t>
      </w:r>
      <w:r>
        <w:t>the</w:t>
      </w:r>
      <w:r>
        <w:rPr>
          <w:spacing w:val="-9"/>
        </w:rPr>
        <w:t xml:space="preserve"> </w:t>
      </w:r>
      <w:r>
        <w:t>ICT</w:t>
      </w:r>
      <w:r>
        <w:rPr>
          <w:spacing w:val="-9"/>
        </w:rPr>
        <w:t xml:space="preserve"> </w:t>
      </w:r>
      <w:r>
        <w:t>Renewal</w:t>
      </w:r>
      <w:r>
        <w:rPr>
          <w:spacing w:val="-9"/>
        </w:rPr>
        <w:t xml:space="preserve"> </w:t>
      </w:r>
      <w:r>
        <w:t>and</w:t>
      </w:r>
      <w:r>
        <w:rPr>
          <w:spacing w:val="-9"/>
        </w:rPr>
        <w:t xml:space="preserve"> </w:t>
      </w:r>
      <w:r>
        <w:rPr>
          <w:spacing w:val="-3"/>
        </w:rPr>
        <w:t>Reform</w:t>
      </w:r>
      <w:r>
        <w:rPr>
          <w:spacing w:val="-9"/>
        </w:rPr>
        <w:t xml:space="preserve"> </w:t>
      </w:r>
      <w:r>
        <w:t>Fund</w:t>
      </w:r>
      <w:r>
        <w:rPr>
          <w:spacing w:val="-9"/>
        </w:rPr>
        <w:t xml:space="preserve"> </w:t>
      </w:r>
      <w:r>
        <w:t>(IRRF)</w:t>
      </w:r>
      <w:r>
        <w:rPr>
          <w:spacing w:val="-9"/>
        </w:rPr>
        <w:t xml:space="preserve"> </w:t>
      </w:r>
      <w:r>
        <w:t>which</w:t>
      </w:r>
      <w:r>
        <w:rPr>
          <w:spacing w:val="-9"/>
        </w:rPr>
        <w:t xml:space="preserve"> </w:t>
      </w:r>
      <w:r>
        <w:t>was</w:t>
      </w:r>
      <w:r>
        <w:rPr>
          <w:spacing w:val="-9"/>
        </w:rPr>
        <w:t xml:space="preserve"> </w:t>
      </w:r>
      <w:r>
        <w:t>expected</w:t>
      </w:r>
      <w:r>
        <w:rPr>
          <w:spacing w:val="-9"/>
        </w:rPr>
        <w:t xml:space="preserve"> </w:t>
      </w:r>
      <w:r>
        <w:t>to</w:t>
      </w:r>
      <w:r>
        <w:rPr>
          <w:spacing w:val="-9"/>
        </w:rPr>
        <w:t xml:space="preserve"> </w:t>
      </w:r>
      <w:r>
        <w:t>be</w:t>
      </w:r>
      <w:r>
        <w:rPr>
          <w:spacing w:val="-9"/>
        </w:rPr>
        <w:t xml:space="preserve"> </w:t>
      </w:r>
      <w:r>
        <w:t>fully</w:t>
      </w:r>
      <w:r>
        <w:rPr>
          <w:spacing w:val="-9"/>
        </w:rPr>
        <w:t xml:space="preserve"> </w:t>
      </w:r>
      <w:r>
        <w:t>expended</w:t>
      </w:r>
      <w:r>
        <w:rPr>
          <w:spacing w:val="-9"/>
        </w:rPr>
        <w:t xml:space="preserve"> </w:t>
      </w:r>
      <w:r>
        <w:t>by</w:t>
      </w:r>
      <w:r>
        <w:rPr>
          <w:spacing w:val="-9"/>
        </w:rPr>
        <w:t xml:space="preserve"> </w:t>
      </w:r>
      <w:r>
        <w:t>the</w:t>
      </w:r>
      <w:r>
        <w:rPr>
          <w:spacing w:val="-9"/>
        </w:rPr>
        <w:t xml:space="preserve"> </w:t>
      </w:r>
      <w:r>
        <w:t>end</w:t>
      </w:r>
      <w:r>
        <w:rPr>
          <w:spacing w:val="-9"/>
        </w:rPr>
        <w:t xml:space="preserve"> </w:t>
      </w:r>
      <w:r>
        <w:t>of</w:t>
      </w:r>
      <w:r>
        <w:rPr>
          <w:spacing w:val="-9"/>
        </w:rPr>
        <w:t xml:space="preserve"> </w:t>
      </w:r>
      <w:r>
        <w:t>2017/18 however the IRRF was extended to 2018/19 and expenditure carried</w:t>
      </w:r>
      <w:r>
        <w:rPr>
          <w:spacing w:val="-7"/>
        </w:rPr>
        <w:t xml:space="preserve"> </w:t>
      </w:r>
      <w:r>
        <w:rPr>
          <w:spacing w:val="-6"/>
        </w:rPr>
        <w:t>over.</w:t>
      </w:r>
    </w:p>
    <w:p w:rsidR="00A1463E" w:rsidRDefault="00F52429" w:rsidP="00A47797">
      <w:pPr>
        <w:pStyle w:val="Heading3"/>
        <w:ind w:left="567"/>
      </w:pPr>
      <w:r>
        <w:t>Major Actual (2018) and Comparative (2017) Variance Narratives</w:t>
      </w:r>
    </w:p>
    <w:p w:rsidR="00A1463E" w:rsidRDefault="00F52429" w:rsidP="004151B8">
      <w:pPr>
        <w:pStyle w:val="ListParagraph"/>
        <w:numPr>
          <w:ilvl w:val="0"/>
          <w:numId w:val="4"/>
        </w:numPr>
        <w:tabs>
          <w:tab w:val="left" w:pos="917"/>
        </w:tabs>
        <w:spacing w:line="290" w:lineRule="exact"/>
        <w:ind w:hanging="236"/>
      </w:pPr>
      <w:r>
        <w:t>The Estimated Administered Income amount was deferred to</w:t>
      </w:r>
      <w:r>
        <w:rPr>
          <w:spacing w:val="-7"/>
        </w:rPr>
        <w:t xml:space="preserve"> </w:t>
      </w:r>
      <w:r>
        <w:t>2018/19.</w:t>
      </w:r>
    </w:p>
    <w:p w:rsidR="00A1463E" w:rsidRDefault="00F52429" w:rsidP="004151B8">
      <w:pPr>
        <w:pStyle w:val="ListParagraph"/>
        <w:numPr>
          <w:ilvl w:val="0"/>
          <w:numId w:val="4"/>
        </w:numPr>
        <w:tabs>
          <w:tab w:val="left" w:pos="917"/>
        </w:tabs>
        <w:spacing w:before="52"/>
        <w:ind w:hanging="236"/>
      </w:pPr>
      <w:r>
        <w:t xml:space="preserve">The variance between actual and comparative is primarily due to additional funding being approved in 2017/18 for the </w:t>
      </w:r>
      <w:proofErr w:type="spellStart"/>
      <w:r>
        <w:rPr>
          <w:spacing w:val="-3"/>
        </w:rPr>
        <w:t>MyWA</w:t>
      </w:r>
      <w:proofErr w:type="spellEnd"/>
      <w:r>
        <w:rPr>
          <w:spacing w:val="-35"/>
        </w:rPr>
        <w:t xml:space="preserve"> </w:t>
      </w:r>
      <w:r>
        <w:t>project.</w:t>
      </w:r>
    </w:p>
    <w:p w:rsidR="00A1463E" w:rsidRDefault="00A1463E">
      <w:pPr>
        <w:rPr>
          <w:sz w:val="24"/>
        </w:rPr>
        <w:sectPr w:rsidR="00A1463E">
          <w:pgSz w:w="16840" w:h="11910" w:orient="landscape"/>
          <w:pgMar w:top="540" w:right="0" w:bottom="360" w:left="0" w:header="229" w:footer="145" w:gutter="0"/>
          <w:cols w:space="720"/>
        </w:sectPr>
      </w:pPr>
    </w:p>
    <w:p w:rsidR="00A1463E" w:rsidRDefault="00A1463E">
      <w:pPr>
        <w:pStyle w:val="BodyText"/>
        <w:spacing w:before="10"/>
        <w:rPr>
          <w:sz w:val="16"/>
        </w:rPr>
      </w:pPr>
    </w:p>
    <w:p w:rsidR="00A1463E" w:rsidRPr="00380E15" w:rsidRDefault="00380E15" w:rsidP="00380E15">
      <w:pPr>
        <w:spacing w:before="36"/>
        <w:ind w:left="659"/>
        <w:rPr>
          <w:color w:val="353434"/>
          <w:sz w:val="32"/>
        </w:rPr>
      </w:pPr>
      <w:r w:rsidRPr="00380E15">
        <w:rPr>
          <w:color w:val="353434"/>
          <w:sz w:val="32"/>
        </w:rPr>
        <w:t>Notes to the Financial Statements for the year ended 30 June 2018</w:t>
      </w:r>
    </w:p>
    <w:p w:rsidR="00380E15" w:rsidRDefault="00380E15"/>
    <w:p w:rsidR="00380E15" w:rsidRDefault="00380E15" w:rsidP="00380E15">
      <w:pPr>
        <w:pStyle w:val="Heading2"/>
        <w:rPr>
          <w:color w:val="353434"/>
        </w:rPr>
      </w:pPr>
      <w:r w:rsidRPr="00380E15">
        <w:rPr>
          <w:color w:val="353434"/>
        </w:rPr>
        <w:t xml:space="preserve">Note 34. Administered assets and liabilities </w:t>
      </w:r>
    </w:p>
    <w:tbl>
      <w:tblPr>
        <w:tblW w:w="6211" w:type="dxa"/>
        <w:tblInd w:w="704" w:type="dxa"/>
        <w:tblLook w:val="04A0" w:firstRow="1" w:lastRow="0" w:firstColumn="1" w:lastColumn="0" w:noHBand="0" w:noVBand="1"/>
      </w:tblPr>
      <w:tblGrid>
        <w:gridCol w:w="4451"/>
        <w:gridCol w:w="940"/>
        <w:gridCol w:w="820"/>
      </w:tblGrid>
      <w:tr w:rsidR="00380E15" w:rsidRPr="00380E15" w:rsidTr="004E3C25">
        <w:trPr>
          <w:trHeight w:val="300"/>
        </w:trPr>
        <w:tc>
          <w:tcPr>
            <w:tcW w:w="4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Pr="00380E15" w:rsidRDefault="00380E15" w:rsidP="00380E15">
            <w:pPr>
              <w:widowControl/>
              <w:autoSpaceDE/>
              <w:autoSpaceDN/>
              <w:rPr>
                <w:rFonts w:ascii="Arial" w:eastAsia="Times New Roman" w:hAnsi="Arial" w:cs="Arial"/>
                <w:b/>
                <w:bCs/>
                <w:i/>
                <w:iCs/>
                <w:color w:val="538DD5"/>
                <w:sz w:val="24"/>
                <w:szCs w:val="24"/>
                <w:lang w:val="en-AU" w:eastAsia="en-AU" w:bidi="ar-SA"/>
              </w:rPr>
            </w:pPr>
            <w:r w:rsidRPr="00380E15">
              <w:rPr>
                <w:rFonts w:ascii="Arial" w:eastAsia="Times New Roman" w:hAnsi="Arial" w:cs="Arial"/>
                <w:b/>
                <w:bCs/>
                <w:i/>
                <w:iCs/>
                <w:color w:val="538DD5"/>
                <w:sz w:val="24"/>
                <w:szCs w:val="24"/>
                <w:lang w:val="en-AU" w:eastAsia="en-AU" w:bidi="ar-SA"/>
              </w:rPr>
              <w:t> </w:t>
            </w:r>
            <w:r w:rsidR="00BA0DE0" w:rsidRPr="00380E15">
              <w:rPr>
                <w:rFonts w:ascii="Arial" w:eastAsia="Times New Roman" w:hAnsi="Arial" w:cs="Arial"/>
                <w:sz w:val="20"/>
                <w:szCs w:val="20"/>
                <w:u w:val="single"/>
                <w:lang w:val="en-AU" w:eastAsia="en-AU" w:bidi="ar-SA"/>
              </w:rPr>
              <w:t>Current Assets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2018</w:t>
            </w:r>
          </w:p>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2017</w:t>
            </w:r>
          </w:p>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Pr>
                <w:rFonts w:ascii="Arial" w:eastAsia="Times New Roman" w:hAnsi="Arial" w:cs="Arial"/>
                <w:b/>
                <w:bCs/>
                <w:sz w:val="20"/>
                <w:szCs w:val="20"/>
                <w:lang w:val="en-AU" w:eastAsia="en-AU" w:bidi="ar-SA"/>
              </w:rPr>
              <w:t>$000</w:t>
            </w:r>
          </w:p>
        </w:tc>
      </w:tr>
      <w:tr w:rsidR="00380E15" w:rsidRPr="00380E15" w:rsidTr="004E3C25">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15" w:rsidRPr="00380E15" w:rsidRDefault="00380E15" w:rsidP="00380E15">
            <w:pPr>
              <w:widowControl/>
              <w:autoSpaceDE/>
              <w:autoSpaceDN/>
              <w:jc w:val="both"/>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Cash and cash equivalents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1,363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6,826</w:t>
            </w:r>
          </w:p>
        </w:tc>
      </w:tr>
      <w:tr w:rsidR="00380E15" w:rsidRPr="00380E15" w:rsidTr="004E3C25">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15" w:rsidRPr="00380E15" w:rsidRDefault="00380E15" w:rsidP="00380E15">
            <w:pPr>
              <w:widowControl/>
              <w:autoSpaceDE/>
              <w:autoSpaceDN/>
              <w:jc w:val="both"/>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Total Administered Current Assets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1,363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15" w:rsidRPr="00380E15" w:rsidRDefault="00380E15" w:rsidP="00380E15">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6,826</w:t>
            </w:r>
          </w:p>
        </w:tc>
      </w:tr>
      <w:tr w:rsidR="00380E15" w:rsidRPr="00380E15" w:rsidTr="004E3C25">
        <w:trPr>
          <w:trHeight w:val="27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15" w:rsidRPr="00380E15" w:rsidRDefault="00380E15" w:rsidP="00380E15">
            <w:pPr>
              <w:widowControl/>
              <w:autoSpaceDE/>
              <w:autoSpaceDN/>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TOTAL ADMINISTERED ASSETS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1,363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15" w:rsidRPr="00380E15" w:rsidRDefault="00380E15" w:rsidP="00380E15">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6,826</w:t>
            </w:r>
          </w:p>
        </w:tc>
      </w:tr>
    </w:tbl>
    <w:p w:rsidR="00D26A3D" w:rsidRDefault="00D26A3D" w:rsidP="00BA0DE0">
      <w:pPr>
        <w:pStyle w:val="Heading2"/>
        <w:ind w:left="0"/>
        <w:rPr>
          <w:color w:val="353434"/>
        </w:rPr>
      </w:pPr>
    </w:p>
    <w:tbl>
      <w:tblPr>
        <w:tblW w:w="6211" w:type="dxa"/>
        <w:tblInd w:w="704" w:type="dxa"/>
        <w:tblLook w:val="04A0" w:firstRow="1" w:lastRow="0" w:firstColumn="1" w:lastColumn="0" w:noHBand="0" w:noVBand="1"/>
      </w:tblPr>
      <w:tblGrid>
        <w:gridCol w:w="4451"/>
        <w:gridCol w:w="940"/>
        <w:gridCol w:w="820"/>
      </w:tblGrid>
      <w:tr w:rsidR="00D26A3D" w:rsidRPr="00380E15" w:rsidTr="00DC3AEB">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A3D" w:rsidRPr="00380E15" w:rsidRDefault="00D26A3D" w:rsidP="00DC3AEB">
            <w:pPr>
              <w:widowControl/>
              <w:autoSpaceDE/>
              <w:autoSpaceDN/>
              <w:jc w:val="both"/>
              <w:rPr>
                <w:rFonts w:ascii="Arial" w:eastAsia="Times New Roman" w:hAnsi="Arial" w:cs="Arial"/>
                <w:sz w:val="20"/>
                <w:szCs w:val="20"/>
                <w:u w:val="single"/>
                <w:lang w:val="en-AU" w:eastAsia="en-AU" w:bidi="ar-SA"/>
              </w:rPr>
            </w:pPr>
            <w:r w:rsidRPr="00380E15">
              <w:rPr>
                <w:rFonts w:ascii="Arial" w:eastAsia="Times New Roman" w:hAnsi="Arial" w:cs="Arial"/>
                <w:sz w:val="20"/>
                <w:szCs w:val="20"/>
                <w:u w:val="single"/>
                <w:lang w:val="en-AU" w:eastAsia="en-AU" w:bidi="ar-SA"/>
              </w:rPr>
              <w:t>Current Liabilities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Times New Roman" w:eastAsia="Times New Roman" w:hAnsi="Times New Roman" w:cs="Times New Roman"/>
                <w:sz w:val="20"/>
                <w:szCs w:val="20"/>
                <w:lang w:val="en-AU" w:eastAsia="en-AU" w:bidi="ar-SA"/>
              </w:rPr>
            </w:pPr>
            <w:r>
              <w:rPr>
                <w:rFonts w:ascii="Times New Roman" w:eastAsia="Times New Roman" w:hAnsi="Times New Roman" w:cs="Times New Roman"/>
                <w:sz w:val="20"/>
                <w:szCs w:val="20"/>
                <w:lang w:eastAsia="en-AU"/>
              </w:rPr>
              <w:t>2018 $000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Times New Roman" w:eastAsia="Times New Roman" w:hAnsi="Times New Roman" w:cs="Times New Roman"/>
                <w:sz w:val="20"/>
                <w:szCs w:val="20"/>
                <w:lang w:val="en-AU" w:eastAsia="en-AU" w:bidi="ar-SA"/>
              </w:rPr>
            </w:pPr>
            <w:r>
              <w:rPr>
                <w:rFonts w:ascii="Times New Roman" w:eastAsia="Times New Roman" w:hAnsi="Times New Roman" w:cs="Times New Roman"/>
                <w:sz w:val="20"/>
                <w:szCs w:val="20"/>
                <w:lang w:eastAsia="en-AU"/>
              </w:rPr>
              <w:t>2017 $000</w:t>
            </w:r>
          </w:p>
        </w:tc>
      </w:tr>
      <w:tr w:rsidR="00D26A3D" w:rsidRPr="00380E15" w:rsidTr="00DC3AEB">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A3D" w:rsidRPr="00380E15" w:rsidRDefault="00D26A3D" w:rsidP="00DC3AEB">
            <w:pPr>
              <w:widowControl/>
              <w:autoSpaceDE/>
              <w:autoSpaceDN/>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Payables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98</w:t>
            </w:r>
          </w:p>
        </w:tc>
      </w:tr>
      <w:tr w:rsidR="00D26A3D" w:rsidRPr="00380E15" w:rsidTr="00DC3AEB">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A3D" w:rsidRPr="00380E15" w:rsidRDefault="00D26A3D" w:rsidP="00DC3AEB">
            <w:pPr>
              <w:widowControl/>
              <w:autoSpaceDE/>
              <w:autoSpaceDN/>
              <w:jc w:val="both"/>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Total Administered Current Liability</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sz w:val="20"/>
                <w:szCs w:val="20"/>
                <w:lang w:val="en-AU" w:eastAsia="en-AU" w:bidi="ar-SA"/>
              </w:rPr>
            </w:pPr>
            <w:r w:rsidRPr="00380E15">
              <w:rPr>
                <w:rFonts w:ascii="Arial" w:eastAsia="Times New Roman" w:hAnsi="Arial" w:cs="Arial"/>
                <w:sz w:val="20"/>
                <w:szCs w:val="20"/>
                <w:lang w:val="en-AU" w:eastAsia="en-AU" w:bidi="ar-SA"/>
              </w:rPr>
              <w:t>98</w:t>
            </w:r>
          </w:p>
        </w:tc>
      </w:tr>
      <w:tr w:rsidR="00D26A3D" w:rsidRPr="00380E15" w:rsidTr="00DC3AEB">
        <w:trPr>
          <w:trHeight w:val="27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A3D" w:rsidRPr="00380E15" w:rsidRDefault="00D26A3D" w:rsidP="00DC3AEB">
            <w:pPr>
              <w:widowControl/>
              <w:autoSpaceDE/>
              <w:autoSpaceDN/>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TOTAL ADMINISTERED LIABILITIES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A3D" w:rsidRPr="00380E15" w:rsidRDefault="00D26A3D" w:rsidP="00DC3AEB">
            <w:pPr>
              <w:widowControl/>
              <w:autoSpaceDE/>
              <w:autoSpaceDN/>
              <w:jc w:val="right"/>
              <w:rPr>
                <w:rFonts w:ascii="Arial" w:eastAsia="Times New Roman" w:hAnsi="Arial" w:cs="Arial"/>
                <w:b/>
                <w:bCs/>
                <w:sz w:val="20"/>
                <w:szCs w:val="20"/>
                <w:lang w:val="en-AU" w:eastAsia="en-AU" w:bidi="ar-SA"/>
              </w:rPr>
            </w:pPr>
            <w:r w:rsidRPr="00380E15">
              <w:rPr>
                <w:rFonts w:ascii="Arial" w:eastAsia="Times New Roman" w:hAnsi="Arial" w:cs="Arial"/>
                <w:b/>
                <w:bCs/>
                <w:sz w:val="20"/>
                <w:szCs w:val="20"/>
                <w:lang w:val="en-AU" w:eastAsia="en-AU" w:bidi="ar-SA"/>
              </w:rPr>
              <w:t>98</w:t>
            </w:r>
          </w:p>
        </w:tc>
      </w:tr>
    </w:tbl>
    <w:p w:rsidR="00D26A3D" w:rsidRPr="00380E15" w:rsidRDefault="00D26A3D" w:rsidP="00BA0DE0">
      <w:pPr>
        <w:pStyle w:val="Heading2"/>
        <w:ind w:left="0"/>
        <w:rPr>
          <w:color w:val="353434"/>
        </w:rPr>
        <w:sectPr w:rsidR="00D26A3D" w:rsidRPr="00380E15">
          <w:pgSz w:w="16840" w:h="11910" w:orient="landscape"/>
          <w:pgMar w:top="540" w:right="0" w:bottom="360" w:left="0" w:header="229" w:footer="145" w:gutter="0"/>
          <w:cols w:space="720"/>
        </w:sectPr>
      </w:pPr>
    </w:p>
    <w:p w:rsidR="00A1463E" w:rsidRDefault="00A1463E">
      <w:pPr>
        <w:pStyle w:val="BodyText"/>
        <w:spacing w:before="7"/>
        <w:rPr>
          <w:b/>
          <w:sz w:val="8"/>
        </w:rPr>
      </w:pPr>
    </w:p>
    <w:p w:rsidR="00A1463E" w:rsidRDefault="00F52429" w:rsidP="004E3C25">
      <w:pPr>
        <w:pStyle w:val="Heading2"/>
        <w:ind w:left="567"/>
      </w:pPr>
      <w:bookmarkStart w:id="46" w:name="certification_of_key_performance_indicat"/>
      <w:bookmarkStart w:id="47" w:name="_bookmark35"/>
      <w:bookmarkStart w:id="48" w:name="_bookmark36"/>
      <w:bookmarkStart w:id="49" w:name="_bookmark37"/>
      <w:bookmarkStart w:id="50" w:name="_bookmark38"/>
      <w:bookmarkStart w:id="51" w:name="_bookmark39"/>
      <w:bookmarkEnd w:id="46"/>
      <w:bookmarkEnd w:id="47"/>
      <w:bookmarkEnd w:id="48"/>
      <w:bookmarkEnd w:id="49"/>
      <w:bookmarkEnd w:id="50"/>
      <w:bookmarkEnd w:id="51"/>
      <w:r>
        <w:rPr>
          <w:color w:val="353434"/>
        </w:rPr>
        <w:t>CERTIFICATION OF KEY PERFORMANCE INDICATORS</w:t>
      </w:r>
    </w:p>
    <w:p w:rsidR="00A1463E" w:rsidRDefault="00A1463E">
      <w:pPr>
        <w:pStyle w:val="BodyText"/>
        <w:spacing w:line="60" w:lineRule="exact"/>
        <w:ind w:left="650"/>
        <w:rPr>
          <w:sz w:val="6"/>
        </w:rPr>
      </w:pPr>
    </w:p>
    <w:p w:rsidR="00A1463E" w:rsidRDefault="0038227C" w:rsidP="0038227C">
      <w:pPr>
        <w:pStyle w:val="Heading3"/>
        <w:ind w:left="567"/>
      </w:pPr>
      <w:r>
        <w:t>For the year ended 30 June 2018</w:t>
      </w:r>
    </w:p>
    <w:p w:rsidR="0038227C" w:rsidRDefault="0038227C" w:rsidP="0038227C">
      <w:pPr>
        <w:pStyle w:val="BodyText"/>
        <w:spacing w:before="2"/>
        <w:ind w:left="567"/>
        <w:rPr>
          <w:sz w:val="19"/>
        </w:rPr>
      </w:pPr>
      <w:r>
        <w:rPr>
          <w:color w:val="000000"/>
          <w:sz w:val="23"/>
          <w:szCs w:val="23"/>
        </w:rPr>
        <w:t>I hereby certify that the key performance indicators are based on proper records, are relevant and appropriate for assisting users to assess the Office of the Government Chief Information Officer’s performance, and fairly represent the performance of the sub-Department for the financial year ended 30 June 2018.</w:t>
      </w:r>
    </w:p>
    <w:p w:rsidR="00A1463E" w:rsidRDefault="00A1463E">
      <w:pPr>
        <w:rPr>
          <w:sz w:val="19"/>
        </w:rPr>
      </w:pPr>
    </w:p>
    <w:p w:rsidR="0038227C" w:rsidRDefault="0038227C" w:rsidP="0038227C">
      <w:pPr>
        <w:pStyle w:val="BodyText"/>
        <w:ind w:left="567"/>
      </w:pPr>
      <w:r>
        <w:t xml:space="preserve">Dominick </w:t>
      </w:r>
      <w:proofErr w:type="spellStart"/>
      <w:r>
        <w:t>Geraghty</w:t>
      </w:r>
      <w:proofErr w:type="spellEnd"/>
      <w:r>
        <w:t xml:space="preserve"> </w:t>
      </w:r>
    </w:p>
    <w:p w:rsidR="0038227C" w:rsidRDefault="0038227C" w:rsidP="0038227C">
      <w:pPr>
        <w:pStyle w:val="BodyText"/>
        <w:ind w:left="567"/>
      </w:pPr>
      <w:r>
        <w:t>Reporting Officer</w:t>
      </w:r>
    </w:p>
    <w:p w:rsidR="0038227C" w:rsidRDefault="0038227C" w:rsidP="0038227C">
      <w:pPr>
        <w:pStyle w:val="BodyText"/>
        <w:ind w:left="567"/>
        <w:sectPr w:rsidR="0038227C">
          <w:pgSz w:w="16840" w:h="11910" w:orient="landscape"/>
          <w:pgMar w:top="540" w:right="0" w:bottom="360" w:left="0" w:header="229" w:footer="145" w:gutter="0"/>
          <w:cols w:space="720"/>
        </w:sectPr>
      </w:pPr>
      <w:r>
        <w:t>29 August 2018</w:t>
      </w:r>
    </w:p>
    <w:p w:rsidR="00A1463E" w:rsidRDefault="00A1463E">
      <w:pPr>
        <w:pStyle w:val="BodyText"/>
        <w:spacing w:before="6"/>
        <w:rPr>
          <w:sz w:val="8"/>
        </w:rPr>
      </w:pPr>
    </w:p>
    <w:p w:rsidR="00A1463E" w:rsidRDefault="00F52429">
      <w:pPr>
        <w:pStyle w:val="Heading2"/>
        <w:ind w:left="659"/>
      </w:pPr>
      <w:bookmarkStart w:id="52" w:name="performance_assessment"/>
      <w:bookmarkStart w:id="53" w:name="_bookmark40"/>
      <w:bookmarkEnd w:id="52"/>
      <w:bookmarkEnd w:id="53"/>
      <w:r>
        <w:rPr>
          <w:color w:val="353434"/>
        </w:rPr>
        <w:t>PERFORMANCE ASSESSMENT</w:t>
      </w:r>
    </w:p>
    <w:p w:rsidR="00A1463E" w:rsidRDefault="00A1463E">
      <w:pPr>
        <w:pStyle w:val="BodyText"/>
        <w:spacing w:line="60" w:lineRule="exact"/>
        <w:ind w:left="650"/>
        <w:rPr>
          <w:sz w:val="6"/>
        </w:rPr>
      </w:pPr>
    </w:p>
    <w:p w:rsidR="00A1463E" w:rsidRDefault="00F52429">
      <w:pPr>
        <w:spacing w:before="239"/>
        <w:ind w:left="680"/>
        <w:rPr>
          <w:sz w:val="32"/>
        </w:rPr>
      </w:pPr>
      <w:r>
        <w:rPr>
          <w:color w:val="353434"/>
          <w:sz w:val="32"/>
        </w:rPr>
        <w:t>Outcomes</w:t>
      </w:r>
    </w:p>
    <w:p w:rsidR="00A1463E" w:rsidRDefault="00F52429">
      <w:pPr>
        <w:pStyle w:val="BodyText"/>
        <w:spacing w:before="31"/>
        <w:ind w:left="680"/>
      </w:pPr>
      <w:r>
        <w:t>The Government desired outcomes that the sub-Department works to achieve through its services are:</w:t>
      </w:r>
    </w:p>
    <w:p w:rsidR="00A1463E" w:rsidRDefault="00A1463E">
      <w:pPr>
        <w:pStyle w:val="BodyText"/>
        <w:spacing w:before="2"/>
        <w:rPr>
          <w:sz w:val="15"/>
        </w:rPr>
      </w:pPr>
    </w:p>
    <w:tbl>
      <w:tblPr>
        <w:tblW w:w="0" w:type="auto"/>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6"/>
        <w:gridCol w:w="3326"/>
        <w:gridCol w:w="3319"/>
      </w:tblGrid>
      <w:tr w:rsidR="00A1463E">
        <w:trPr>
          <w:trHeight w:val="371"/>
        </w:trPr>
        <w:tc>
          <w:tcPr>
            <w:tcW w:w="3316" w:type="dxa"/>
          </w:tcPr>
          <w:p w:rsidR="00A1463E" w:rsidRDefault="00F52429">
            <w:pPr>
              <w:pStyle w:val="TableParagraph"/>
              <w:spacing w:before="71" w:line="281" w:lineRule="exact"/>
              <w:ind w:left="80"/>
              <w:rPr>
                <w:b/>
                <w:sz w:val="24"/>
              </w:rPr>
            </w:pPr>
            <w:r>
              <w:rPr>
                <w:b/>
                <w:sz w:val="24"/>
              </w:rPr>
              <w:t>Government goals</w:t>
            </w:r>
          </w:p>
        </w:tc>
        <w:tc>
          <w:tcPr>
            <w:tcW w:w="3326" w:type="dxa"/>
          </w:tcPr>
          <w:p w:rsidR="00A1463E" w:rsidRDefault="00F52429">
            <w:pPr>
              <w:pStyle w:val="TableParagraph"/>
              <w:spacing w:before="71" w:line="281" w:lineRule="exact"/>
              <w:ind w:left="80"/>
              <w:rPr>
                <w:b/>
                <w:sz w:val="24"/>
              </w:rPr>
            </w:pPr>
            <w:r>
              <w:rPr>
                <w:b/>
                <w:sz w:val="24"/>
              </w:rPr>
              <w:t>Desired outcomes</w:t>
            </w:r>
          </w:p>
        </w:tc>
        <w:tc>
          <w:tcPr>
            <w:tcW w:w="3319" w:type="dxa"/>
          </w:tcPr>
          <w:p w:rsidR="00A1463E" w:rsidRDefault="00F52429">
            <w:pPr>
              <w:pStyle w:val="TableParagraph"/>
              <w:spacing w:before="71" w:line="281" w:lineRule="exact"/>
              <w:ind w:left="80"/>
              <w:rPr>
                <w:b/>
                <w:sz w:val="24"/>
              </w:rPr>
            </w:pPr>
            <w:r>
              <w:rPr>
                <w:b/>
                <w:sz w:val="24"/>
              </w:rPr>
              <w:t>Services</w:t>
            </w:r>
          </w:p>
        </w:tc>
      </w:tr>
      <w:tr w:rsidR="00A1463E">
        <w:trPr>
          <w:trHeight w:val="2341"/>
        </w:trPr>
        <w:tc>
          <w:tcPr>
            <w:tcW w:w="3316" w:type="dxa"/>
          </w:tcPr>
          <w:p w:rsidR="00A1463E" w:rsidRDefault="00F52429" w:rsidP="004E3C25">
            <w:pPr>
              <w:pStyle w:val="TableParagraph"/>
              <w:spacing w:before="24"/>
              <w:ind w:left="80"/>
              <w:rPr>
                <w:sz w:val="24"/>
              </w:rPr>
            </w:pPr>
            <w:r>
              <w:rPr>
                <w:sz w:val="24"/>
              </w:rPr>
              <w:t>Sustainable Finances:</w:t>
            </w:r>
            <w:r w:rsidR="004E3C25">
              <w:rPr>
                <w:sz w:val="24"/>
              </w:rPr>
              <w:t xml:space="preserve"> </w:t>
            </w:r>
            <w:r>
              <w:rPr>
                <w:sz w:val="24"/>
              </w:rPr>
              <w:t>Responsible financial management and better service delivery.</w:t>
            </w:r>
          </w:p>
        </w:tc>
        <w:tc>
          <w:tcPr>
            <w:tcW w:w="3326" w:type="dxa"/>
          </w:tcPr>
          <w:p w:rsidR="00A1463E" w:rsidRDefault="00F52429">
            <w:pPr>
              <w:pStyle w:val="TableParagraph"/>
              <w:spacing w:before="28" w:line="235" w:lineRule="auto"/>
              <w:ind w:left="80" w:right="230"/>
              <w:jc w:val="both"/>
              <w:rPr>
                <w:sz w:val="24"/>
              </w:rPr>
            </w:pPr>
            <w:r>
              <w:rPr>
                <w:sz w:val="24"/>
              </w:rPr>
              <w:t xml:space="preserve">Enabling effective </w:t>
            </w:r>
            <w:proofErr w:type="spellStart"/>
            <w:r>
              <w:rPr>
                <w:sz w:val="24"/>
              </w:rPr>
              <w:t>utilisation</w:t>
            </w:r>
            <w:proofErr w:type="spellEnd"/>
            <w:r>
              <w:rPr>
                <w:spacing w:val="-39"/>
                <w:sz w:val="24"/>
              </w:rPr>
              <w:t xml:space="preserve"> </w:t>
            </w:r>
            <w:r>
              <w:rPr>
                <w:sz w:val="24"/>
              </w:rPr>
              <w:t>of best practice technology in</w:t>
            </w:r>
            <w:r>
              <w:rPr>
                <w:spacing w:val="-18"/>
                <w:sz w:val="24"/>
              </w:rPr>
              <w:t xml:space="preserve"> </w:t>
            </w:r>
            <w:r>
              <w:rPr>
                <w:sz w:val="24"/>
              </w:rPr>
              <w:t>the public</w:t>
            </w:r>
            <w:r>
              <w:rPr>
                <w:spacing w:val="-2"/>
                <w:sz w:val="24"/>
              </w:rPr>
              <w:t xml:space="preserve"> </w:t>
            </w:r>
            <w:r>
              <w:rPr>
                <w:spacing w:val="-5"/>
                <w:sz w:val="24"/>
              </w:rPr>
              <w:t>sector.</w:t>
            </w:r>
          </w:p>
        </w:tc>
        <w:tc>
          <w:tcPr>
            <w:tcW w:w="3319" w:type="dxa"/>
          </w:tcPr>
          <w:p w:rsidR="00A1463E" w:rsidRDefault="00F52429">
            <w:pPr>
              <w:pStyle w:val="TableParagraph"/>
              <w:spacing w:before="28" w:line="235" w:lineRule="auto"/>
              <w:ind w:left="80" w:right="253"/>
              <w:rPr>
                <w:sz w:val="24"/>
              </w:rPr>
            </w:pPr>
            <w:r>
              <w:rPr>
                <w:sz w:val="24"/>
              </w:rPr>
              <w:t>Establishment of a Platform for the Delivery of Better Government Services through Efficient Development</w:t>
            </w:r>
          </w:p>
          <w:p w:rsidR="00A1463E" w:rsidRDefault="00F52429">
            <w:pPr>
              <w:pStyle w:val="TableParagraph"/>
              <w:spacing w:before="4" w:line="235" w:lineRule="auto"/>
              <w:ind w:left="80"/>
              <w:rPr>
                <w:sz w:val="24"/>
              </w:rPr>
            </w:pPr>
            <w:r>
              <w:rPr>
                <w:sz w:val="24"/>
              </w:rPr>
              <w:t>of Information and Communications Technology (ICT) Strategy, Policies and</w:t>
            </w:r>
          </w:p>
          <w:p w:rsidR="00A1463E" w:rsidRDefault="00F52429">
            <w:pPr>
              <w:pStyle w:val="TableParagraph"/>
              <w:spacing w:line="279" w:lineRule="exact"/>
              <w:ind w:left="80"/>
              <w:rPr>
                <w:sz w:val="24"/>
              </w:rPr>
            </w:pPr>
            <w:r>
              <w:rPr>
                <w:sz w:val="24"/>
              </w:rPr>
              <w:t>Solutions.</w:t>
            </w:r>
          </w:p>
        </w:tc>
      </w:tr>
    </w:tbl>
    <w:p w:rsidR="00A1463E" w:rsidRDefault="00F52429">
      <w:pPr>
        <w:pStyle w:val="Heading2"/>
        <w:spacing w:before="202"/>
      </w:pPr>
      <w:r>
        <w:rPr>
          <w:color w:val="353434"/>
        </w:rPr>
        <w:t>Measuring the Performance</w:t>
      </w:r>
    </w:p>
    <w:p w:rsidR="00A1463E" w:rsidRDefault="00A1463E" w:rsidP="00D346D9">
      <w:pPr>
        <w:ind w:right="680"/>
        <w:rPr>
          <w:sz w:val="14"/>
        </w:rPr>
      </w:pPr>
    </w:p>
    <w:p w:rsidR="00D346D9" w:rsidRDefault="00D346D9" w:rsidP="00D346D9">
      <w:pPr>
        <w:ind w:left="709" w:right="680"/>
        <w:rPr>
          <w:sz w:val="14"/>
        </w:rPr>
        <w:sectPr w:rsidR="00D346D9">
          <w:pgSz w:w="16840" w:h="11910" w:orient="landscape"/>
          <w:pgMar w:top="540" w:right="0" w:bottom="360" w:left="0" w:header="229" w:footer="145" w:gutter="0"/>
          <w:cols w:space="720"/>
        </w:sectPr>
      </w:pPr>
      <w:r>
        <w:rPr>
          <w:color w:val="000000"/>
          <w:sz w:val="23"/>
          <w:szCs w:val="23"/>
        </w:rPr>
        <w:t>The Office of the Government Chief Information Officer (OGCIO) measures its performance through a comparison of policy and costs against overall government direction and ICT spend.</w:t>
      </w:r>
    </w:p>
    <w:p w:rsidR="00A1463E" w:rsidRDefault="00F52429">
      <w:pPr>
        <w:spacing w:before="42" w:line="235" w:lineRule="auto"/>
        <w:ind w:left="680"/>
        <w:jc w:val="both"/>
        <w:rPr>
          <w:sz w:val="32"/>
        </w:rPr>
      </w:pPr>
      <w:r>
        <w:rPr>
          <w:color w:val="353434"/>
          <w:sz w:val="32"/>
        </w:rPr>
        <w:lastRenderedPageBreak/>
        <w:t xml:space="preserve">Outcome 1: Enabling effective </w:t>
      </w:r>
      <w:proofErr w:type="spellStart"/>
      <w:r>
        <w:rPr>
          <w:color w:val="353434"/>
          <w:sz w:val="32"/>
        </w:rPr>
        <w:t>utilisation</w:t>
      </w:r>
      <w:proofErr w:type="spellEnd"/>
      <w:r>
        <w:rPr>
          <w:color w:val="353434"/>
          <w:sz w:val="32"/>
        </w:rPr>
        <w:t xml:space="preserve"> of best practice technology in the public sector</w:t>
      </w:r>
    </w:p>
    <w:p w:rsidR="00A1463E" w:rsidRDefault="00F52429">
      <w:pPr>
        <w:pStyle w:val="BodyText"/>
        <w:spacing w:before="151" w:line="235" w:lineRule="auto"/>
        <w:ind w:left="680" w:right="1"/>
        <w:jc w:val="both"/>
      </w:pPr>
      <w:r>
        <w:t xml:space="preserve">This outcome supports the Government’s goals </w:t>
      </w:r>
      <w:r>
        <w:rPr>
          <w:spacing w:val="-3"/>
        </w:rPr>
        <w:t xml:space="preserve">for </w:t>
      </w:r>
      <w:r>
        <w:t>an efficient and cost effective public service and reflects the OGCIO role in establishing the framework</w:t>
      </w:r>
      <w:r>
        <w:rPr>
          <w:spacing w:val="-6"/>
        </w:rPr>
        <w:t xml:space="preserve"> </w:t>
      </w:r>
      <w:r>
        <w:t>and</w:t>
      </w:r>
      <w:r>
        <w:rPr>
          <w:spacing w:val="-6"/>
        </w:rPr>
        <w:t xml:space="preserve"> </w:t>
      </w:r>
      <w:r>
        <w:t>policy</w:t>
      </w:r>
      <w:r>
        <w:rPr>
          <w:spacing w:val="-6"/>
        </w:rPr>
        <w:t xml:space="preserve"> </w:t>
      </w:r>
      <w:r>
        <w:t>to</w:t>
      </w:r>
      <w:r>
        <w:rPr>
          <w:spacing w:val="-6"/>
        </w:rPr>
        <w:t xml:space="preserve"> </w:t>
      </w:r>
      <w:r>
        <w:t>assist</w:t>
      </w:r>
      <w:r>
        <w:rPr>
          <w:spacing w:val="-5"/>
        </w:rPr>
        <w:t xml:space="preserve"> </w:t>
      </w:r>
      <w:r>
        <w:t>agencies</w:t>
      </w:r>
      <w:r>
        <w:rPr>
          <w:spacing w:val="-5"/>
        </w:rPr>
        <w:t xml:space="preserve"> </w:t>
      </w:r>
      <w:r>
        <w:t>in</w:t>
      </w:r>
      <w:r>
        <w:rPr>
          <w:spacing w:val="-6"/>
        </w:rPr>
        <w:t xml:space="preserve"> </w:t>
      </w:r>
      <w:r>
        <w:t>achieving</w:t>
      </w:r>
      <w:r>
        <w:rPr>
          <w:spacing w:val="-5"/>
        </w:rPr>
        <w:t xml:space="preserve"> </w:t>
      </w:r>
      <w:r>
        <w:t>more</w:t>
      </w:r>
      <w:r>
        <w:rPr>
          <w:spacing w:val="-5"/>
        </w:rPr>
        <w:t xml:space="preserve"> </w:t>
      </w:r>
      <w:r>
        <w:t>efficient</w:t>
      </w:r>
      <w:r>
        <w:rPr>
          <w:spacing w:val="-5"/>
        </w:rPr>
        <w:t xml:space="preserve"> </w:t>
      </w:r>
      <w:r>
        <w:t>services.</w:t>
      </w:r>
    </w:p>
    <w:p w:rsidR="00A1463E" w:rsidRDefault="00F52429">
      <w:pPr>
        <w:pStyle w:val="BodyText"/>
        <w:spacing w:before="173" w:line="235" w:lineRule="auto"/>
        <w:ind w:left="680"/>
        <w:jc w:val="both"/>
      </w:pPr>
      <w:r>
        <w:t>The</w:t>
      </w:r>
      <w:r>
        <w:rPr>
          <w:spacing w:val="-14"/>
        </w:rPr>
        <w:t xml:space="preserve"> </w:t>
      </w:r>
      <w:r>
        <w:rPr>
          <w:spacing w:val="-3"/>
        </w:rPr>
        <w:t>Western</w:t>
      </w:r>
      <w:r>
        <w:rPr>
          <w:spacing w:val="-14"/>
        </w:rPr>
        <w:t xml:space="preserve"> </w:t>
      </w:r>
      <w:r>
        <w:t>Australian</w:t>
      </w:r>
      <w:r>
        <w:rPr>
          <w:spacing w:val="-14"/>
        </w:rPr>
        <w:t xml:space="preserve"> </w:t>
      </w:r>
      <w:r>
        <w:t>Government</w:t>
      </w:r>
      <w:r>
        <w:rPr>
          <w:spacing w:val="-14"/>
        </w:rPr>
        <w:t xml:space="preserve"> </w:t>
      </w:r>
      <w:r>
        <w:t>ICT</w:t>
      </w:r>
      <w:r>
        <w:rPr>
          <w:spacing w:val="-14"/>
        </w:rPr>
        <w:t xml:space="preserve"> </w:t>
      </w:r>
      <w:r>
        <w:t>Strategy</w:t>
      </w:r>
      <w:r>
        <w:rPr>
          <w:spacing w:val="-14"/>
        </w:rPr>
        <w:t xml:space="preserve"> </w:t>
      </w:r>
      <w:r>
        <w:t>will</w:t>
      </w:r>
      <w:r>
        <w:rPr>
          <w:spacing w:val="-14"/>
        </w:rPr>
        <w:t xml:space="preserve"> </w:t>
      </w:r>
      <w:r>
        <w:t>help</w:t>
      </w:r>
      <w:r>
        <w:rPr>
          <w:spacing w:val="-14"/>
        </w:rPr>
        <w:t xml:space="preserve"> </w:t>
      </w:r>
      <w:r>
        <w:t>transform</w:t>
      </w:r>
      <w:r>
        <w:rPr>
          <w:spacing w:val="-14"/>
        </w:rPr>
        <w:t xml:space="preserve"> </w:t>
      </w:r>
      <w:r>
        <w:t>the</w:t>
      </w:r>
      <w:r>
        <w:rPr>
          <w:spacing w:val="-14"/>
        </w:rPr>
        <w:t xml:space="preserve"> </w:t>
      </w:r>
      <w:r>
        <w:rPr>
          <w:spacing w:val="-3"/>
        </w:rPr>
        <w:t xml:space="preserve">way </w:t>
      </w:r>
      <w:r>
        <w:t>public</w:t>
      </w:r>
      <w:r>
        <w:rPr>
          <w:spacing w:val="-11"/>
        </w:rPr>
        <w:t xml:space="preserve"> </w:t>
      </w:r>
      <w:r>
        <w:t>services</w:t>
      </w:r>
      <w:r>
        <w:rPr>
          <w:spacing w:val="-11"/>
        </w:rPr>
        <w:t xml:space="preserve"> </w:t>
      </w:r>
      <w:r>
        <w:t>are</w:t>
      </w:r>
      <w:r>
        <w:rPr>
          <w:spacing w:val="-11"/>
        </w:rPr>
        <w:t xml:space="preserve"> </w:t>
      </w:r>
      <w:r>
        <w:t>designed,</w:t>
      </w:r>
      <w:r>
        <w:rPr>
          <w:spacing w:val="-11"/>
        </w:rPr>
        <w:t xml:space="preserve"> </w:t>
      </w:r>
      <w:r>
        <w:t>supported</w:t>
      </w:r>
      <w:r>
        <w:rPr>
          <w:spacing w:val="-11"/>
        </w:rPr>
        <w:t xml:space="preserve"> </w:t>
      </w:r>
      <w:r>
        <w:t>and</w:t>
      </w:r>
      <w:r>
        <w:rPr>
          <w:spacing w:val="-11"/>
        </w:rPr>
        <w:t xml:space="preserve"> </w:t>
      </w:r>
      <w:r>
        <w:t>delivered</w:t>
      </w:r>
      <w:r>
        <w:rPr>
          <w:spacing w:val="-11"/>
        </w:rPr>
        <w:t xml:space="preserve"> </w:t>
      </w:r>
      <w:r>
        <w:rPr>
          <w:spacing w:val="-3"/>
        </w:rPr>
        <w:t>for</w:t>
      </w:r>
      <w:r>
        <w:rPr>
          <w:spacing w:val="-11"/>
        </w:rPr>
        <w:t xml:space="preserve"> </w:t>
      </w:r>
      <w:r>
        <w:t>a</w:t>
      </w:r>
      <w:r>
        <w:rPr>
          <w:spacing w:val="-11"/>
        </w:rPr>
        <w:t xml:space="preserve"> </w:t>
      </w:r>
      <w:r>
        <w:t>community</w:t>
      </w:r>
      <w:r>
        <w:rPr>
          <w:spacing w:val="-11"/>
        </w:rPr>
        <w:t xml:space="preserve"> </w:t>
      </w:r>
      <w:r>
        <w:t>living and working in a digital</w:t>
      </w:r>
      <w:r>
        <w:rPr>
          <w:spacing w:val="-7"/>
        </w:rPr>
        <w:t xml:space="preserve"> </w:t>
      </w:r>
      <w:r>
        <w:t>world.</w:t>
      </w:r>
    </w:p>
    <w:p w:rsidR="00A1463E" w:rsidRDefault="00F52429">
      <w:pPr>
        <w:pStyle w:val="BodyText"/>
        <w:spacing w:before="172" w:line="235" w:lineRule="auto"/>
        <w:ind w:left="680" w:right="1"/>
        <w:jc w:val="both"/>
      </w:pPr>
      <w:r>
        <w:t>The</w:t>
      </w:r>
      <w:r>
        <w:rPr>
          <w:spacing w:val="-25"/>
        </w:rPr>
        <w:t xml:space="preserve"> </w:t>
      </w:r>
      <w:r>
        <w:t>OGCIO</w:t>
      </w:r>
      <w:r>
        <w:rPr>
          <w:spacing w:val="-25"/>
        </w:rPr>
        <w:t xml:space="preserve"> </w:t>
      </w:r>
      <w:r>
        <w:t>continues</w:t>
      </w:r>
      <w:r>
        <w:rPr>
          <w:spacing w:val="-25"/>
        </w:rPr>
        <w:t xml:space="preserve"> </w:t>
      </w:r>
      <w:r>
        <w:t>to</w:t>
      </w:r>
      <w:r>
        <w:rPr>
          <w:spacing w:val="-25"/>
        </w:rPr>
        <w:t xml:space="preserve"> </w:t>
      </w:r>
      <w:r>
        <w:t>develop</w:t>
      </w:r>
      <w:r>
        <w:rPr>
          <w:spacing w:val="-25"/>
        </w:rPr>
        <w:t xml:space="preserve"> </w:t>
      </w:r>
      <w:r>
        <w:t>the</w:t>
      </w:r>
      <w:r>
        <w:rPr>
          <w:spacing w:val="-25"/>
        </w:rPr>
        <w:t xml:space="preserve"> </w:t>
      </w:r>
      <w:r>
        <w:t>ICT</w:t>
      </w:r>
      <w:r>
        <w:rPr>
          <w:spacing w:val="-25"/>
        </w:rPr>
        <w:t xml:space="preserve"> </w:t>
      </w:r>
      <w:r>
        <w:t>platform,</w:t>
      </w:r>
      <w:r>
        <w:rPr>
          <w:spacing w:val="-25"/>
        </w:rPr>
        <w:t xml:space="preserve"> </w:t>
      </w:r>
      <w:r>
        <w:t>through</w:t>
      </w:r>
      <w:r>
        <w:rPr>
          <w:spacing w:val="-25"/>
        </w:rPr>
        <w:t xml:space="preserve"> </w:t>
      </w:r>
      <w:r>
        <w:t>policy</w:t>
      </w:r>
      <w:r>
        <w:rPr>
          <w:spacing w:val="-25"/>
        </w:rPr>
        <w:t xml:space="preserve"> </w:t>
      </w:r>
      <w:r>
        <w:t>and</w:t>
      </w:r>
      <w:r>
        <w:rPr>
          <w:spacing w:val="-25"/>
        </w:rPr>
        <w:t xml:space="preserve"> </w:t>
      </w:r>
      <w:r>
        <w:t xml:space="preserve">contract development, </w:t>
      </w:r>
      <w:r>
        <w:rPr>
          <w:spacing w:val="-3"/>
        </w:rPr>
        <w:t xml:space="preserve">for </w:t>
      </w:r>
      <w:r>
        <w:t xml:space="preserve">whole-of-government efficiency </w:t>
      </w:r>
      <w:r>
        <w:rPr>
          <w:spacing w:val="-3"/>
        </w:rPr>
        <w:t xml:space="preserve">for </w:t>
      </w:r>
      <w:r>
        <w:t>ICT</w:t>
      </w:r>
      <w:r>
        <w:rPr>
          <w:spacing w:val="-6"/>
        </w:rPr>
        <w:t xml:space="preserve"> </w:t>
      </w:r>
      <w:r>
        <w:t>services.</w:t>
      </w:r>
    </w:p>
    <w:tbl>
      <w:tblPr>
        <w:tblStyle w:val="TableGrid"/>
        <w:tblW w:w="0" w:type="auto"/>
        <w:tblInd w:w="680" w:type="dxa"/>
        <w:tblLook w:val="04A0" w:firstRow="1" w:lastRow="0" w:firstColumn="1" w:lastColumn="0" w:noHBand="0" w:noVBand="1"/>
        <w:tblCaption w:val="Key indicators of effectiveness table"/>
      </w:tblPr>
      <w:tblGrid>
        <w:gridCol w:w="4844"/>
        <w:gridCol w:w="1063"/>
        <w:gridCol w:w="2951"/>
        <w:gridCol w:w="2951"/>
        <w:gridCol w:w="2952"/>
      </w:tblGrid>
      <w:tr w:rsidR="0041550E" w:rsidTr="0041550E">
        <w:trPr>
          <w:tblHeader/>
        </w:trPr>
        <w:tc>
          <w:tcPr>
            <w:tcW w:w="4844" w:type="dxa"/>
          </w:tcPr>
          <w:p w:rsidR="0041550E" w:rsidRDefault="0041550E">
            <w:pPr>
              <w:pStyle w:val="BodyText"/>
              <w:spacing w:before="172" w:line="235" w:lineRule="auto"/>
              <w:ind w:right="1"/>
              <w:jc w:val="both"/>
            </w:pPr>
            <w:r>
              <w:t>Key indicators of effectiveness</w:t>
            </w:r>
          </w:p>
        </w:tc>
        <w:tc>
          <w:tcPr>
            <w:tcW w:w="1063" w:type="dxa"/>
          </w:tcPr>
          <w:p w:rsidR="0041550E" w:rsidRDefault="0054212C">
            <w:pPr>
              <w:pStyle w:val="BodyText"/>
              <w:spacing w:before="172" w:line="235" w:lineRule="auto"/>
              <w:ind w:right="1"/>
              <w:jc w:val="both"/>
            </w:pPr>
            <w:r>
              <w:t>Unit</w:t>
            </w:r>
          </w:p>
        </w:tc>
        <w:tc>
          <w:tcPr>
            <w:tcW w:w="2951" w:type="dxa"/>
          </w:tcPr>
          <w:p w:rsidR="0041550E" w:rsidRDefault="0041550E">
            <w:pPr>
              <w:pStyle w:val="BodyText"/>
              <w:spacing w:before="172" w:line="235" w:lineRule="auto"/>
              <w:ind w:right="1"/>
              <w:jc w:val="both"/>
            </w:pPr>
            <w:r>
              <w:t>2016-17 actual</w:t>
            </w:r>
          </w:p>
        </w:tc>
        <w:tc>
          <w:tcPr>
            <w:tcW w:w="2951" w:type="dxa"/>
          </w:tcPr>
          <w:p w:rsidR="0041550E" w:rsidRDefault="0041550E">
            <w:pPr>
              <w:pStyle w:val="BodyText"/>
              <w:spacing w:before="172" w:line="235" w:lineRule="auto"/>
              <w:ind w:right="1"/>
              <w:jc w:val="both"/>
            </w:pPr>
            <w:r>
              <w:t>2017-18 target</w:t>
            </w:r>
          </w:p>
        </w:tc>
        <w:tc>
          <w:tcPr>
            <w:tcW w:w="2952" w:type="dxa"/>
          </w:tcPr>
          <w:p w:rsidR="0041550E" w:rsidRDefault="0041550E">
            <w:pPr>
              <w:pStyle w:val="BodyText"/>
              <w:spacing w:before="172" w:line="235" w:lineRule="auto"/>
              <w:ind w:right="1"/>
              <w:jc w:val="both"/>
            </w:pPr>
            <w:r>
              <w:t>2017-18 actual</w:t>
            </w:r>
          </w:p>
        </w:tc>
      </w:tr>
      <w:tr w:rsidR="0041550E" w:rsidTr="004E3C25">
        <w:trPr>
          <w:trHeight w:val="1128"/>
        </w:trPr>
        <w:tc>
          <w:tcPr>
            <w:tcW w:w="4844" w:type="dxa"/>
          </w:tcPr>
          <w:p w:rsidR="0041550E" w:rsidRPr="0041550E" w:rsidRDefault="0041550E" w:rsidP="0041550E">
            <w:pPr>
              <w:pStyle w:val="Pa1"/>
              <w:spacing w:after="160"/>
              <w:jc w:val="both"/>
              <w:rPr>
                <w:color w:val="000000"/>
                <w:sz w:val="23"/>
                <w:szCs w:val="23"/>
              </w:rPr>
            </w:pPr>
            <w:r>
              <w:rPr>
                <w:rFonts w:cs="Calibri"/>
                <w:color w:val="000000"/>
                <w:sz w:val="23"/>
                <w:szCs w:val="23"/>
              </w:rPr>
              <w:t>Percentage of ICT policies endorsed by Governance groups for development by OGCIO that have been developed and approved by Government. (a)</w:t>
            </w:r>
          </w:p>
        </w:tc>
        <w:tc>
          <w:tcPr>
            <w:tcW w:w="1063" w:type="dxa"/>
          </w:tcPr>
          <w:p w:rsidR="0041550E" w:rsidRDefault="0041550E">
            <w:pPr>
              <w:pStyle w:val="BodyText"/>
              <w:spacing w:before="172" w:line="235" w:lineRule="auto"/>
              <w:ind w:right="1"/>
              <w:jc w:val="both"/>
            </w:pPr>
            <w:r>
              <w:t>(%)</w:t>
            </w:r>
          </w:p>
        </w:tc>
        <w:tc>
          <w:tcPr>
            <w:tcW w:w="2951" w:type="dxa"/>
          </w:tcPr>
          <w:p w:rsidR="0041550E" w:rsidRDefault="00197E71">
            <w:pPr>
              <w:pStyle w:val="BodyText"/>
              <w:spacing w:before="172" w:line="235" w:lineRule="auto"/>
              <w:ind w:right="1"/>
              <w:jc w:val="both"/>
            </w:pPr>
            <w:r>
              <w:t>75</w:t>
            </w:r>
          </w:p>
        </w:tc>
        <w:tc>
          <w:tcPr>
            <w:tcW w:w="2951" w:type="dxa"/>
          </w:tcPr>
          <w:p w:rsidR="0041550E" w:rsidRDefault="00197E71">
            <w:pPr>
              <w:pStyle w:val="BodyText"/>
              <w:spacing w:before="172" w:line="235" w:lineRule="auto"/>
              <w:ind w:right="1"/>
              <w:jc w:val="both"/>
            </w:pPr>
            <w:r>
              <w:t>75</w:t>
            </w:r>
          </w:p>
        </w:tc>
        <w:tc>
          <w:tcPr>
            <w:tcW w:w="2952" w:type="dxa"/>
          </w:tcPr>
          <w:p w:rsidR="0041550E" w:rsidRDefault="00197E71">
            <w:pPr>
              <w:pStyle w:val="BodyText"/>
              <w:spacing w:before="172" w:line="235" w:lineRule="auto"/>
              <w:ind w:right="1"/>
              <w:jc w:val="both"/>
            </w:pPr>
            <w:r>
              <w:t xml:space="preserve">75 (1) </w:t>
            </w:r>
          </w:p>
        </w:tc>
      </w:tr>
    </w:tbl>
    <w:p w:rsidR="0041550E" w:rsidRDefault="00197E71" w:rsidP="00197E71">
      <w:pPr>
        <w:pStyle w:val="BodyText"/>
        <w:spacing w:before="172" w:line="235" w:lineRule="auto"/>
        <w:ind w:left="680" w:right="1"/>
        <w:jc w:val="both"/>
        <w:rPr>
          <w:rStyle w:val="A7"/>
        </w:rPr>
      </w:pPr>
      <w:r>
        <w:rPr>
          <w:rStyle w:val="A7"/>
        </w:rPr>
        <w:t>(a) The percentage of policies endorsed by the governance groups for development by OGCIO that have been implemented and approved by Government, reflect the effectiveness of OGCIO in delivering these policy directions.</w:t>
      </w:r>
    </w:p>
    <w:p w:rsidR="00197E71" w:rsidRDefault="00197E71" w:rsidP="00197E71">
      <w:pPr>
        <w:pStyle w:val="BodyText"/>
        <w:spacing w:before="172" w:line="235" w:lineRule="auto"/>
        <w:ind w:left="680" w:right="1"/>
        <w:jc w:val="both"/>
        <w:rPr>
          <w:color w:val="000000"/>
          <w:sz w:val="23"/>
          <w:szCs w:val="23"/>
        </w:rPr>
      </w:pPr>
      <w:r>
        <w:rPr>
          <w:color w:val="000000"/>
          <w:sz w:val="23"/>
          <w:szCs w:val="23"/>
        </w:rPr>
        <w:t>1) The OGCIO continued to develop and implement the policies outlined by governance committees with 9 of the 12 requested developed by OGCIO and approved by Governance Council to date. Work also continued on the 3 other policies under development with Data Classification well advanced, an Interim Privacy Position approved pending legislative change and the ICT Procurement policy awaiting a decision by Government.</w:t>
      </w:r>
    </w:p>
    <w:p w:rsidR="00A1463E" w:rsidRPr="00197E71" w:rsidRDefault="00197E71" w:rsidP="00197E71">
      <w:pPr>
        <w:rPr>
          <w:color w:val="000000"/>
          <w:sz w:val="23"/>
          <w:szCs w:val="23"/>
        </w:rPr>
      </w:pPr>
      <w:r>
        <w:rPr>
          <w:color w:val="000000"/>
          <w:sz w:val="23"/>
          <w:szCs w:val="23"/>
        </w:rPr>
        <w:br w:type="page"/>
      </w:r>
    </w:p>
    <w:tbl>
      <w:tblPr>
        <w:tblStyle w:val="TableGrid"/>
        <w:tblW w:w="15025" w:type="dxa"/>
        <w:tblInd w:w="704" w:type="dxa"/>
        <w:tblLook w:val="04A0" w:firstRow="1" w:lastRow="0" w:firstColumn="1" w:lastColumn="0" w:noHBand="0" w:noVBand="1"/>
        <w:tblCaption w:val="Policy progress table"/>
        <w:tblDescription w:val="A table outlining the progress made on each policy"/>
      </w:tblPr>
      <w:tblGrid>
        <w:gridCol w:w="567"/>
        <w:gridCol w:w="4961"/>
        <w:gridCol w:w="9497"/>
      </w:tblGrid>
      <w:tr w:rsidR="00197E71" w:rsidTr="00D26A3D">
        <w:trPr>
          <w:tblHeader/>
        </w:trPr>
        <w:tc>
          <w:tcPr>
            <w:tcW w:w="567" w:type="dxa"/>
            <w:tcBorders>
              <w:top w:val="single" w:sz="4" w:space="0" w:color="auto"/>
              <w:left w:val="single" w:sz="4" w:space="0" w:color="auto"/>
              <w:bottom w:val="single" w:sz="4" w:space="0" w:color="auto"/>
              <w:right w:val="single" w:sz="4" w:space="0" w:color="auto"/>
            </w:tcBorders>
          </w:tcPr>
          <w:p w:rsidR="00197E71" w:rsidRPr="00197E71" w:rsidRDefault="00197E71" w:rsidP="00197E71">
            <w:pPr>
              <w:spacing w:line="235" w:lineRule="auto"/>
              <w:jc w:val="both"/>
              <w:rPr>
                <w:b/>
                <w:sz w:val="24"/>
              </w:rPr>
            </w:pPr>
          </w:p>
        </w:tc>
        <w:tc>
          <w:tcPr>
            <w:tcW w:w="4961" w:type="dxa"/>
            <w:tcBorders>
              <w:top w:val="single" w:sz="4" w:space="0" w:color="auto"/>
              <w:left w:val="single" w:sz="4" w:space="0" w:color="auto"/>
              <w:bottom w:val="single" w:sz="4" w:space="0" w:color="auto"/>
              <w:right w:val="single" w:sz="4" w:space="0" w:color="auto"/>
            </w:tcBorders>
          </w:tcPr>
          <w:p w:rsidR="00197E71" w:rsidRPr="00197E71" w:rsidRDefault="00197E71">
            <w:pPr>
              <w:spacing w:line="235" w:lineRule="auto"/>
              <w:jc w:val="both"/>
              <w:rPr>
                <w:b/>
                <w:sz w:val="24"/>
              </w:rPr>
            </w:pPr>
            <w:r w:rsidRPr="00197E71">
              <w:rPr>
                <w:b/>
                <w:sz w:val="24"/>
              </w:rPr>
              <w:t>Policy</w:t>
            </w:r>
          </w:p>
        </w:tc>
        <w:tc>
          <w:tcPr>
            <w:tcW w:w="9497" w:type="dxa"/>
            <w:tcBorders>
              <w:top w:val="single" w:sz="4" w:space="0" w:color="auto"/>
              <w:left w:val="single" w:sz="4" w:space="0" w:color="auto"/>
              <w:bottom w:val="single" w:sz="4" w:space="0" w:color="auto"/>
              <w:right w:val="single" w:sz="4" w:space="0" w:color="auto"/>
            </w:tcBorders>
          </w:tcPr>
          <w:p w:rsidR="00197E71" w:rsidRPr="00197E71" w:rsidRDefault="00197E71">
            <w:pPr>
              <w:spacing w:line="235" w:lineRule="auto"/>
              <w:jc w:val="both"/>
              <w:rPr>
                <w:b/>
                <w:sz w:val="24"/>
              </w:rPr>
            </w:pPr>
            <w:r w:rsidRPr="00197E71">
              <w:rPr>
                <w:b/>
                <w:sz w:val="24"/>
              </w:rPr>
              <w:t>Progress</w:t>
            </w:r>
          </w:p>
        </w:tc>
      </w:tr>
      <w:tr w:rsidR="00197E71" w:rsidTr="00D26A3D">
        <w:tc>
          <w:tcPr>
            <w:tcW w:w="567" w:type="dxa"/>
            <w:tcBorders>
              <w:top w:val="single" w:sz="4" w:space="0" w:color="auto"/>
            </w:tcBorders>
          </w:tcPr>
          <w:p w:rsidR="00197E71" w:rsidRPr="00197E71" w:rsidRDefault="00197E71" w:rsidP="00197E71">
            <w:pPr>
              <w:spacing w:line="235" w:lineRule="auto"/>
              <w:jc w:val="both"/>
              <w:rPr>
                <w:sz w:val="24"/>
              </w:rPr>
            </w:pPr>
            <w:r w:rsidRPr="00197E71">
              <w:rPr>
                <w:sz w:val="24"/>
              </w:rPr>
              <w:t>1</w:t>
            </w:r>
          </w:p>
        </w:tc>
        <w:tc>
          <w:tcPr>
            <w:tcW w:w="4961" w:type="dxa"/>
            <w:tcBorders>
              <w:top w:val="single" w:sz="4" w:space="0" w:color="auto"/>
            </w:tcBorders>
          </w:tcPr>
          <w:p w:rsidR="00197E71" w:rsidRPr="00197E71" w:rsidRDefault="00197E71">
            <w:pPr>
              <w:spacing w:line="235" w:lineRule="auto"/>
              <w:jc w:val="both"/>
              <w:rPr>
                <w:sz w:val="24"/>
              </w:rPr>
            </w:pPr>
            <w:r w:rsidRPr="00197E71">
              <w:rPr>
                <w:sz w:val="24"/>
              </w:rPr>
              <w:t>Open Data</w:t>
            </w:r>
          </w:p>
        </w:tc>
        <w:tc>
          <w:tcPr>
            <w:tcW w:w="9497" w:type="dxa"/>
            <w:tcBorders>
              <w:top w:val="single" w:sz="4" w:space="0" w:color="auto"/>
            </w:tcBorders>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Established Data Charging Guideline in 2017-18 to help provide clarity for charging in relation to data sharing. </w:t>
            </w:r>
          </w:p>
        </w:tc>
      </w:tr>
      <w:tr w:rsidR="00197E71" w:rsidTr="00197E71">
        <w:tc>
          <w:tcPr>
            <w:tcW w:w="567" w:type="dxa"/>
          </w:tcPr>
          <w:p w:rsidR="00197E71" w:rsidRPr="00197E71" w:rsidRDefault="00197E71">
            <w:pPr>
              <w:spacing w:line="235" w:lineRule="auto"/>
              <w:jc w:val="both"/>
              <w:rPr>
                <w:sz w:val="24"/>
              </w:rPr>
            </w:pPr>
            <w:r w:rsidRPr="00197E71">
              <w:rPr>
                <w:sz w:val="24"/>
              </w:rPr>
              <w:t>2</w:t>
            </w:r>
          </w:p>
        </w:tc>
        <w:tc>
          <w:tcPr>
            <w:tcW w:w="4961" w:type="dxa"/>
          </w:tcPr>
          <w:p w:rsidR="00197E71" w:rsidRPr="00197E71" w:rsidRDefault="00197E71">
            <w:pPr>
              <w:spacing w:line="235" w:lineRule="auto"/>
              <w:jc w:val="both"/>
              <w:rPr>
                <w:sz w:val="24"/>
              </w:rPr>
            </w:pPr>
            <w:proofErr w:type="spellStart"/>
            <w:r w:rsidRPr="00197E71">
              <w:rPr>
                <w:sz w:val="24"/>
              </w:rPr>
              <w:t>GovNext</w:t>
            </w:r>
            <w:proofErr w:type="spellEnd"/>
            <w:r w:rsidRPr="00197E71">
              <w:rPr>
                <w:sz w:val="24"/>
              </w:rPr>
              <w:t>-ICT</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Established the </w:t>
            </w:r>
            <w:proofErr w:type="spellStart"/>
            <w:r>
              <w:rPr>
                <w:rFonts w:cs="Calibri"/>
                <w:color w:val="000000"/>
                <w:sz w:val="23"/>
                <w:szCs w:val="23"/>
              </w:rPr>
              <w:t>GovNext</w:t>
            </w:r>
            <w:proofErr w:type="spellEnd"/>
            <w:r>
              <w:rPr>
                <w:rFonts w:cs="Calibri"/>
                <w:color w:val="000000"/>
                <w:sz w:val="23"/>
                <w:szCs w:val="23"/>
              </w:rPr>
              <w:t xml:space="preserve">-ICT Program Board and progressed implementation of the actions resulting from 12 recommendations from the Gateway Review in 2017-18. </w:t>
            </w:r>
          </w:p>
        </w:tc>
      </w:tr>
      <w:tr w:rsidR="00197E71" w:rsidTr="00197E71">
        <w:tc>
          <w:tcPr>
            <w:tcW w:w="567" w:type="dxa"/>
          </w:tcPr>
          <w:p w:rsidR="00197E71" w:rsidRPr="00197E71" w:rsidRDefault="00197E71">
            <w:pPr>
              <w:spacing w:line="235" w:lineRule="auto"/>
              <w:jc w:val="both"/>
              <w:rPr>
                <w:sz w:val="24"/>
              </w:rPr>
            </w:pPr>
            <w:r w:rsidRPr="00197E71">
              <w:rPr>
                <w:sz w:val="24"/>
              </w:rPr>
              <w:t>3</w:t>
            </w:r>
          </w:p>
        </w:tc>
        <w:tc>
          <w:tcPr>
            <w:tcW w:w="4961" w:type="dxa"/>
          </w:tcPr>
          <w:p w:rsidR="00197E71" w:rsidRPr="00197E71" w:rsidRDefault="00197E71">
            <w:pPr>
              <w:spacing w:line="235" w:lineRule="auto"/>
              <w:jc w:val="both"/>
              <w:rPr>
                <w:sz w:val="24"/>
              </w:rPr>
            </w:pPr>
            <w:r w:rsidRPr="00197E71">
              <w:rPr>
                <w:sz w:val="24"/>
              </w:rPr>
              <w:t>Digital WA</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Published the Western Australia Enterprise Architecture Framework in 2017-18 that supports the delivery of this policy. </w:t>
            </w:r>
          </w:p>
        </w:tc>
      </w:tr>
      <w:tr w:rsidR="00197E71" w:rsidTr="00197E71">
        <w:tc>
          <w:tcPr>
            <w:tcW w:w="567" w:type="dxa"/>
          </w:tcPr>
          <w:p w:rsidR="00197E71" w:rsidRPr="00197E71" w:rsidRDefault="00197E71">
            <w:pPr>
              <w:spacing w:line="235" w:lineRule="auto"/>
              <w:jc w:val="both"/>
              <w:rPr>
                <w:sz w:val="24"/>
              </w:rPr>
            </w:pPr>
            <w:r w:rsidRPr="00197E71">
              <w:rPr>
                <w:sz w:val="24"/>
              </w:rPr>
              <w:t>4</w:t>
            </w:r>
          </w:p>
        </w:tc>
        <w:tc>
          <w:tcPr>
            <w:tcW w:w="4961" w:type="dxa"/>
          </w:tcPr>
          <w:p w:rsidR="00197E71" w:rsidRPr="00197E71" w:rsidRDefault="00197E71">
            <w:pPr>
              <w:spacing w:line="235" w:lineRule="auto"/>
              <w:jc w:val="both"/>
              <w:rPr>
                <w:sz w:val="24"/>
              </w:rPr>
            </w:pPr>
            <w:r w:rsidRPr="00197E71">
              <w:rPr>
                <w:sz w:val="24"/>
              </w:rPr>
              <w:t>Business Continuity for Disaster Recovery</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w:t>
            </w:r>
          </w:p>
        </w:tc>
      </w:tr>
      <w:tr w:rsidR="00197E71" w:rsidTr="00197E71">
        <w:tc>
          <w:tcPr>
            <w:tcW w:w="567" w:type="dxa"/>
          </w:tcPr>
          <w:p w:rsidR="00197E71" w:rsidRPr="00197E71" w:rsidRDefault="00197E71">
            <w:pPr>
              <w:spacing w:line="235" w:lineRule="auto"/>
              <w:jc w:val="both"/>
              <w:rPr>
                <w:sz w:val="24"/>
              </w:rPr>
            </w:pPr>
            <w:r w:rsidRPr="00197E71">
              <w:rPr>
                <w:sz w:val="24"/>
              </w:rPr>
              <w:t>5</w:t>
            </w:r>
          </w:p>
        </w:tc>
        <w:tc>
          <w:tcPr>
            <w:tcW w:w="4961" w:type="dxa"/>
          </w:tcPr>
          <w:p w:rsidR="00197E71" w:rsidRPr="00197E71" w:rsidRDefault="00197E71">
            <w:pPr>
              <w:spacing w:line="235" w:lineRule="auto"/>
              <w:jc w:val="both"/>
              <w:rPr>
                <w:sz w:val="24"/>
              </w:rPr>
            </w:pPr>
            <w:r w:rsidRPr="00197E71">
              <w:rPr>
                <w:sz w:val="24"/>
              </w:rPr>
              <w:t>Cloud</w:t>
            </w:r>
          </w:p>
        </w:tc>
        <w:tc>
          <w:tcPr>
            <w:tcW w:w="9497" w:type="dxa"/>
          </w:tcPr>
          <w:p w:rsidR="00197E71" w:rsidRPr="00197E71" w:rsidRDefault="00197E71" w:rsidP="00197E71">
            <w:pPr>
              <w:tabs>
                <w:tab w:val="left" w:pos="1328"/>
              </w:tabs>
              <w:spacing w:line="235" w:lineRule="auto"/>
              <w:jc w:val="both"/>
              <w:rPr>
                <w:sz w:val="24"/>
              </w:rPr>
            </w:pPr>
            <w:r>
              <w:rPr>
                <w:color w:val="000000"/>
                <w:sz w:val="23"/>
                <w:szCs w:val="23"/>
              </w:rPr>
              <w:t xml:space="preserve">Developed and approved. Published support materials, including 15 Factsheets and three case studies in 2017-18. </w:t>
            </w:r>
          </w:p>
        </w:tc>
      </w:tr>
      <w:tr w:rsidR="00197E71" w:rsidTr="00197E71">
        <w:tc>
          <w:tcPr>
            <w:tcW w:w="567" w:type="dxa"/>
          </w:tcPr>
          <w:p w:rsidR="00197E71" w:rsidRPr="00197E71" w:rsidRDefault="00197E71">
            <w:pPr>
              <w:spacing w:line="235" w:lineRule="auto"/>
              <w:jc w:val="both"/>
              <w:rPr>
                <w:sz w:val="24"/>
              </w:rPr>
            </w:pPr>
            <w:r w:rsidRPr="00197E71">
              <w:rPr>
                <w:sz w:val="24"/>
              </w:rPr>
              <w:t>6</w:t>
            </w:r>
          </w:p>
        </w:tc>
        <w:tc>
          <w:tcPr>
            <w:tcW w:w="4961" w:type="dxa"/>
          </w:tcPr>
          <w:p w:rsidR="00197E71" w:rsidRPr="00197E71" w:rsidRDefault="00197E71">
            <w:pPr>
              <w:spacing w:line="235" w:lineRule="auto"/>
              <w:jc w:val="both"/>
              <w:rPr>
                <w:sz w:val="24"/>
              </w:rPr>
            </w:pPr>
            <w:r w:rsidRPr="00197E71">
              <w:rPr>
                <w:sz w:val="24"/>
              </w:rPr>
              <w:t>Digital Security</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Negotiated the States’ involvement in the Cyber Security Cooperative Research Centre Agreement which is a partnership of several stakeholders including the State Government to promote collaborative cyber security research projects. Established a cross-agency cyber security working group in 2017-18. </w:t>
            </w:r>
          </w:p>
        </w:tc>
      </w:tr>
      <w:tr w:rsidR="00197E71" w:rsidTr="00197E71">
        <w:tc>
          <w:tcPr>
            <w:tcW w:w="567" w:type="dxa"/>
          </w:tcPr>
          <w:p w:rsidR="00197E71" w:rsidRPr="00197E71" w:rsidRDefault="00197E71">
            <w:pPr>
              <w:spacing w:line="235" w:lineRule="auto"/>
              <w:jc w:val="both"/>
              <w:rPr>
                <w:sz w:val="24"/>
              </w:rPr>
            </w:pPr>
            <w:r w:rsidRPr="00197E71">
              <w:rPr>
                <w:sz w:val="24"/>
              </w:rPr>
              <w:t>7</w:t>
            </w:r>
          </w:p>
        </w:tc>
        <w:tc>
          <w:tcPr>
            <w:tcW w:w="4961" w:type="dxa"/>
          </w:tcPr>
          <w:p w:rsidR="00197E71" w:rsidRPr="00197E71" w:rsidRDefault="00197E71">
            <w:pPr>
              <w:spacing w:line="235" w:lineRule="auto"/>
              <w:jc w:val="both"/>
              <w:rPr>
                <w:sz w:val="24"/>
              </w:rPr>
            </w:pPr>
            <w:r w:rsidRPr="00197E71">
              <w:rPr>
                <w:sz w:val="24"/>
              </w:rPr>
              <w:t>Digital Services</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Reviewed and updated the Digital Services Policy and published five new standards during 2017-18. </w:t>
            </w:r>
          </w:p>
        </w:tc>
      </w:tr>
      <w:tr w:rsidR="00197E71" w:rsidTr="00197E71">
        <w:tc>
          <w:tcPr>
            <w:tcW w:w="567" w:type="dxa"/>
          </w:tcPr>
          <w:p w:rsidR="00197E71" w:rsidRPr="00197E71" w:rsidRDefault="00197E71">
            <w:pPr>
              <w:spacing w:line="235" w:lineRule="auto"/>
              <w:jc w:val="both"/>
              <w:rPr>
                <w:sz w:val="24"/>
              </w:rPr>
            </w:pPr>
            <w:r w:rsidRPr="00197E71">
              <w:rPr>
                <w:sz w:val="24"/>
              </w:rPr>
              <w:t>8</w:t>
            </w:r>
          </w:p>
        </w:tc>
        <w:tc>
          <w:tcPr>
            <w:tcW w:w="4961" w:type="dxa"/>
          </w:tcPr>
          <w:p w:rsidR="00197E71" w:rsidRPr="00197E71" w:rsidRDefault="00197E71">
            <w:pPr>
              <w:spacing w:line="235" w:lineRule="auto"/>
              <w:jc w:val="both"/>
              <w:rPr>
                <w:sz w:val="24"/>
              </w:rPr>
            </w:pPr>
            <w:r w:rsidRPr="00197E71">
              <w:rPr>
                <w:sz w:val="24"/>
              </w:rPr>
              <w:t>Interoperability</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w:t>
            </w:r>
          </w:p>
        </w:tc>
      </w:tr>
      <w:tr w:rsidR="00197E71" w:rsidTr="00197E71">
        <w:tc>
          <w:tcPr>
            <w:tcW w:w="567" w:type="dxa"/>
          </w:tcPr>
          <w:p w:rsidR="00197E71" w:rsidRPr="00197E71" w:rsidRDefault="00197E71">
            <w:pPr>
              <w:spacing w:line="235" w:lineRule="auto"/>
              <w:jc w:val="both"/>
              <w:rPr>
                <w:sz w:val="24"/>
              </w:rPr>
            </w:pPr>
            <w:r w:rsidRPr="00197E71">
              <w:rPr>
                <w:sz w:val="24"/>
              </w:rPr>
              <w:t>9</w:t>
            </w:r>
          </w:p>
        </w:tc>
        <w:tc>
          <w:tcPr>
            <w:tcW w:w="4961" w:type="dxa"/>
          </w:tcPr>
          <w:p w:rsidR="00197E71" w:rsidRPr="00197E71" w:rsidRDefault="00197E71">
            <w:pPr>
              <w:spacing w:line="235" w:lineRule="auto"/>
              <w:jc w:val="both"/>
              <w:rPr>
                <w:sz w:val="24"/>
              </w:rPr>
            </w:pPr>
            <w:r w:rsidRPr="00197E71">
              <w:rPr>
                <w:sz w:val="24"/>
              </w:rPr>
              <w:t>Data Classification</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Under development. Draft policy updated and established a cross sector working group to progress a sector wide discussion paper in 2017-18. </w:t>
            </w:r>
          </w:p>
        </w:tc>
      </w:tr>
      <w:tr w:rsidR="00197E71" w:rsidTr="00197E71">
        <w:tc>
          <w:tcPr>
            <w:tcW w:w="567" w:type="dxa"/>
          </w:tcPr>
          <w:p w:rsidR="00197E71" w:rsidRPr="00197E71" w:rsidRDefault="00197E71">
            <w:pPr>
              <w:spacing w:line="235" w:lineRule="auto"/>
              <w:jc w:val="both"/>
              <w:rPr>
                <w:sz w:val="24"/>
              </w:rPr>
            </w:pPr>
            <w:r w:rsidRPr="00197E71">
              <w:rPr>
                <w:sz w:val="24"/>
              </w:rPr>
              <w:t>10</w:t>
            </w:r>
          </w:p>
        </w:tc>
        <w:tc>
          <w:tcPr>
            <w:tcW w:w="4961" w:type="dxa"/>
          </w:tcPr>
          <w:p w:rsidR="00197E71" w:rsidRPr="00197E71" w:rsidRDefault="00197E71">
            <w:pPr>
              <w:spacing w:line="235" w:lineRule="auto"/>
              <w:jc w:val="both"/>
              <w:rPr>
                <w:sz w:val="24"/>
              </w:rPr>
            </w:pPr>
            <w:r w:rsidRPr="00197E71">
              <w:rPr>
                <w:sz w:val="24"/>
              </w:rPr>
              <w:t>ICT Procurement</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Pending decision of government as recommended in the Service Priority Review Final Report published October 2017 – Assign responsibility for leadership of ICT procurement to the Department of Finance. </w:t>
            </w:r>
          </w:p>
        </w:tc>
      </w:tr>
      <w:tr w:rsidR="00197E71" w:rsidTr="00197E71">
        <w:tc>
          <w:tcPr>
            <w:tcW w:w="567" w:type="dxa"/>
          </w:tcPr>
          <w:p w:rsidR="00197E71" w:rsidRPr="00197E71" w:rsidRDefault="00197E71">
            <w:pPr>
              <w:spacing w:line="235" w:lineRule="auto"/>
              <w:jc w:val="both"/>
              <w:rPr>
                <w:sz w:val="24"/>
              </w:rPr>
            </w:pPr>
            <w:r w:rsidRPr="00197E71">
              <w:rPr>
                <w:sz w:val="24"/>
              </w:rPr>
              <w:t>11</w:t>
            </w:r>
          </w:p>
        </w:tc>
        <w:tc>
          <w:tcPr>
            <w:tcW w:w="4961" w:type="dxa"/>
          </w:tcPr>
          <w:p w:rsidR="00197E71" w:rsidRPr="00197E71" w:rsidRDefault="00197E71">
            <w:pPr>
              <w:spacing w:line="235" w:lineRule="auto"/>
              <w:jc w:val="both"/>
              <w:rPr>
                <w:sz w:val="24"/>
              </w:rPr>
            </w:pPr>
            <w:r w:rsidRPr="00197E71">
              <w:rPr>
                <w:sz w:val="24"/>
              </w:rPr>
              <w:t>Privacy</w:t>
            </w:r>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Interim Privacy Position approved by Council in December 2017 pending establishment of a legislative framework. </w:t>
            </w:r>
          </w:p>
        </w:tc>
      </w:tr>
      <w:tr w:rsidR="00197E71" w:rsidTr="00197E71">
        <w:tc>
          <w:tcPr>
            <w:tcW w:w="567" w:type="dxa"/>
          </w:tcPr>
          <w:p w:rsidR="00197E71" w:rsidRPr="00197E71" w:rsidRDefault="00197E71">
            <w:pPr>
              <w:spacing w:line="235" w:lineRule="auto"/>
              <w:jc w:val="both"/>
              <w:rPr>
                <w:sz w:val="24"/>
              </w:rPr>
            </w:pPr>
            <w:r w:rsidRPr="00197E71">
              <w:rPr>
                <w:sz w:val="24"/>
              </w:rPr>
              <w:t>12</w:t>
            </w:r>
          </w:p>
        </w:tc>
        <w:tc>
          <w:tcPr>
            <w:tcW w:w="4961" w:type="dxa"/>
          </w:tcPr>
          <w:p w:rsidR="00197E71" w:rsidRPr="00197E71" w:rsidRDefault="00197E71">
            <w:pPr>
              <w:spacing w:line="235" w:lineRule="auto"/>
              <w:jc w:val="both"/>
              <w:rPr>
                <w:sz w:val="24"/>
              </w:rPr>
            </w:pPr>
            <w:proofErr w:type="spellStart"/>
            <w:r w:rsidRPr="00197E71">
              <w:rPr>
                <w:sz w:val="24"/>
              </w:rPr>
              <w:t>myWA</w:t>
            </w:r>
            <w:proofErr w:type="spellEnd"/>
          </w:p>
        </w:tc>
        <w:tc>
          <w:tcPr>
            <w:tcW w:w="9497" w:type="dxa"/>
          </w:tcPr>
          <w:p w:rsidR="00197E71" w:rsidRPr="00197E71" w:rsidRDefault="00197E71" w:rsidP="00197E71">
            <w:pPr>
              <w:pStyle w:val="Pa1"/>
              <w:spacing w:after="160"/>
              <w:jc w:val="both"/>
              <w:rPr>
                <w:color w:val="000000"/>
                <w:sz w:val="23"/>
                <w:szCs w:val="23"/>
              </w:rPr>
            </w:pPr>
            <w:r>
              <w:rPr>
                <w:rFonts w:cs="Calibri"/>
                <w:color w:val="000000"/>
                <w:sz w:val="23"/>
                <w:szCs w:val="23"/>
              </w:rPr>
              <w:t xml:space="preserve">Developed and approved. During 2017-18 the OGCIO relaunched the WA.gov.au website. Development of the following also progressed: an identity management platform that validates and stores digital identities; an integration platform prototype to enable information to safely flow between multiple agencies; and the change of address service prototypes to enable change of address advices to flow across multiple agencies systems. </w:t>
            </w:r>
          </w:p>
        </w:tc>
      </w:tr>
    </w:tbl>
    <w:p w:rsidR="00A1463E" w:rsidRDefault="00A1463E">
      <w:pPr>
        <w:rPr>
          <w:sz w:val="19"/>
        </w:rPr>
        <w:sectPr w:rsidR="00A1463E">
          <w:pgSz w:w="16840" w:h="11910" w:orient="landscape"/>
          <w:pgMar w:top="540" w:right="0" w:bottom="360" w:left="0" w:header="229" w:footer="145" w:gutter="0"/>
          <w:cols w:space="720"/>
        </w:sectPr>
      </w:pPr>
    </w:p>
    <w:p w:rsidR="00A1463E" w:rsidRDefault="00A1463E">
      <w:pPr>
        <w:pStyle w:val="BodyText"/>
        <w:spacing w:before="6"/>
        <w:rPr>
          <w:sz w:val="8"/>
        </w:rPr>
      </w:pPr>
    </w:p>
    <w:p w:rsidR="0021464E" w:rsidRDefault="0021464E">
      <w:pPr>
        <w:pStyle w:val="Heading2"/>
        <w:ind w:left="659"/>
        <w:rPr>
          <w:color w:val="353434"/>
        </w:rPr>
        <w:sectPr w:rsidR="0021464E">
          <w:pgSz w:w="16840" w:h="11910" w:orient="landscape"/>
          <w:pgMar w:top="540" w:right="0" w:bottom="360" w:left="0" w:header="229" w:footer="145" w:gutter="0"/>
          <w:cols w:space="720"/>
        </w:sectPr>
      </w:pPr>
      <w:bookmarkStart w:id="54" w:name="key_efficiency_indicators"/>
      <w:bookmarkStart w:id="55" w:name="_bookmark42"/>
      <w:bookmarkEnd w:id="54"/>
      <w:bookmarkEnd w:id="55"/>
    </w:p>
    <w:p w:rsidR="00A1463E" w:rsidRDefault="00F52429">
      <w:pPr>
        <w:pStyle w:val="Heading2"/>
        <w:ind w:left="659"/>
      </w:pPr>
      <w:r>
        <w:rPr>
          <w:color w:val="353434"/>
        </w:rPr>
        <w:t>KEY EFFICIENCY INDICATORS</w:t>
      </w:r>
    </w:p>
    <w:p w:rsidR="00A1463E" w:rsidRDefault="00A1463E">
      <w:pPr>
        <w:pStyle w:val="BodyText"/>
        <w:spacing w:line="60" w:lineRule="exact"/>
        <w:ind w:left="650"/>
        <w:rPr>
          <w:sz w:val="6"/>
        </w:rPr>
      </w:pPr>
    </w:p>
    <w:p w:rsidR="00A1463E" w:rsidRDefault="00A1463E">
      <w:pPr>
        <w:pStyle w:val="BodyText"/>
        <w:spacing w:before="3"/>
        <w:rPr>
          <w:sz w:val="14"/>
        </w:rPr>
      </w:pPr>
    </w:p>
    <w:p w:rsidR="00A1463E" w:rsidRDefault="00A1463E">
      <w:pPr>
        <w:rPr>
          <w:sz w:val="14"/>
        </w:rPr>
        <w:sectPr w:rsidR="00A1463E" w:rsidSect="0021464E">
          <w:type w:val="continuous"/>
          <w:pgSz w:w="16840" w:h="11910" w:orient="landscape"/>
          <w:pgMar w:top="540" w:right="822" w:bottom="360" w:left="0" w:header="229" w:footer="145" w:gutter="0"/>
          <w:cols w:space="720"/>
        </w:sectPr>
      </w:pPr>
    </w:p>
    <w:p w:rsidR="00170AED" w:rsidRDefault="00F52429" w:rsidP="00A47797">
      <w:pPr>
        <w:pStyle w:val="Heading3"/>
        <w:ind w:left="709"/>
      </w:pPr>
      <w:r>
        <w:t xml:space="preserve">Service 1: </w:t>
      </w:r>
    </w:p>
    <w:p w:rsidR="00A1463E" w:rsidRPr="00170AED" w:rsidRDefault="00F52429" w:rsidP="00170AED">
      <w:pPr>
        <w:pStyle w:val="BodyText"/>
        <w:ind w:left="709"/>
        <w:rPr>
          <w:b/>
        </w:rPr>
      </w:pPr>
      <w:r w:rsidRPr="00170AED">
        <w:rPr>
          <w:b/>
        </w:rPr>
        <w:t>Establishment of a Platform for the Delivery of Better Government Services through Efficient Development of Information and Communications Technology (ICT) Strategy, Policies and Solutions.</w:t>
      </w:r>
    </w:p>
    <w:p w:rsidR="00A1463E" w:rsidRDefault="00F52429">
      <w:pPr>
        <w:pStyle w:val="BodyText"/>
        <w:spacing w:before="173" w:line="235" w:lineRule="auto"/>
        <w:ind w:left="680" w:right="5"/>
        <w:jc w:val="both"/>
      </w:pPr>
      <w:r>
        <w:t>The</w:t>
      </w:r>
      <w:r>
        <w:rPr>
          <w:spacing w:val="-34"/>
        </w:rPr>
        <w:t xml:space="preserve"> </w:t>
      </w:r>
      <w:r>
        <w:t>OGCIO</w:t>
      </w:r>
      <w:r>
        <w:rPr>
          <w:spacing w:val="-33"/>
        </w:rPr>
        <w:t xml:space="preserve"> </w:t>
      </w:r>
      <w:r>
        <w:t>continues</w:t>
      </w:r>
      <w:r>
        <w:rPr>
          <w:spacing w:val="-33"/>
        </w:rPr>
        <w:t xml:space="preserve"> </w:t>
      </w:r>
      <w:r>
        <w:t>to</w:t>
      </w:r>
      <w:r>
        <w:rPr>
          <w:spacing w:val="-34"/>
        </w:rPr>
        <w:t xml:space="preserve"> </w:t>
      </w:r>
      <w:r>
        <w:t>develop</w:t>
      </w:r>
      <w:r>
        <w:rPr>
          <w:spacing w:val="-33"/>
        </w:rPr>
        <w:t xml:space="preserve"> </w:t>
      </w:r>
      <w:r>
        <w:t>the</w:t>
      </w:r>
      <w:r>
        <w:rPr>
          <w:spacing w:val="-33"/>
        </w:rPr>
        <w:t xml:space="preserve"> </w:t>
      </w:r>
      <w:r>
        <w:t>ICT</w:t>
      </w:r>
      <w:r>
        <w:rPr>
          <w:spacing w:val="-34"/>
        </w:rPr>
        <w:t xml:space="preserve"> </w:t>
      </w:r>
      <w:r>
        <w:t>platform,</w:t>
      </w:r>
      <w:r>
        <w:rPr>
          <w:spacing w:val="-34"/>
        </w:rPr>
        <w:t xml:space="preserve"> </w:t>
      </w:r>
      <w:r>
        <w:t>through</w:t>
      </w:r>
      <w:r>
        <w:rPr>
          <w:spacing w:val="-33"/>
        </w:rPr>
        <w:t xml:space="preserve"> </w:t>
      </w:r>
      <w:r>
        <w:t>policy</w:t>
      </w:r>
      <w:r>
        <w:rPr>
          <w:spacing w:val="-33"/>
        </w:rPr>
        <w:t xml:space="preserve"> </w:t>
      </w:r>
      <w:r>
        <w:t>development and</w:t>
      </w:r>
      <w:r>
        <w:rPr>
          <w:spacing w:val="-8"/>
        </w:rPr>
        <w:t xml:space="preserve"> </w:t>
      </w:r>
      <w:r>
        <w:t>project</w:t>
      </w:r>
      <w:r>
        <w:rPr>
          <w:spacing w:val="-8"/>
        </w:rPr>
        <w:t xml:space="preserve"> </w:t>
      </w:r>
      <w:r>
        <w:t>implementation,</w:t>
      </w:r>
      <w:r>
        <w:rPr>
          <w:spacing w:val="-8"/>
        </w:rPr>
        <w:t xml:space="preserve"> </w:t>
      </w:r>
      <w:r>
        <w:t>for</w:t>
      </w:r>
      <w:r>
        <w:rPr>
          <w:spacing w:val="-8"/>
        </w:rPr>
        <w:t xml:space="preserve"> </w:t>
      </w:r>
      <w:r>
        <w:t>the</w:t>
      </w:r>
      <w:r>
        <w:rPr>
          <w:spacing w:val="-7"/>
        </w:rPr>
        <w:t xml:space="preserve"> </w:t>
      </w:r>
      <w:r>
        <w:t>delivery</w:t>
      </w:r>
      <w:r>
        <w:rPr>
          <w:spacing w:val="-7"/>
        </w:rPr>
        <w:t xml:space="preserve"> </w:t>
      </w:r>
      <w:r>
        <w:t>of</w:t>
      </w:r>
      <w:r>
        <w:rPr>
          <w:spacing w:val="-8"/>
        </w:rPr>
        <w:t xml:space="preserve"> </w:t>
      </w:r>
      <w:r>
        <w:t>better</w:t>
      </w:r>
      <w:r>
        <w:rPr>
          <w:spacing w:val="-7"/>
        </w:rPr>
        <w:t xml:space="preserve"> </w:t>
      </w:r>
      <w:r>
        <w:t>government</w:t>
      </w:r>
      <w:r>
        <w:rPr>
          <w:spacing w:val="-7"/>
        </w:rPr>
        <w:t xml:space="preserve"> </w:t>
      </w:r>
      <w:r>
        <w:t>services.</w:t>
      </w:r>
    </w:p>
    <w:p w:rsidR="00A1463E" w:rsidRDefault="00F52429">
      <w:pPr>
        <w:pStyle w:val="BodyText"/>
        <w:spacing w:before="172" w:line="235" w:lineRule="auto"/>
        <w:ind w:left="680" w:right="1"/>
        <w:jc w:val="both"/>
      </w:pPr>
      <w:r>
        <w:t>The indicators represent the costs per unit of policy development and the cost</w:t>
      </w:r>
      <w:r>
        <w:rPr>
          <w:spacing w:val="-17"/>
        </w:rPr>
        <w:t xml:space="preserve"> </w:t>
      </w:r>
      <w:r>
        <w:t>of</w:t>
      </w:r>
      <w:r>
        <w:rPr>
          <w:spacing w:val="-17"/>
        </w:rPr>
        <w:t xml:space="preserve"> </w:t>
      </w:r>
      <w:r>
        <w:t>project</w:t>
      </w:r>
      <w:r>
        <w:rPr>
          <w:spacing w:val="-17"/>
        </w:rPr>
        <w:t xml:space="preserve"> </w:t>
      </w:r>
      <w:r>
        <w:t>implementations</w:t>
      </w:r>
      <w:r>
        <w:rPr>
          <w:spacing w:val="-17"/>
        </w:rPr>
        <w:t xml:space="preserve"> </w:t>
      </w:r>
      <w:r>
        <w:t>as</w:t>
      </w:r>
      <w:r>
        <w:rPr>
          <w:spacing w:val="-17"/>
        </w:rPr>
        <w:t xml:space="preserve"> </w:t>
      </w:r>
      <w:r>
        <w:t>a</w:t>
      </w:r>
      <w:r>
        <w:rPr>
          <w:spacing w:val="-17"/>
        </w:rPr>
        <w:t xml:space="preserve"> </w:t>
      </w:r>
      <w:r>
        <w:t>percentage</w:t>
      </w:r>
      <w:r>
        <w:rPr>
          <w:spacing w:val="-17"/>
        </w:rPr>
        <w:t xml:space="preserve"> </w:t>
      </w:r>
      <w:r>
        <w:t>of</w:t>
      </w:r>
      <w:r>
        <w:rPr>
          <w:spacing w:val="-17"/>
        </w:rPr>
        <w:t xml:space="preserve"> </w:t>
      </w:r>
      <w:r>
        <w:t>overall</w:t>
      </w:r>
      <w:r>
        <w:rPr>
          <w:spacing w:val="-17"/>
        </w:rPr>
        <w:t xml:space="preserve"> </w:t>
      </w:r>
      <w:r>
        <w:t>government</w:t>
      </w:r>
      <w:r>
        <w:rPr>
          <w:spacing w:val="-17"/>
        </w:rPr>
        <w:t xml:space="preserve"> </w:t>
      </w:r>
      <w:r>
        <w:t xml:space="preserve">spent on related ICT services. </w:t>
      </w:r>
      <w:r>
        <w:rPr>
          <w:spacing w:val="-6"/>
        </w:rPr>
        <w:t xml:space="preserve">Taken </w:t>
      </w:r>
      <w:r>
        <w:t>into account with the notes explaining any variances, it provides a measure of</w:t>
      </w:r>
      <w:r>
        <w:rPr>
          <w:spacing w:val="-9"/>
        </w:rPr>
        <w:t xml:space="preserve"> </w:t>
      </w:r>
      <w:r>
        <w:t>efficiency.</w:t>
      </w:r>
    </w:p>
    <w:p w:rsidR="00A1463E" w:rsidRDefault="00F52429">
      <w:pPr>
        <w:pStyle w:val="BodyText"/>
        <w:spacing w:before="174" w:line="235" w:lineRule="auto"/>
        <w:ind w:left="680" w:right="2"/>
        <w:jc w:val="both"/>
      </w:pPr>
      <w:r>
        <w:rPr>
          <w:spacing w:val="-11"/>
        </w:rPr>
        <w:t xml:space="preserve">To </w:t>
      </w:r>
      <w:r>
        <w:t xml:space="preserve">ensure the cost of policy change </w:t>
      </w:r>
      <w:r>
        <w:rPr>
          <w:spacing w:val="-3"/>
        </w:rPr>
        <w:t xml:space="preserve">for </w:t>
      </w:r>
      <w:r>
        <w:t>government is efficient, the overall cost of implementing the change needs to be cost effective when</w:t>
      </w:r>
      <w:r>
        <w:rPr>
          <w:spacing w:val="-39"/>
        </w:rPr>
        <w:t xml:space="preserve"> </w:t>
      </w:r>
      <w:r>
        <w:t>compared to</w:t>
      </w:r>
      <w:r>
        <w:rPr>
          <w:spacing w:val="-12"/>
        </w:rPr>
        <w:t xml:space="preserve"> </w:t>
      </w:r>
      <w:r>
        <w:t>the</w:t>
      </w:r>
      <w:r>
        <w:rPr>
          <w:spacing w:val="-12"/>
        </w:rPr>
        <w:t xml:space="preserve"> </w:t>
      </w:r>
      <w:r>
        <w:t>total</w:t>
      </w:r>
      <w:r>
        <w:rPr>
          <w:spacing w:val="-12"/>
        </w:rPr>
        <w:t xml:space="preserve"> </w:t>
      </w:r>
      <w:r>
        <w:t>government</w:t>
      </w:r>
      <w:r>
        <w:rPr>
          <w:spacing w:val="-12"/>
        </w:rPr>
        <w:t xml:space="preserve"> </w:t>
      </w:r>
      <w:r>
        <w:t>spend</w:t>
      </w:r>
      <w:r>
        <w:rPr>
          <w:spacing w:val="-12"/>
        </w:rPr>
        <w:t xml:space="preserve"> </w:t>
      </w:r>
      <w:r>
        <w:t>on</w:t>
      </w:r>
      <w:r>
        <w:rPr>
          <w:spacing w:val="-12"/>
        </w:rPr>
        <w:t xml:space="preserve"> </w:t>
      </w:r>
      <w:r>
        <w:t>the</w:t>
      </w:r>
      <w:r>
        <w:rPr>
          <w:spacing w:val="-12"/>
        </w:rPr>
        <w:t xml:space="preserve"> </w:t>
      </w:r>
      <w:r>
        <w:t>related</w:t>
      </w:r>
      <w:r>
        <w:rPr>
          <w:spacing w:val="-11"/>
        </w:rPr>
        <w:t xml:space="preserve"> </w:t>
      </w:r>
      <w:r>
        <w:t>activities.</w:t>
      </w:r>
      <w:r>
        <w:rPr>
          <w:spacing w:val="31"/>
        </w:rPr>
        <w:t xml:space="preserve"> </w:t>
      </w:r>
      <w:r>
        <w:t>In</w:t>
      </w:r>
      <w:r>
        <w:rPr>
          <w:spacing w:val="-12"/>
        </w:rPr>
        <w:t xml:space="preserve"> </w:t>
      </w:r>
      <w:r>
        <w:t>this</w:t>
      </w:r>
      <w:r>
        <w:rPr>
          <w:spacing w:val="-11"/>
        </w:rPr>
        <w:t xml:space="preserve"> </w:t>
      </w:r>
      <w:r>
        <w:t>case</w:t>
      </w:r>
      <w:r>
        <w:rPr>
          <w:spacing w:val="-12"/>
        </w:rPr>
        <w:t xml:space="preserve"> </w:t>
      </w:r>
      <w:r>
        <w:t>the</w:t>
      </w:r>
      <w:r>
        <w:rPr>
          <w:spacing w:val="-12"/>
        </w:rPr>
        <w:t xml:space="preserve"> </w:t>
      </w:r>
      <w:r>
        <w:t xml:space="preserve">costs impacted relate to </w:t>
      </w:r>
      <w:r>
        <w:rPr>
          <w:spacing w:val="-4"/>
        </w:rPr>
        <w:t xml:space="preserve">server, </w:t>
      </w:r>
      <w:r>
        <w:t>internet and related</w:t>
      </w:r>
      <w:r>
        <w:rPr>
          <w:spacing w:val="-4"/>
        </w:rPr>
        <w:t xml:space="preserve"> </w:t>
      </w:r>
      <w:r>
        <w:t>services.</w:t>
      </w:r>
    </w:p>
    <w:p w:rsidR="0021464E" w:rsidRDefault="0021464E">
      <w:pPr>
        <w:pStyle w:val="BodyText"/>
      </w:pPr>
    </w:p>
    <w:p w:rsidR="00D26A3D" w:rsidRDefault="00D26A3D" w:rsidP="00D26A3D">
      <w:pPr>
        <w:pStyle w:val="Heading3"/>
        <w:ind w:left="709"/>
        <w:sectPr w:rsidR="00D26A3D" w:rsidSect="0021464E">
          <w:type w:val="continuous"/>
          <w:pgSz w:w="16840" w:h="11910" w:orient="landscape"/>
          <w:pgMar w:top="560" w:right="822" w:bottom="0" w:left="0" w:header="720" w:footer="720" w:gutter="0"/>
          <w:cols w:space="720"/>
        </w:sectPr>
      </w:pPr>
      <w:r>
        <w:t>Key indicators of efficiency</w:t>
      </w:r>
    </w:p>
    <w:p w:rsidR="00A1463E" w:rsidRDefault="00A1463E">
      <w:pPr>
        <w:pStyle w:val="BodyText"/>
      </w:pPr>
    </w:p>
    <w:p w:rsidR="0021464E" w:rsidRDefault="0021464E" w:rsidP="0021464E">
      <w:pPr>
        <w:pStyle w:val="Heading4"/>
        <w:spacing w:before="208" w:after="8"/>
        <w:ind w:left="0"/>
        <w:sectPr w:rsidR="0021464E">
          <w:type w:val="continuous"/>
          <w:pgSz w:w="16840" w:h="11910" w:orient="landscape"/>
          <w:pgMar w:top="560" w:right="0" w:bottom="0" w:left="0" w:header="720" w:footer="720" w:gutter="0"/>
          <w:cols w:num="2" w:space="720" w:equalWidth="0">
            <w:col w:w="8086" w:space="40"/>
            <w:col w:w="8714"/>
          </w:cols>
        </w:sectPr>
      </w:pPr>
    </w:p>
    <w:tbl>
      <w:tblPr>
        <w:tblStyle w:val="TableGrid"/>
        <w:tblW w:w="15333" w:type="dxa"/>
        <w:tblInd w:w="685" w:type="dxa"/>
        <w:tblLook w:val="04A0" w:firstRow="1" w:lastRow="0" w:firstColumn="1" w:lastColumn="0" w:noHBand="0" w:noVBand="1"/>
        <w:tblCaption w:val="Key indicators of efficiency table"/>
        <w:tblDescription w:val="Key indicators of efficiency table"/>
      </w:tblPr>
      <w:tblGrid>
        <w:gridCol w:w="8529"/>
        <w:gridCol w:w="992"/>
        <w:gridCol w:w="1843"/>
        <w:gridCol w:w="1985"/>
        <w:gridCol w:w="1984"/>
      </w:tblGrid>
      <w:tr w:rsidR="0021464E" w:rsidTr="00D26A3D">
        <w:trPr>
          <w:tblHeader/>
        </w:trPr>
        <w:tc>
          <w:tcPr>
            <w:tcW w:w="8529" w:type="dxa"/>
          </w:tcPr>
          <w:p w:rsidR="0021464E" w:rsidRPr="0021464E" w:rsidRDefault="0021464E" w:rsidP="0021464E">
            <w:pPr>
              <w:pStyle w:val="Heading4"/>
              <w:spacing w:before="208" w:after="8"/>
              <w:ind w:left="0"/>
              <w:rPr>
                <w:b w:val="0"/>
              </w:rPr>
            </w:pPr>
            <w:r w:rsidRPr="0021464E">
              <w:rPr>
                <w:b w:val="0"/>
              </w:rPr>
              <w:t>Average cost of Policy Development (a)</w:t>
            </w:r>
          </w:p>
        </w:tc>
        <w:tc>
          <w:tcPr>
            <w:tcW w:w="992" w:type="dxa"/>
          </w:tcPr>
          <w:p w:rsidR="0021464E" w:rsidRPr="0021464E" w:rsidRDefault="0021464E" w:rsidP="0021464E">
            <w:pPr>
              <w:pStyle w:val="Heading4"/>
              <w:spacing w:before="208" w:after="8"/>
              <w:ind w:left="0"/>
              <w:rPr>
                <w:b w:val="0"/>
              </w:rPr>
            </w:pPr>
            <w:r w:rsidRPr="0021464E">
              <w:rPr>
                <w:b w:val="0"/>
              </w:rPr>
              <w:t>($‘000)</w:t>
            </w:r>
          </w:p>
        </w:tc>
        <w:tc>
          <w:tcPr>
            <w:tcW w:w="1843" w:type="dxa"/>
          </w:tcPr>
          <w:p w:rsidR="0021464E" w:rsidRPr="0021464E" w:rsidRDefault="0021464E" w:rsidP="0021464E">
            <w:pPr>
              <w:pStyle w:val="Heading4"/>
              <w:spacing w:before="208" w:after="8"/>
              <w:ind w:left="0"/>
              <w:rPr>
                <w:b w:val="0"/>
              </w:rPr>
            </w:pPr>
            <w:r w:rsidRPr="0021464E">
              <w:rPr>
                <w:b w:val="0"/>
              </w:rPr>
              <w:t>192</w:t>
            </w:r>
          </w:p>
        </w:tc>
        <w:tc>
          <w:tcPr>
            <w:tcW w:w="1985" w:type="dxa"/>
          </w:tcPr>
          <w:p w:rsidR="0021464E" w:rsidRPr="0021464E" w:rsidRDefault="0021464E" w:rsidP="0021464E">
            <w:pPr>
              <w:pStyle w:val="Heading4"/>
              <w:spacing w:before="208" w:after="8"/>
              <w:ind w:left="0"/>
              <w:rPr>
                <w:b w:val="0"/>
              </w:rPr>
            </w:pPr>
            <w:r w:rsidRPr="0021464E">
              <w:rPr>
                <w:b w:val="0"/>
              </w:rPr>
              <w:t>203</w:t>
            </w:r>
          </w:p>
        </w:tc>
        <w:tc>
          <w:tcPr>
            <w:tcW w:w="1984" w:type="dxa"/>
          </w:tcPr>
          <w:p w:rsidR="0021464E" w:rsidRPr="0021464E" w:rsidRDefault="0021464E" w:rsidP="0021464E">
            <w:pPr>
              <w:pStyle w:val="Heading4"/>
              <w:spacing w:before="208" w:after="8"/>
              <w:ind w:left="0"/>
              <w:rPr>
                <w:b w:val="0"/>
              </w:rPr>
            </w:pPr>
            <w:r w:rsidRPr="0021464E">
              <w:rPr>
                <w:b w:val="0"/>
              </w:rPr>
              <w:t>225 (1)</w:t>
            </w:r>
          </w:p>
        </w:tc>
      </w:tr>
      <w:tr w:rsidR="0021464E" w:rsidTr="00D26A3D">
        <w:trPr>
          <w:tblHeader/>
        </w:trPr>
        <w:tc>
          <w:tcPr>
            <w:tcW w:w="8529" w:type="dxa"/>
          </w:tcPr>
          <w:p w:rsidR="0021464E" w:rsidRPr="0021464E" w:rsidRDefault="0021464E" w:rsidP="0021464E">
            <w:pPr>
              <w:pStyle w:val="Heading4"/>
              <w:spacing w:before="208" w:after="8"/>
              <w:ind w:left="0"/>
              <w:rPr>
                <w:b w:val="0"/>
              </w:rPr>
            </w:pPr>
            <w:r w:rsidRPr="0021464E">
              <w:rPr>
                <w:b w:val="0"/>
              </w:rPr>
              <w:t xml:space="preserve">Cost of </w:t>
            </w:r>
            <w:proofErr w:type="spellStart"/>
            <w:r w:rsidRPr="0021464E">
              <w:rPr>
                <w:b w:val="0"/>
              </w:rPr>
              <w:t>GovNext</w:t>
            </w:r>
            <w:proofErr w:type="spellEnd"/>
            <w:r w:rsidRPr="0021464E">
              <w:rPr>
                <w:b w:val="0"/>
              </w:rPr>
              <w:t xml:space="preserve"> and </w:t>
            </w:r>
            <w:proofErr w:type="spellStart"/>
            <w:r w:rsidRPr="0021464E">
              <w:rPr>
                <w:b w:val="0"/>
              </w:rPr>
              <w:t>MyWA</w:t>
            </w:r>
            <w:proofErr w:type="spellEnd"/>
            <w:r w:rsidRPr="0021464E">
              <w:rPr>
                <w:b w:val="0"/>
              </w:rPr>
              <w:t xml:space="preserve"> project implementation as a percentage cost of the overall government spend on related services (b)</w:t>
            </w:r>
          </w:p>
        </w:tc>
        <w:tc>
          <w:tcPr>
            <w:tcW w:w="992" w:type="dxa"/>
          </w:tcPr>
          <w:p w:rsidR="0021464E" w:rsidRPr="0021464E" w:rsidRDefault="0021464E" w:rsidP="0021464E">
            <w:pPr>
              <w:pStyle w:val="Heading4"/>
              <w:spacing w:before="208" w:after="8"/>
              <w:ind w:left="0"/>
              <w:rPr>
                <w:b w:val="0"/>
              </w:rPr>
            </w:pPr>
            <w:r w:rsidRPr="0021464E">
              <w:rPr>
                <w:b w:val="0"/>
              </w:rPr>
              <w:t>(%)</w:t>
            </w:r>
          </w:p>
        </w:tc>
        <w:tc>
          <w:tcPr>
            <w:tcW w:w="1843" w:type="dxa"/>
          </w:tcPr>
          <w:p w:rsidR="0021464E" w:rsidRPr="0021464E" w:rsidRDefault="0021464E" w:rsidP="0021464E">
            <w:pPr>
              <w:pStyle w:val="Heading4"/>
              <w:spacing w:before="208" w:after="8"/>
              <w:ind w:left="0"/>
              <w:rPr>
                <w:b w:val="0"/>
              </w:rPr>
            </w:pPr>
            <w:r w:rsidRPr="0021464E">
              <w:rPr>
                <w:b w:val="0"/>
              </w:rPr>
              <w:t>3.1</w:t>
            </w:r>
          </w:p>
        </w:tc>
        <w:tc>
          <w:tcPr>
            <w:tcW w:w="1985" w:type="dxa"/>
          </w:tcPr>
          <w:p w:rsidR="0021464E" w:rsidRPr="0021464E" w:rsidRDefault="0021464E" w:rsidP="0021464E">
            <w:pPr>
              <w:pStyle w:val="Heading4"/>
              <w:spacing w:before="208" w:after="8"/>
              <w:ind w:left="0"/>
              <w:rPr>
                <w:b w:val="0"/>
              </w:rPr>
            </w:pPr>
            <w:r w:rsidRPr="0021464E">
              <w:rPr>
                <w:b w:val="0"/>
              </w:rPr>
              <w:t>5.2</w:t>
            </w:r>
          </w:p>
        </w:tc>
        <w:tc>
          <w:tcPr>
            <w:tcW w:w="1984" w:type="dxa"/>
          </w:tcPr>
          <w:p w:rsidR="0021464E" w:rsidRPr="0021464E" w:rsidRDefault="0021464E" w:rsidP="0021464E">
            <w:pPr>
              <w:pStyle w:val="Heading4"/>
              <w:spacing w:before="208" w:after="8"/>
              <w:ind w:left="0"/>
              <w:rPr>
                <w:b w:val="0"/>
              </w:rPr>
            </w:pPr>
            <w:r w:rsidRPr="0021464E">
              <w:rPr>
                <w:b w:val="0"/>
              </w:rPr>
              <w:t>4.9 (2)</w:t>
            </w:r>
          </w:p>
        </w:tc>
      </w:tr>
    </w:tbl>
    <w:p w:rsidR="00A1463E" w:rsidRPr="0021464E" w:rsidRDefault="0021464E" w:rsidP="00927EE4">
      <w:pPr>
        <w:pStyle w:val="BodyText"/>
        <w:ind w:left="709"/>
        <w:rPr>
          <w:rStyle w:val="A7"/>
          <w:b/>
        </w:rPr>
      </w:pPr>
      <w:r w:rsidRPr="0021464E">
        <w:rPr>
          <w:rStyle w:val="A7"/>
        </w:rPr>
        <w:t>a) Cost of policy and strategic services divided by the number of policy initiatives endorsed for development by the governance groups. This calculation includes an overhead for the administrative costs of the OGCIO, including executive and office management costs.</w:t>
      </w:r>
    </w:p>
    <w:p w:rsidR="0021464E" w:rsidRPr="0021464E" w:rsidRDefault="0021464E" w:rsidP="00927EE4">
      <w:pPr>
        <w:pStyle w:val="BodyText"/>
        <w:ind w:left="709"/>
        <w:rPr>
          <w:rStyle w:val="A7"/>
          <w:b/>
        </w:rPr>
      </w:pPr>
      <w:r w:rsidRPr="0021464E">
        <w:rPr>
          <w:rStyle w:val="A7"/>
        </w:rPr>
        <w:t>b) Total cost of projects as a percentage of the overall ICT Services spend by government. This calculation includes the full cost of the Projects, including administration, project spend and overheads.</w:t>
      </w:r>
    </w:p>
    <w:p w:rsidR="0021464E" w:rsidRDefault="0021464E" w:rsidP="00927EE4">
      <w:pPr>
        <w:pStyle w:val="BodyText"/>
        <w:ind w:left="709"/>
        <w:rPr>
          <w:rStyle w:val="A7"/>
        </w:rPr>
      </w:pPr>
    </w:p>
    <w:p w:rsidR="0021464E" w:rsidRDefault="0021464E" w:rsidP="0021464E">
      <w:pPr>
        <w:pStyle w:val="Pa9"/>
        <w:spacing w:after="160"/>
        <w:ind w:left="709"/>
        <w:jc w:val="both"/>
        <w:rPr>
          <w:rFonts w:cs="Calibri"/>
          <w:color w:val="000000"/>
          <w:sz w:val="23"/>
          <w:szCs w:val="23"/>
        </w:rPr>
      </w:pPr>
      <w:r>
        <w:rPr>
          <w:rFonts w:cs="Calibri"/>
          <w:color w:val="000000"/>
          <w:sz w:val="23"/>
          <w:szCs w:val="23"/>
        </w:rPr>
        <w:t xml:space="preserve">1) The higher average cost reflects the fewer policies in total worked on (10) during the year when compared to target (12) and prior year actual (12). Two policies developed and approved required no further work during 2017-18. </w:t>
      </w:r>
    </w:p>
    <w:p w:rsidR="0021464E" w:rsidRPr="0021464E" w:rsidRDefault="0021464E" w:rsidP="00927EE4">
      <w:pPr>
        <w:pStyle w:val="BodyText"/>
        <w:ind w:left="709"/>
        <w:rPr>
          <w:b/>
        </w:rPr>
        <w:sectPr w:rsidR="0021464E" w:rsidRPr="0021464E" w:rsidSect="0021464E">
          <w:type w:val="continuous"/>
          <w:pgSz w:w="16840" w:h="11910" w:orient="landscape"/>
          <w:pgMar w:top="560" w:right="680" w:bottom="0" w:left="0" w:header="720" w:footer="720" w:gutter="0"/>
          <w:cols w:space="40"/>
        </w:sectPr>
      </w:pPr>
      <w:r w:rsidRPr="0021464E">
        <w:t>2) The increased result compared to the prior year reflects a reduction in reported government spend on related ICT services due in part to the cessation of several ICT common use arrangements.</w:t>
      </w:r>
    </w:p>
    <w:p w:rsidR="00A1463E" w:rsidRDefault="00A1463E" w:rsidP="0021464E">
      <w:pPr>
        <w:pStyle w:val="BodyText"/>
        <w:spacing w:before="2"/>
        <w:ind w:left="709"/>
        <w:rPr>
          <w:sz w:val="8"/>
        </w:rPr>
      </w:pPr>
      <w:bookmarkStart w:id="56" w:name="Ministerial_Directives"/>
      <w:bookmarkStart w:id="57" w:name="Other_Financial_Disclosures"/>
      <w:bookmarkStart w:id="58" w:name="_bookmark43"/>
      <w:bookmarkStart w:id="59" w:name="_bookmark44"/>
      <w:bookmarkStart w:id="60" w:name="_bookmark45"/>
      <w:bookmarkStart w:id="61" w:name="_bookmark46"/>
      <w:bookmarkStart w:id="62" w:name="_bookmark47"/>
      <w:bookmarkStart w:id="63" w:name="_bookmark48"/>
      <w:bookmarkEnd w:id="56"/>
      <w:bookmarkEnd w:id="57"/>
      <w:bookmarkEnd w:id="58"/>
      <w:bookmarkEnd w:id="59"/>
      <w:bookmarkEnd w:id="60"/>
      <w:bookmarkEnd w:id="61"/>
      <w:bookmarkEnd w:id="62"/>
      <w:bookmarkEnd w:id="63"/>
    </w:p>
    <w:p w:rsidR="0021464E" w:rsidRDefault="0021464E">
      <w:pPr>
        <w:pStyle w:val="BodyText"/>
        <w:spacing w:before="2"/>
        <w:rPr>
          <w:sz w:val="8"/>
        </w:rPr>
      </w:pPr>
    </w:p>
    <w:p w:rsidR="00A1463E" w:rsidRDefault="00A1463E">
      <w:pPr>
        <w:rPr>
          <w:sz w:val="8"/>
        </w:rPr>
        <w:sectPr w:rsidR="00A1463E">
          <w:headerReference w:type="default" r:id="rId19"/>
          <w:pgSz w:w="16840" w:h="11910" w:orient="landscape"/>
          <w:pgMar w:top="220" w:right="0" w:bottom="360" w:left="0" w:header="29" w:footer="145" w:gutter="0"/>
          <w:cols w:space="720"/>
        </w:sectPr>
      </w:pPr>
    </w:p>
    <w:p w:rsidR="00A1463E" w:rsidRDefault="00F52429">
      <w:pPr>
        <w:pStyle w:val="Heading2"/>
        <w:ind w:left="659"/>
      </w:pPr>
      <w:r>
        <w:rPr>
          <w:color w:val="353434"/>
        </w:rPr>
        <w:t>DISCLOSURES</w:t>
      </w:r>
    </w:p>
    <w:p w:rsidR="00A1463E" w:rsidRDefault="00F52429">
      <w:pPr>
        <w:spacing w:before="260"/>
        <w:ind w:left="685"/>
        <w:rPr>
          <w:sz w:val="36"/>
        </w:rPr>
      </w:pPr>
      <w:r>
        <w:rPr>
          <w:color w:val="353434"/>
          <w:sz w:val="36"/>
        </w:rPr>
        <w:t>Ministerial Directives</w:t>
      </w:r>
    </w:p>
    <w:p w:rsidR="00A1463E" w:rsidRDefault="00F52429">
      <w:pPr>
        <w:pStyle w:val="BodyText"/>
        <w:spacing w:before="24" w:line="235" w:lineRule="auto"/>
        <w:ind w:left="685"/>
        <w:jc w:val="both"/>
      </w:pPr>
      <w:r>
        <w:rPr>
          <w:spacing w:val="-3"/>
        </w:rPr>
        <w:t>Treasurer’s</w:t>
      </w:r>
      <w:r>
        <w:rPr>
          <w:spacing w:val="-22"/>
        </w:rPr>
        <w:t xml:space="preserve"> </w:t>
      </w:r>
      <w:r>
        <w:t>Instruction</w:t>
      </w:r>
      <w:r>
        <w:rPr>
          <w:spacing w:val="-22"/>
        </w:rPr>
        <w:t xml:space="preserve"> </w:t>
      </w:r>
      <w:r>
        <w:t>903</w:t>
      </w:r>
      <w:r>
        <w:rPr>
          <w:spacing w:val="-22"/>
        </w:rPr>
        <w:t xml:space="preserve"> </w:t>
      </w:r>
      <w:r>
        <w:t>(12)</w:t>
      </w:r>
      <w:r>
        <w:rPr>
          <w:spacing w:val="-22"/>
        </w:rPr>
        <w:t xml:space="preserve"> </w:t>
      </w:r>
      <w:r>
        <w:t>requires</w:t>
      </w:r>
      <w:r>
        <w:rPr>
          <w:spacing w:val="-22"/>
        </w:rPr>
        <w:t xml:space="preserve"> </w:t>
      </w:r>
      <w:r>
        <w:t>agencies to disclose information on any Ministerial Directives</w:t>
      </w:r>
      <w:r>
        <w:rPr>
          <w:spacing w:val="-14"/>
        </w:rPr>
        <w:t xml:space="preserve"> </w:t>
      </w:r>
      <w:r>
        <w:t>relevant</w:t>
      </w:r>
      <w:r>
        <w:rPr>
          <w:spacing w:val="-14"/>
        </w:rPr>
        <w:t xml:space="preserve"> </w:t>
      </w:r>
      <w:r>
        <w:t>to</w:t>
      </w:r>
      <w:r>
        <w:rPr>
          <w:spacing w:val="-14"/>
        </w:rPr>
        <w:t xml:space="preserve"> </w:t>
      </w:r>
      <w:r>
        <w:t>the</w:t>
      </w:r>
      <w:r>
        <w:rPr>
          <w:spacing w:val="-14"/>
        </w:rPr>
        <w:t xml:space="preserve"> </w:t>
      </w:r>
      <w:r>
        <w:t>setting</w:t>
      </w:r>
      <w:r>
        <w:rPr>
          <w:spacing w:val="-14"/>
        </w:rPr>
        <w:t xml:space="preserve"> </w:t>
      </w:r>
      <w:r>
        <w:t>or</w:t>
      </w:r>
      <w:r>
        <w:rPr>
          <w:spacing w:val="-14"/>
        </w:rPr>
        <w:t xml:space="preserve"> </w:t>
      </w:r>
      <w:r>
        <w:t>achievement of desired outcomes or operational objectives, investment activities, and financing</w:t>
      </w:r>
      <w:r>
        <w:rPr>
          <w:spacing w:val="-16"/>
        </w:rPr>
        <w:t xml:space="preserve"> </w:t>
      </w:r>
      <w:r>
        <w:t>activities.</w:t>
      </w:r>
    </w:p>
    <w:p w:rsidR="00A1463E" w:rsidRDefault="00F52429">
      <w:pPr>
        <w:pStyle w:val="BodyText"/>
        <w:spacing w:before="175" w:line="235" w:lineRule="auto"/>
        <w:ind w:left="685"/>
      </w:pPr>
      <w:r>
        <w:t>The Office of the GCIO did not receive any Ministerial Directives during 2017-18.</w:t>
      </w:r>
    </w:p>
    <w:p w:rsidR="00A1463E" w:rsidRDefault="00F52429">
      <w:pPr>
        <w:pStyle w:val="BodyText"/>
        <w:rPr>
          <w:sz w:val="36"/>
        </w:rPr>
      </w:pPr>
      <w:r>
        <w:br w:type="column"/>
      </w:r>
    </w:p>
    <w:p w:rsidR="00A1463E" w:rsidRDefault="00F52429">
      <w:pPr>
        <w:pStyle w:val="Heading1"/>
        <w:spacing w:before="248"/>
        <w:ind w:left="637"/>
        <w:jc w:val="both"/>
      </w:pPr>
      <w:r>
        <w:rPr>
          <w:color w:val="353434"/>
        </w:rPr>
        <w:t>Other Financial Disclosures</w:t>
      </w:r>
    </w:p>
    <w:p w:rsidR="00A1463E" w:rsidRDefault="00F52429">
      <w:pPr>
        <w:pStyle w:val="Heading2"/>
        <w:spacing w:before="15"/>
        <w:ind w:left="637"/>
        <w:jc w:val="both"/>
      </w:pPr>
      <w:r>
        <w:rPr>
          <w:color w:val="353434"/>
        </w:rPr>
        <w:t>Pricing policies of services provided</w:t>
      </w:r>
    </w:p>
    <w:p w:rsidR="00A1463E" w:rsidRDefault="00F52429">
      <w:pPr>
        <w:pStyle w:val="BodyText"/>
        <w:spacing w:before="30"/>
        <w:ind w:left="637"/>
        <w:jc w:val="both"/>
      </w:pPr>
      <w:r>
        <w:t>Not applicable</w:t>
      </w:r>
    </w:p>
    <w:p w:rsidR="00A1463E" w:rsidRDefault="00F52429">
      <w:pPr>
        <w:pStyle w:val="Heading2"/>
        <w:spacing w:before="161"/>
        <w:ind w:left="637"/>
        <w:jc w:val="both"/>
      </w:pPr>
      <w:r>
        <w:rPr>
          <w:color w:val="353434"/>
        </w:rPr>
        <w:t>Capital Projects</w:t>
      </w:r>
    </w:p>
    <w:p w:rsidR="00A1463E" w:rsidRDefault="00F52429">
      <w:pPr>
        <w:pStyle w:val="BodyText"/>
        <w:spacing w:before="30"/>
        <w:ind w:left="637"/>
        <w:jc w:val="both"/>
      </w:pPr>
      <w:r>
        <w:t>Nil</w:t>
      </w:r>
    </w:p>
    <w:p w:rsidR="00A1463E" w:rsidRDefault="00F52429">
      <w:pPr>
        <w:pStyle w:val="Heading2"/>
        <w:spacing w:before="161"/>
        <w:ind w:left="637"/>
        <w:jc w:val="both"/>
      </w:pPr>
      <w:proofErr w:type="spellStart"/>
      <w:r>
        <w:rPr>
          <w:color w:val="353434"/>
        </w:rPr>
        <w:t>Unauthorised</w:t>
      </w:r>
      <w:proofErr w:type="spellEnd"/>
      <w:r>
        <w:rPr>
          <w:color w:val="353434"/>
        </w:rPr>
        <w:t xml:space="preserve"> use of credit cards</w:t>
      </w:r>
    </w:p>
    <w:p w:rsidR="00A1463E" w:rsidRPr="00A47797" w:rsidRDefault="00F52429" w:rsidP="00A47797">
      <w:pPr>
        <w:pStyle w:val="BodyText"/>
        <w:spacing w:before="35" w:after="240" w:line="235" w:lineRule="auto"/>
        <w:ind w:left="637" w:right="678"/>
        <w:jc w:val="both"/>
      </w:pPr>
      <w:r>
        <w:t>Officers</w:t>
      </w:r>
      <w:r>
        <w:rPr>
          <w:spacing w:val="-15"/>
        </w:rPr>
        <w:t xml:space="preserve"> </w:t>
      </w:r>
      <w:r>
        <w:t>of</w:t>
      </w:r>
      <w:r>
        <w:rPr>
          <w:spacing w:val="-15"/>
        </w:rPr>
        <w:t xml:space="preserve"> </w:t>
      </w:r>
      <w:r>
        <w:t>the</w:t>
      </w:r>
      <w:r>
        <w:rPr>
          <w:spacing w:val="-15"/>
        </w:rPr>
        <w:t xml:space="preserve"> </w:t>
      </w:r>
      <w:r>
        <w:t>Department</w:t>
      </w:r>
      <w:r>
        <w:rPr>
          <w:spacing w:val="-15"/>
        </w:rPr>
        <w:t xml:space="preserve"> </w:t>
      </w:r>
      <w:r>
        <w:t>of</w:t>
      </w:r>
      <w:r>
        <w:rPr>
          <w:spacing w:val="-15"/>
        </w:rPr>
        <w:t xml:space="preserve"> </w:t>
      </w:r>
      <w:r>
        <w:t>Finance</w:t>
      </w:r>
      <w:r>
        <w:rPr>
          <w:spacing w:val="-15"/>
        </w:rPr>
        <w:t xml:space="preserve"> </w:t>
      </w:r>
      <w:r>
        <w:t>hold</w:t>
      </w:r>
      <w:r>
        <w:rPr>
          <w:spacing w:val="-15"/>
        </w:rPr>
        <w:t xml:space="preserve"> </w:t>
      </w:r>
      <w:r>
        <w:t>corporate</w:t>
      </w:r>
      <w:r>
        <w:rPr>
          <w:spacing w:val="-12"/>
        </w:rPr>
        <w:t xml:space="preserve"> </w:t>
      </w:r>
      <w:r>
        <w:t>credit</w:t>
      </w:r>
      <w:r>
        <w:rPr>
          <w:spacing w:val="-15"/>
        </w:rPr>
        <w:t xml:space="preserve"> </w:t>
      </w:r>
      <w:r>
        <w:t>cards</w:t>
      </w:r>
      <w:r>
        <w:rPr>
          <w:spacing w:val="-15"/>
        </w:rPr>
        <w:t xml:space="preserve"> </w:t>
      </w:r>
      <w:r>
        <w:t>where</w:t>
      </w:r>
      <w:r>
        <w:rPr>
          <w:spacing w:val="-15"/>
        </w:rPr>
        <w:t xml:space="preserve"> </w:t>
      </w:r>
      <w:r>
        <w:t>their</w:t>
      </w:r>
      <w:r>
        <w:rPr>
          <w:spacing w:val="-15"/>
        </w:rPr>
        <w:t xml:space="preserve"> </w:t>
      </w:r>
      <w:r>
        <w:t>functions</w:t>
      </w:r>
      <w:r>
        <w:rPr>
          <w:spacing w:val="-15"/>
        </w:rPr>
        <w:t xml:space="preserve"> </w:t>
      </w:r>
      <w:r>
        <w:t>warrant</w:t>
      </w:r>
      <w:r>
        <w:rPr>
          <w:spacing w:val="-15"/>
        </w:rPr>
        <w:t xml:space="preserve"> </w:t>
      </w:r>
      <w:r>
        <w:t>usage</w:t>
      </w:r>
      <w:r>
        <w:rPr>
          <w:spacing w:val="-15"/>
        </w:rPr>
        <w:t xml:space="preserve"> </w:t>
      </w:r>
      <w:r>
        <w:t>of this</w:t>
      </w:r>
      <w:r>
        <w:rPr>
          <w:spacing w:val="-4"/>
        </w:rPr>
        <w:t xml:space="preserve"> </w:t>
      </w:r>
      <w:r>
        <w:rPr>
          <w:spacing w:val="-3"/>
        </w:rPr>
        <w:t>facility.</w:t>
      </w:r>
      <w:r>
        <w:rPr>
          <w:spacing w:val="-4"/>
        </w:rPr>
        <w:t xml:space="preserve"> </w:t>
      </w:r>
      <w:r>
        <w:t>The</w:t>
      </w:r>
      <w:r>
        <w:rPr>
          <w:spacing w:val="-4"/>
        </w:rPr>
        <w:t xml:space="preserve"> </w:t>
      </w:r>
      <w:r>
        <w:t>Office</w:t>
      </w:r>
      <w:r>
        <w:rPr>
          <w:spacing w:val="-5"/>
        </w:rPr>
        <w:t xml:space="preserve"> </w:t>
      </w:r>
      <w:r>
        <w:t>of</w:t>
      </w:r>
      <w:r>
        <w:rPr>
          <w:spacing w:val="-4"/>
        </w:rPr>
        <w:t xml:space="preserve"> </w:t>
      </w:r>
      <w:r>
        <w:t>the</w:t>
      </w:r>
      <w:r>
        <w:rPr>
          <w:spacing w:val="-4"/>
        </w:rPr>
        <w:t xml:space="preserve"> </w:t>
      </w:r>
      <w:r>
        <w:t>GCIO</w:t>
      </w:r>
      <w:r>
        <w:rPr>
          <w:spacing w:val="-4"/>
        </w:rPr>
        <w:t xml:space="preserve"> </w:t>
      </w:r>
      <w:r>
        <w:t>did</w:t>
      </w:r>
      <w:r>
        <w:rPr>
          <w:spacing w:val="-4"/>
        </w:rPr>
        <w:t xml:space="preserve"> </w:t>
      </w:r>
      <w:r>
        <w:t>not</w:t>
      </w:r>
      <w:r>
        <w:rPr>
          <w:spacing w:val="-4"/>
        </w:rPr>
        <w:t xml:space="preserve"> </w:t>
      </w:r>
      <w:r>
        <w:t>have</w:t>
      </w:r>
      <w:r>
        <w:rPr>
          <w:spacing w:val="-4"/>
        </w:rPr>
        <w:t xml:space="preserve"> </w:t>
      </w:r>
      <w:r>
        <w:t>any</w:t>
      </w:r>
      <w:r>
        <w:rPr>
          <w:spacing w:val="-4"/>
        </w:rPr>
        <w:t xml:space="preserve"> </w:t>
      </w:r>
      <w:proofErr w:type="spellStart"/>
      <w:r>
        <w:t>unauthorised</w:t>
      </w:r>
      <w:proofErr w:type="spellEnd"/>
      <w:r>
        <w:rPr>
          <w:spacing w:val="-4"/>
        </w:rPr>
        <w:t xml:space="preserve"> </w:t>
      </w:r>
      <w:r>
        <w:t>use</w:t>
      </w:r>
      <w:r>
        <w:rPr>
          <w:spacing w:val="-4"/>
        </w:rPr>
        <w:t xml:space="preserve"> </w:t>
      </w:r>
      <w:r>
        <w:t>of</w:t>
      </w:r>
      <w:r>
        <w:rPr>
          <w:spacing w:val="-4"/>
        </w:rPr>
        <w:t xml:space="preserve"> </w:t>
      </w:r>
      <w:r>
        <w:t>credit</w:t>
      </w:r>
      <w:r>
        <w:rPr>
          <w:spacing w:val="-4"/>
        </w:rPr>
        <w:t xml:space="preserve"> </w:t>
      </w:r>
      <w:r>
        <w:t>cards</w:t>
      </w:r>
      <w:r>
        <w:rPr>
          <w:spacing w:val="-4"/>
        </w:rPr>
        <w:t xml:space="preserve"> </w:t>
      </w:r>
      <w:r>
        <w:t>during</w:t>
      </w:r>
      <w:r>
        <w:rPr>
          <w:spacing w:val="-4"/>
        </w:rPr>
        <w:t xml:space="preserve"> </w:t>
      </w:r>
      <w:r>
        <w:t>the</w:t>
      </w:r>
      <w:r>
        <w:rPr>
          <w:spacing w:val="-4"/>
        </w:rPr>
        <w:t xml:space="preserve"> </w:t>
      </w:r>
      <w:r>
        <w:t>2017-18 reporting</w:t>
      </w:r>
      <w:r>
        <w:rPr>
          <w:spacing w:val="-1"/>
        </w:rPr>
        <w:t xml:space="preserve"> </w:t>
      </w:r>
      <w:r>
        <w:t>period.</w:t>
      </w:r>
    </w:p>
    <w:tbl>
      <w:tblPr>
        <w:tblStyle w:val="TableGrid"/>
        <w:tblW w:w="10064" w:type="dxa"/>
        <w:tblInd w:w="704" w:type="dxa"/>
        <w:tblLook w:val="04A0" w:firstRow="1" w:lastRow="0" w:firstColumn="1" w:lastColumn="0" w:noHBand="0" w:noVBand="1"/>
        <w:tblCaption w:val="unauthroised use of credit cards"/>
        <w:tblDescription w:val="Table showing that there were no aggregate amounts of personal use expenditure during the reporting period"/>
      </w:tblPr>
      <w:tblGrid>
        <w:gridCol w:w="7938"/>
        <w:gridCol w:w="2126"/>
      </w:tblGrid>
      <w:tr w:rsidR="00A47797" w:rsidTr="00A47797">
        <w:trPr>
          <w:tblHeader/>
        </w:trPr>
        <w:tc>
          <w:tcPr>
            <w:tcW w:w="7938" w:type="dxa"/>
          </w:tcPr>
          <w:p w:rsidR="00A47797" w:rsidRDefault="00A47797" w:rsidP="00A47797">
            <w:pPr>
              <w:ind w:left="28"/>
            </w:pPr>
            <w:r>
              <w:t>Reporting period</w:t>
            </w:r>
          </w:p>
        </w:tc>
        <w:tc>
          <w:tcPr>
            <w:tcW w:w="2126" w:type="dxa"/>
          </w:tcPr>
          <w:p w:rsidR="00A47797" w:rsidRDefault="00A47797">
            <w:pPr>
              <w:jc w:val="right"/>
            </w:pPr>
            <w:r>
              <w:t>2017-18 $</w:t>
            </w:r>
          </w:p>
        </w:tc>
      </w:tr>
      <w:tr w:rsidR="00A47797" w:rsidTr="00A47797">
        <w:tc>
          <w:tcPr>
            <w:tcW w:w="7938" w:type="dxa"/>
          </w:tcPr>
          <w:p w:rsidR="00A47797" w:rsidRDefault="00A47797" w:rsidP="00A47797">
            <w:r>
              <w:t>Aggregate amount of personal use expenditure for the reporting period</w:t>
            </w:r>
          </w:p>
        </w:tc>
        <w:tc>
          <w:tcPr>
            <w:tcW w:w="2126" w:type="dxa"/>
          </w:tcPr>
          <w:p w:rsidR="00A47797" w:rsidRDefault="00A47797">
            <w:pPr>
              <w:jc w:val="right"/>
            </w:pPr>
            <w:r>
              <w:t>0</w:t>
            </w:r>
          </w:p>
        </w:tc>
      </w:tr>
      <w:tr w:rsidR="00A47797" w:rsidTr="00A47797">
        <w:tc>
          <w:tcPr>
            <w:tcW w:w="7938" w:type="dxa"/>
          </w:tcPr>
          <w:p w:rsidR="00A47797" w:rsidRDefault="00A47797" w:rsidP="00A47797">
            <w:r>
              <w:t>Aggregate amount of personal use expenditure settled by the due date (within 5 working days)</w:t>
            </w:r>
          </w:p>
        </w:tc>
        <w:tc>
          <w:tcPr>
            <w:tcW w:w="2126" w:type="dxa"/>
          </w:tcPr>
          <w:p w:rsidR="00A47797" w:rsidRDefault="00A47797">
            <w:pPr>
              <w:jc w:val="right"/>
            </w:pPr>
            <w:r>
              <w:t>0</w:t>
            </w:r>
          </w:p>
        </w:tc>
      </w:tr>
      <w:tr w:rsidR="00A47797" w:rsidTr="00A47797">
        <w:tc>
          <w:tcPr>
            <w:tcW w:w="7938" w:type="dxa"/>
          </w:tcPr>
          <w:p w:rsidR="00A47797" w:rsidRDefault="00A47797" w:rsidP="00A47797">
            <w:r>
              <w:t>Aggregate amount of personal use expenditure settled after the period (after 5 working days)</w:t>
            </w:r>
          </w:p>
        </w:tc>
        <w:tc>
          <w:tcPr>
            <w:tcW w:w="2126" w:type="dxa"/>
          </w:tcPr>
          <w:p w:rsidR="00A47797" w:rsidRDefault="00A47797">
            <w:pPr>
              <w:jc w:val="right"/>
            </w:pPr>
            <w:r>
              <w:t>0</w:t>
            </w:r>
          </w:p>
        </w:tc>
      </w:tr>
      <w:tr w:rsidR="00A47797" w:rsidTr="00A47797">
        <w:tc>
          <w:tcPr>
            <w:tcW w:w="7938" w:type="dxa"/>
          </w:tcPr>
          <w:p w:rsidR="00A47797" w:rsidRDefault="00A47797" w:rsidP="00A47797">
            <w:r>
              <w:t>Aggregate amount of personal use expenditure outstanding at balance date</w:t>
            </w:r>
          </w:p>
        </w:tc>
        <w:tc>
          <w:tcPr>
            <w:tcW w:w="2126" w:type="dxa"/>
          </w:tcPr>
          <w:p w:rsidR="00A47797" w:rsidRDefault="00A47797">
            <w:pPr>
              <w:jc w:val="right"/>
            </w:pPr>
            <w:r>
              <w:t>0</w:t>
            </w:r>
          </w:p>
        </w:tc>
      </w:tr>
    </w:tbl>
    <w:p w:rsidR="00A1463E" w:rsidRDefault="00A1463E">
      <w:pPr>
        <w:jc w:val="right"/>
        <w:sectPr w:rsidR="00A1463E">
          <w:type w:val="continuous"/>
          <w:pgSz w:w="16840" w:h="11910" w:orient="landscape"/>
          <w:pgMar w:top="560" w:right="0" w:bottom="0" w:left="0" w:header="720" w:footer="720" w:gutter="0"/>
          <w:cols w:num="2" w:space="720" w:equalWidth="0">
            <w:col w:w="5389" w:space="40"/>
            <w:col w:w="11411"/>
          </w:cols>
        </w:sectPr>
      </w:pPr>
    </w:p>
    <w:p w:rsidR="00A1463E" w:rsidRDefault="00A1463E">
      <w:pPr>
        <w:pStyle w:val="BodyText"/>
        <w:spacing w:before="7"/>
        <w:rPr>
          <w:b/>
          <w:sz w:val="5"/>
        </w:rPr>
      </w:pPr>
    </w:p>
    <w:p w:rsidR="00A1463E" w:rsidRDefault="00A1463E">
      <w:pPr>
        <w:spacing w:line="281" w:lineRule="exact"/>
        <w:jc w:val="right"/>
        <w:rPr>
          <w:sz w:val="24"/>
        </w:rPr>
        <w:sectPr w:rsidR="00A1463E">
          <w:type w:val="continuous"/>
          <w:pgSz w:w="16840" w:h="11910" w:orient="landscape"/>
          <w:pgMar w:top="560" w:right="0" w:bottom="0" w:left="0" w:header="720" w:footer="720" w:gutter="0"/>
          <w:cols w:space="720"/>
        </w:sectPr>
      </w:pPr>
    </w:p>
    <w:p w:rsidR="00A1463E" w:rsidRDefault="00A1463E">
      <w:pPr>
        <w:pStyle w:val="BodyText"/>
        <w:spacing w:before="2"/>
        <w:rPr>
          <w:b/>
          <w:sz w:val="8"/>
        </w:rPr>
      </w:pPr>
      <w:bookmarkStart w:id="64" w:name="Governance_disclosures"/>
      <w:bookmarkStart w:id="65" w:name="_bookmark49"/>
      <w:bookmarkEnd w:id="64"/>
      <w:bookmarkEnd w:id="65"/>
    </w:p>
    <w:p w:rsidR="00A1463E" w:rsidRDefault="00A1463E">
      <w:pPr>
        <w:rPr>
          <w:sz w:val="8"/>
        </w:rPr>
        <w:sectPr w:rsidR="00A1463E">
          <w:pgSz w:w="16840" w:h="11910" w:orient="landscape"/>
          <w:pgMar w:top="220" w:right="0" w:bottom="360" w:left="0" w:header="29" w:footer="145" w:gutter="0"/>
          <w:cols w:space="720"/>
        </w:sectPr>
      </w:pPr>
    </w:p>
    <w:p w:rsidR="00A1463E" w:rsidRDefault="00F52429">
      <w:pPr>
        <w:spacing w:before="36"/>
        <w:ind w:left="659"/>
        <w:rPr>
          <w:sz w:val="32"/>
        </w:rPr>
      </w:pPr>
      <w:r>
        <w:rPr>
          <w:color w:val="353434"/>
          <w:sz w:val="32"/>
        </w:rPr>
        <w:t>DISCLOSURES</w:t>
      </w:r>
    </w:p>
    <w:p w:rsidR="00A1463E" w:rsidRDefault="00F52429">
      <w:pPr>
        <w:spacing w:before="267" w:line="235" w:lineRule="auto"/>
        <w:ind w:left="680"/>
        <w:rPr>
          <w:sz w:val="36"/>
        </w:rPr>
      </w:pPr>
      <w:r>
        <w:rPr>
          <w:color w:val="353434"/>
          <w:sz w:val="36"/>
        </w:rPr>
        <w:t>Employment and Industrial Relations</w:t>
      </w:r>
    </w:p>
    <w:p w:rsidR="00A1463E" w:rsidRDefault="00F52429">
      <w:pPr>
        <w:spacing w:before="43" w:line="220" w:lineRule="auto"/>
        <w:ind w:left="680" w:right="423"/>
        <w:rPr>
          <w:sz w:val="32"/>
        </w:rPr>
      </w:pPr>
      <w:r>
        <w:rPr>
          <w:color w:val="353434"/>
          <w:sz w:val="32"/>
        </w:rPr>
        <w:t>Comparative full time equivalent (FTE) allocation by category</w:t>
      </w:r>
    </w:p>
    <w:p w:rsidR="00A1463E" w:rsidRDefault="00F52429">
      <w:pPr>
        <w:pStyle w:val="BodyText"/>
        <w:spacing w:before="151" w:line="290" w:lineRule="exact"/>
        <w:ind w:left="680"/>
      </w:pPr>
      <w:r>
        <w:t>The Office of the GCIO was established on</w:t>
      </w:r>
    </w:p>
    <w:p w:rsidR="00A1463E" w:rsidRDefault="00F52429">
      <w:pPr>
        <w:pStyle w:val="BodyText"/>
        <w:spacing w:before="2" w:line="235" w:lineRule="auto"/>
        <w:ind w:left="680"/>
        <w:jc w:val="both"/>
      </w:pPr>
      <w:r>
        <w:t xml:space="preserve">1 July 2015 </w:t>
      </w:r>
      <w:r>
        <w:rPr>
          <w:spacing w:val="-3"/>
        </w:rPr>
        <w:t xml:space="preserve">for </w:t>
      </w:r>
      <w:r>
        <w:t>a period of three years. As the Office</w:t>
      </w:r>
      <w:r>
        <w:rPr>
          <w:spacing w:val="-15"/>
        </w:rPr>
        <w:t xml:space="preserve"> </w:t>
      </w:r>
      <w:r>
        <w:t>of</w:t>
      </w:r>
      <w:r>
        <w:rPr>
          <w:spacing w:val="-14"/>
        </w:rPr>
        <w:t xml:space="preserve"> </w:t>
      </w:r>
      <w:r>
        <w:t>the</w:t>
      </w:r>
      <w:r>
        <w:rPr>
          <w:spacing w:val="-14"/>
        </w:rPr>
        <w:t xml:space="preserve"> </w:t>
      </w:r>
      <w:r>
        <w:t>GCIO</w:t>
      </w:r>
      <w:r>
        <w:rPr>
          <w:spacing w:val="-14"/>
        </w:rPr>
        <w:t xml:space="preserve"> </w:t>
      </w:r>
      <w:r>
        <w:t>has</w:t>
      </w:r>
      <w:r>
        <w:rPr>
          <w:spacing w:val="-14"/>
        </w:rPr>
        <w:t xml:space="preserve"> </w:t>
      </w:r>
      <w:r>
        <w:t>no</w:t>
      </w:r>
      <w:r>
        <w:rPr>
          <w:spacing w:val="-14"/>
        </w:rPr>
        <w:t xml:space="preserve"> </w:t>
      </w:r>
      <w:r>
        <w:t>permanent</w:t>
      </w:r>
      <w:r>
        <w:rPr>
          <w:spacing w:val="-14"/>
        </w:rPr>
        <w:t xml:space="preserve"> </w:t>
      </w:r>
      <w:r>
        <w:t xml:space="preserve">employees, </w:t>
      </w:r>
      <w:r>
        <w:rPr>
          <w:spacing w:val="-3"/>
        </w:rPr>
        <w:t xml:space="preserve">for </w:t>
      </w:r>
      <w:r>
        <w:t xml:space="preserve">reporting purposes, the number of full-time and part-time contracted employees is noted </w:t>
      </w:r>
      <w:r>
        <w:rPr>
          <w:spacing w:val="-5"/>
        </w:rPr>
        <w:t xml:space="preserve">below, </w:t>
      </w:r>
      <w:r>
        <w:t xml:space="preserve">as well as the number of employees seconded from State Government agencies whose substantive position remains with that </w:t>
      </w:r>
      <w:r>
        <w:rPr>
          <w:spacing w:val="-3"/>
        </w:rPr>
        <w:t>agency.</w:t>
      </w:r>
    </w:p>
    <w:p w:rsidR="00A1463E" w:rsidRDefault="00A1463E">
      <w:pPr>
        <w:pStyle w:val="BodyText"/>
        <w:spacing w:before="10"/>
        <w:rPr>
          <w:sz w:val="15"/>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8"/>
        <w:gridCol w:w="1134"/>
        <w:gridCol w:w="1134"/>
      </w:tblGrid>
      <w:tr w:rsidR="00A1463E" w:rsidTr="00D40680">
        <w:trPr>
          <w:trHeight w:val="332"/>
        </w:trPr>
        <w:tc>
          <w:tcPr>
            <w:tcW w:w="2438" w:type="dxa"/>
          </w:tcPr>
          <w:p w:rsidR="00A1463E" w:rsidRDefault="00F52429">
            <w:pPr>
              <w:pStyle w:val="TableParagraph"/>
              <w:spacing w:before="31" w:line="281" w:lineRule="exact"/>
              <w:ind w:left="80"/>
              <w:rPr>
                <w:b/>
                <w:sz w:val="24"/>
              </w:rPr>
            </w:pPr>
            <w:r>
              <w:rPr>
                <w:b/>
                <w:sz w:val="24"/>
              </w:rPr>
              <w:t>Category</w:t>
            </w:r>
          </w:p>
        </w:tc>
        <w:tc>
          <w:tcPr>
            <w:tcW w:w="1134" w:type="dxa"/>
            <w:shd w:val="clear" w:color="auto" w:fill="auto"/>
          </w:tcPr>
          <w:p w:rsidR="00A1463E" w:rsidRDefault="00F52429">
            <w:pPr>
              <w:pStyle w:val="TableParagraph"/>
              <w:spacing w:before="31" w:line="281" w:lineRule="exact"/>
              <w:ind w:right="78"/>
              <w:jc w:val="right"/>
              <w:rPr>
                <w:b/>
                <w:sz w:val="24"/>
              </w:rPr>
            </w:pPr>
            <w:r>
              <w:rPr>
                <w:b/>
                <w:sz w:val="24"/>
              </w:rPr>
              <w:t>2017-18</w:t>
            </w:r>
          </w:p>
        </w:tc>
        <w:tc>
          <w:tcPr>
            <w:tcW w:w="1134" w:type="dxa"/>
          </w:tcPr>
          <w:p w:rsidR="00A1463E" w:rsidRDefault="00F52429">
            <w:pPr>
              <w:pStyle w:val="TableParagraph"/>
              <w:spacing w:before="31" w:line="281" w:lineRule="exact"/>
              <w:ind w:right="78"/>
              <w:jc w:val="right"/>
              <w:rPr>
                <w:b/>
                <w:sz w:val="24"/>
              </w:rPr>
            </w:pPr>
            <w:r>
              <w:rPr>
                <w:b/>
                <w:sz w:val="24"/>
              </w:rPr>
              <w:t>2016-17</w:t>
            </w:r>
          </w:p>
        </w:tc>
      </w:tr>
      <w:tr w:rsidR="00A1463E" w:rsidTr="00D40680">
        <w:trPr>
          <w:trHeight w:val="362"/>
        </w:trPr>
        <w:tc>
          <w:tcPr>
            <w:tcW w:w="2438" w:type="dxa"/>
          </w:tcPr>
          <w:p w:rsidR="00A1463E" w:rsidRDefault="00F52429">
            <w:pPr>
              <w:pStyle w:val="TableParagraph"/>
              <w:spacing w:before="24"/>
              <w:ind w:left="79"/>
              <w:rPr>
                <w:sz w:val="24"/>
              </w:rPr>
            </w:pPr>
            <w:r>
              <w:rPr>
                <w:sz w:val="24"/>
              </w:rPr>
              <w:t>Full-time</w:t>
            </w:r>
          </w:p>
        </w:tc>
        <w:tc>
          <w:tcPr>
            <w:tcW w:w="1134" w:type="dxa"/>
            <w:shd w:val="clear" w:color="auto" w:fill="auto"/>
          </w:tcPr>
          <w:p w:rsidR="00A1463E" w:rsidRDefault="00F52429">
            <w:pPr>
              <w:pStyle w:val="TableParagraph"/>
              <w:spacing w:before="24"/>
              <w:ind w:right="78"/>
              <w:jc w:val="right"/>
              <w:rPr>
                <w:sz w:val="24"/>
              </w:rPr>
            </w:pPr>
            <w:r>
              <w:rPr>
                <w:sz w:val="24"/>
              </w:rPr>
              <w:t>28</w:t>
            </w:r>
          </w:p>
        </w:tc>
        <w:tc>
          <w:tcPr>
            <w:tcW w:w="1134" w:type="dxa"/>
          </w:tcPr>
          <w:p w:rsidR="00A1463E" w:rsidRDefault="00F52429">
            <w:pPr>
              <w:pStyle w:val="TableParagraph"/>
              <w:spacing w:before="24"/>
              <w:ind w:right="78"/>
              <w:jc w:val="right"/>
              <w:rPr>
                <w:sz w:val="24"/>
              </w:rPr>
            </w:pPr>
            <w:r>
              <w:rPr>
                <w:sz w:val="24"/>
              </w:rPr>
              <w:t>19</w:t>
            </w:r>
          </w:p>
        </w:tc>
      </w:tr>
      <w:tr w:rsidR="00A1463E" w:rsidTr="00D40680">
        <w:trPr>
          <w:trHeight w:val="340"/>
        </w:trPr>
        <w:tc>
          <w:tcPr>
            <w:tcW w:w="2438" w:type="dxa"/>
          </w:tcPr>
          <w:p w:rsidR="00A1463E" w:rsidRDefault="00F52429">
            <w:pPr>
              <w:pStyle w:val="TableParagraph"/>
              <w:spacing w:before="1"/>
              <w:ind w:left="79"/>
              <w:rPr>
                <w:sz w:val="24"/>
              </w:rPr>
            </w:pPr>
            <w:r>
              <w:rPr>
                <w:sz w:val="24"/>
              </w:rPr>
              <w:t>Part-time</w:t>
            </w:r>
          </w:p>
        </w:tc>
        <w:tc>
          <w:tcPr>
            <w:tcW w:w="1134" w:type="dxa"/>
            <w:shd w:val="clear" w:color="auto" w:fill="auto"/>
          </w:tcPr>
          <w:p w:rsidR="00A1463E" w:rsidRDefault="00F52429">
            <w:pPr>
              <w:pStyle w:val="TableParagraph"/>
              <w:spacing w:before="1"/>
              <w:ind w:right="78"/>
              <w:jc w:val="right"/>
              <w:rPr>
                <w:sz w:val="24"/>
              </w:rPr>
            </w:pPr>
            <w:r>
              <w:rPr>
                <w:sz w:val="24"/>
              </w:rPr>
              <w:t>2</w:t>
            </w:r>
          </w:p>
        </w:tc>
        <w:tc>
          <w:tcPr>
            <w:tcW w:w="1134" w:type="dxa"/>
          </w:tcPr>
          <w:p w:rsidR="00A1463E" w:rsidRDefault="00F52429">
            <w:pPr>
              <w:pStyle w:val="TableParagraph"/>
              <w:spacing w:before="1"/>
              <w:ind w:right="78"/>
              <w:jc w:val="right"/>
              <w:rPr>
                <w:sz w:val="24"/>
              </w:rPr>
            </w:pPr>
            <w:r>
              <w:rPr>
                <w:sz w:val="24"/>
              </w:rPr>
              <w:t>1</w:t>
            </w:r>
          </w:p>
        </w:tc>
      </w:tr>
      <w:tr w:rsidR="00A1463E" w:rsidTr="00D40680">
        <w:trPr>
          <w:trHeight w:val="302"/>
        </w:trPr>
        <w:tc>
          <w:tcPr>
            <w:tcW w:w="2438" w:type="dxa"/>
          </w:tcPr>
          <w:p w:rsidR="00A1463E" w:rsidRDefault="00F52429">
            <w:pPr>
              <w:pStyle w:val="TableParagraph"/>
              <w:spacing w:before="1" w:line="281" w:lineRule="exact"/>
              <w:ind w:left="79"/>
              <w:rPr>
                <w:sz w:val="24"/>
              </w:rPr>
            </w:pPr>
            <w:r>
              <w:rPr>
                <w:sz w:val="24"/>
              </w:rPr>
              <w:t>Seconded in</w:t>
            </w:r>
          </w:p>
        </w:tc>
        <w:tc>
          <w:tcPr>
            <w:tcW w:w="1134" w:type="dxa"/>
            <w:shd w:val="clear" w:color="auto" w:fill="auto"/>
          </w:tcPr>
          <w:p w:rsidR="00A1463E" w:rsidRDefault="00F52429">
            <w:pPr>
              <w:pStyle w:val="TableParagraph"/>
              <w:spacing w:before="1" w:line="281" w:lineRule="exact"/>
              <w:ind w:right="78"/>
              <w:jc w:val="right"/>
              <w:rPr>
                <w:sz w:val="24"/>
              </w:rPr>
            </w:pPr>
            <w:r>
              <w:rPr>
                <w:sz w:val="24"/>
              </w:rPr>
              <w:t>16</w:t>
            </w:r>
          </w:p>
        </w:tc>
        <w:tc>
          <w:tcPr>
            <w:tcW w:w="1134" w:type="dxa"/>
          </w:tcPr>
          <w:p w:rsidR="00A1463E" w:rsidRDefault="00F52429">
            <w:pPr>
              <w:pStyle w:val="TableParagraph"/>
              <w:spacing w:before="1" w:line="281" w:lineRule="exact"/>
              <w:ind w:right="78"/>
              <w:jc w:val="right"/>
              <w:rPr>
                <w:sz w:val="24"/>
              </w:rPr>
            </w:pPr>
            <w:r>
              <w:rPr>
                <w:sz w:val="24"/>
              </w:rPr>
              <w:t>16</w:t>
            </w:r>
          </w:p>
        </w:tc>
      </w:tr>
      <w:tr w:rsidR="00A1463E" w:rsidTr="00D40680">
        <w:trPr>
          <w:trHeight w:val="325"/>
        </w:trPr>
        <w:tc>
          <w:tcPr>
            <w:tcW w:w="2438" w:type="dxa"/>
          </w:tcPr>
          <w:p w:rsidR="00A1463E" w:rsidRDefault="00F52429">
            <w:pPr>
              <w:pStyle w:val="TableParagraph"/>
              <w:spacing w:before="24" w:line="281" w:lineRule="exact"/>
              <w:ind w:left="79"/>
              <w:rPr>
                <w:b/>
                <w:sz w:val="24"/>
              </w:rPr>
            </w:pPr>
            <w:r>
              <w:rPr>
                <w:b/>
                <w:sz w:val="24"/>
              </w:rPr>
              <w:t>Total</w:t>
            </w:r>
          </w:p>
        </w:tc>
        <w:tc>
          <w:tcPr>
            <w:tcW w:w="1134" w:type="dxa"/>
            <w:shd w:val="clear" w:color="auto" w:fill="auto"/>
          </w:tcPr>
          <w:p w:rsidR="00A1463E" w:rsidRDefault="00F52429">
            <w:pPr>
              <w:pStyle w:val="TableParagraph"/>
              <w:spacing w:before="24" w:line="281" w:lineRule="exact"/>
              <w:ind w:right="78"/>
              <w:jc w:val="right"/>
              <w:rPr>
                <w:sz w:val="24"/>
              </w:rPr>
            </w:pPr>
            <w:r>
              <w:rPr>
                <w:sz w:val="24"/>
              </w:rPr>
              <w:t>46</w:t>
            </w:r>
          </w:p>
        </w:tc>
        <w:tc>
          <w:tcPr>
            <w:tcW w:w="1134" w:type="dxa"/>
          </w:tcPr>
          <w:p w:rsidR="00A1463E" w:rsidRDefault="00F52429">
            <w:pPr>
              <w:pStyle w:val="TableParagraph"/>
              <w:spacing w:before="24" w:line="281" w:lineRule="exact"/>
              <w:ind w:right="78"/>
              <w:jc w:val="right"/>
              <w:rPr>
                <w:sz w:val="24"/>
              </w:rPr>
            </w:pPr>
            <w:r>
              <w:rPr>
                <w:sz w:val="24"/>
              </w:rPr>
              <w:t>36</w:t>
            </w:r>
          </w:p>
        </w:tc>
      </w:tr>
    </w:tbl>
    <w:p w:rsidR="00A1463E" w:rsidRDefault="00A1463E">
      <w:pPr>
        <w:pStyle w:val="BodyText"/>
        <w:spacing w:before="6"/>
        <w:rPr>
          <w:sz w:val="21"/>
        </w:rPr>
      </w:pPr>
    </w:p>
    <w:p w:rsidR="00A1463E" w:rsidRDefault="00F52429">
      <w:pPr>
        <w:spacing w:before="1"/>
        <w:ind w:left="680"/>
        <w:rPr>
          <w:i/>
          <w:sz w:val="24"/>
        </w:rPr>
      </w:pPr>
      <w:r>
        <w:rPr>
          <w:i/>
          <w:sz w:val="24"/>
        </w:rPr>
        <w:t>Source Data: 2017-2018 MOIR Data</w:t>
      </w:r>
    </w:p>
    <w:p w:rsidR="00A1463E" w:rsidRDefault="00F52429" w:rsidP="00A47797">
      <w:pPr>
        <w:pStyle w:val="BodyText"/>
        <w:ind w:left="709"/>
      </w:pPr>
      <w:r>
        <w:t>Notes:</w:t>
      </w:r>
    </w:p>
    <w:p w:rsidR="00A1463E" w:rsidRDefault="00F52429">
      <w:pPr>
        <w:pStyle w:val="BodyText"/>
        <w:spacing w:before="2" w:line="235" w:lineRule="auto"/>
        <w:ind w:left="680"/>
      </w:pPr>
      <w:r>
        <w:t>Part-time</w:t>
      </w:r>
      <w:r>
        <w:rPr>
          <w:spacing w:val="-6"/>
        </w:rPr>
        <w:t xml:space="preserve"> </w:t>
      </w:r>
      <w:r>
        <w:t>=</w:t>
      </w:r>
      <w:r>
        <w:rPr>
          <w:spacing w:val="-6"/>
        </w:rPr>
        <w:t xml:space="preserve"> </w:t>
      </w:r>
      <w:r>
        <w:t>hours</w:t>
      </w:r>
      <w:r>
        <w:rPr>
          <w:spacing w:val="-6"/>
        </w:rPr>
        <w:t xml:space="preserve"> </w:t>
      </w:r>
      <w:r>
        <w:t>less</w:t>
      </w:r>
      <w:r>
        <w:rPr>
          <w:spacing w:val="-6"/>
        </w:rPr>
        <w:t xml:space="preserve"> </w:t>
      </w:r>
      <w:r>
        <w:t>than</w:t>
      </w:r>
      <w:r>
        <w:rPr>
          <w:spacing w:val="-6"/>
        </w:rPr>
        <w:t xml:space="preserve"> </w:t>
      </w:r>
      <w:r>
        <w:t>normal</w:t>
      </w:r>
      <w:r>
        <w:rPr>
          <w:spacing w:val="-6"/>
        </w:rPr>
        <w:t xml:space="preserve"> </w:t>
      </w:r>
      <w:r>
        <w:t>hours</w:t>
      </w:r>
      <w:r>
        <w:rPr>
          <w:spacing w:val="-6"/>
        </w:rPr>
        <w:t xml:space="preserve"> </w:t>
      </w:r>
      <w:r>
        <w:t>of</w:t>
      </w:r>
      <w:r>
        <w:rPr>
          <w:spacing w:val="-6"/>
        </w:rPr>
        <w:t xml:space="preserve"> </w:t>
      </w:r>
      <w:r>
        <w:t>37.5 per</w:t>
      </w:r>
      <w:r>
        <w:rPr>
          <w:spacing w:val="-2"/>
        </w:rPr>
        <w:t xml:space="preserve"> </w:t>
      </w:r>
      <w:r>
        <w:t>week.</w:t>
      </w:r>
    </w:p>
    <w:p w:rsidR="00A1463E" w:rsidRDefault="00F52429">
      <w:pPr>
        <w:pStyle w:val="BodyText"/>
        <w:rPr>
          <w:sz w:val="32"/>
        </w:rPr>
      </w:pPr>
      <w:r>
        <w:br w:type="column"/>
      </w:r>
    </w:p>
    <w:p w:rsidR="00A1463E" w:rsidRDefault="00A1463E">
      <w:pPr>
        <w:pStyle w:val="BodyText"/>
        <w:spacing w:before="11"/>
      </w:pPr>
    </w:p>
    <w:p w:rsidR="00A1463E" w:rsidRDefault="00F52429">
      <w:pPr>
        <w:pStyle w:val="Heading2"/>
        <w:spacing w:before="0"/>
        <w:ind w:left="637"/>
      </w:pPr>
      <w:r>
        <w:rPr>
          <w:color w:val="353434"/>
        </w:rPr>
        <w:t>Workers Compensation</w:t>
      </w:r>
    </w:p>
    <w:p w:rsidR="00A1463E" w:rsidRDefault="00F52429">
      <w:pPr>
        <w:pStyle w:val="BodyText"/>
        <w:spacing w:before="35" w:line="235" w:lineRule="auto"/>
        <w:ind w:left="637" w:right="1"/>
        <w:jc w:val="both"/>
      </w:pPr>
      <w:r>
        <w:t>In accordance with Treasurer’s Instruction 903 (13iiic), the Office of the GCIO had the following workers’ compensation disclosures.</w:t>
      </w:r>
    </w:p>
    <w:p w:rsidR="00A1463E" w:rsidRDefault="00A1463E">
      <w:pPr>
        <w:pStyle w:val="BodyText"/>
        <w:spacing w:before="6"/>
        <w:rPr>
          <w:sz w:val="15"/>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1077"/>
        <w:gridCol w:w="1077"/>
      </w:tblGrid>
      <w:tr w:rsidR="00A1463E" w:rsidRPr="007B2AB2" w:rsidTr="00D40680">
        <w:trPr>
          <w:trHeight w:val="332"/>
        </w:trPr>
        <w:tc>
          <w:tcPr>
            <w:tcW w:w="2551" w:type="dxa"/>
          </w:tcPr>
          <w:p w:rsidR="00A1463E" w:rsidRPr="007B2AB2" w:rsidRDefault="00D26A3D" w:rsidP="00D26A3D">
            <w:pPr>
              <w:pStyle w:val="BodyText"/>
              <w:spacing w:before="35" w:line="235" w:lineRule="auto"/>
              <w:ind w:left="73" w:right="1"/>
              <w:jc w:val="both"/>
              <w:rPr>
                <w:rFonts w:ascii="Times New Roman"/>
              </w:rPr>
            </w:pPr>
            <w:r w:rsidRPr="007B2AB2">
              <w:t>Disclosure</w:t>
            </w:r>
          </w:p>
        </w:tc>
        <w:tc>
          <w:tcPr>
            <w:tcW w:w="1077" w:type="dxa"/>
            <w:shd w:val="clear" w:color="auto" w:fill="auto"/>
          </w:tcPr>
          <w:p w:rsidR="00A1463E" w:rsidRPr="007B2AB2" w:rsidRDefault="00F52429">
            <w:pPr>
              <w:pStyle w:val="TableParagraph"/>
              <w:spacing w:before="31" w:line="281" w:lineRule="exact"/>
              <w:ind w:right="77"/>
              <w:jc w:val="right"/>
              <w:rPr>
                <w:sz w:val="24"/>
              </w:rPr>
            </w:pPr>
            <w:r w:rsidRPr="007B2AB2">
              <w:rPr>
                <w:sz w:val="24"/>
              </w:rPr>
              <w:t>2017-18</w:t>
            </w:r>
          </w:p>
        </w:tc>
        <w:tc>
          <w:tcPr>
            <w:tcW w:w="1077" w:type="dxa"/>
          </w:tcPr>
          <w:p w:rsidR="00A1463E" w:rsidRPr="007B2AB2" w:rsidRDefault="00F52429">
            <w:pPr>
              <w:pStyle w:val="TableParagraph"/>
              <w:spacing w:before="31" w:line="281" w:lineRule="exact"/>
              <w:ind w:right="77"/>
              <w:jc w:val="right"/>
              <w:rPr>
                <w:sz w:val="24"/>
              </w:rPr>
            </w:pPr>
            <w:r w:rsidRPr="007B2AB2">
              <w:rPr>
                <w:sz w:val="24"/>
              </w:rPr>
              <w:t>2016-17</w:t>
            </w:r>
          </w:p>
        </w:tc>
      </w:tr>
      <w:tr w:rsidR="00A1463E" w:rsidRPr="007B2AB2" w:rsidTr="00D40680">
        <w:trPr>
          <w:trHeight w:val="650"/>
        </w:trPr>
        <w:tc>
          <w:tcPr>
            <w:tcW w:w="2551" w:type="dxa"/>
          </w:tcPr>
          <w:p w:rsidR="00A1463E" w:rsidRPr="007B2AB2" w:rsidRDefault="00F52429">
            <w:pPr>
              <w:pStyle w:val="TableParagraph"/>
              <w:spacing w:before="28" w:line="235" w:lineRule="auto"/>
              <w:ind w:left="80"/>
              <w:rPr>
                <w:sz w:val="24"/>
              </w:rPr>
            </w:pPr>
            <w:r w:rsidRPr="007B2AB2">
              <w:rPr>
                <w:sz w:val="24"/>
              </w:rPr>
              <w:t>Workers’ compensation claims</w:t>
            </w:r>
          </w:p>
        </w:tc>
        <w:tc>
          <w:tcPr>
            <w:tcW w:w="1077" w:type="dxa"/>
            <w:shd w:val="clear" w:color="auto" w:fill="auto"/>
          </w:tcPr>
          <w:p w:rsidR="00A1463E" w:rsidRPr="007B2AB2" w:rsidRDefault="00F52429">
            <w:pPr>
              <w:pStyle w:val="TableParagraph"/>
              <w:spacing w:before="24"/>
              <w:ind w:right="77"/>
              <w:jc w:val="right"/>
              <w:rPr>
                <w:sz w:val="24"/>
              </w:rPr>
            </w:pPr>
            <w:r w:rsidRPr="007B2AB2">
              <w:rPr>
                <w:sz w:val="24"/>
              </w:rPr>
              <w:t>1</w:t>
            </w:r>
          </w:p>
        </w:tc>
        <w:tc>
          <w:tcPr>
            <w:tcW w:w="1077" w:type="dxa"/>
          </w:tcPr>
          <w:p w:rsidR="00A1463E" w:rsidRPr="007B2AB2" w:rsidRDefault="00F52429">
            <w:pPr>
              <w:pStyle w:val="TableParagraph"/>
              <w:spacing w:before="24"/>
              <w:ind w:right="77"/>
              <w:jc w:val="right"/>
              <w:rPr>
                <w:sz w:val="24"/>
              </w:rPr>
            </w:pPr>
            <w:r w:rsidRPr="007B2AB2">
              <w:rPr>
                <w:sz w:val="24"/>
              </w:rPr>
              <w:t>0</w:t>
            </w:r>
          </w:p>
        </w:tc>
      </w:tr>
      <w:tr w:rsidR="00A1463E" w:rsidRPr="007B2AB2" w:rsidTr="00D40680">
        <w:trPr>
          <w:trHeight w:val="309"/>
        </w:trPr>
        <w:tc>
          <w:tcPr>
            <w:tcW w:w="2551" w:type="dxa"/>
          </w:tcPr>
          <w:p w:rsidR="00A1463E" w:rsidRPr="007B2AB2" w:rsidRDefault="00F52429">
            <w:pPr>
              <w:pStyle w:val="TableParagraph"/>
              <w:spacing w:before="1" w:line="288" w:lineRule="exact"/>
              <w:ind w:left="79"/>
              <w:rPr>
                <w:sz w:val="24"/>
              </w:rPr>
            </w:pPr>
            <w:r w:rsidRPr="007B2AB2">
              <w:rPr>
                <w:sz w:val="24"/>
              </w:rPr>
              <w:t>Lost time injuries</w:t>
            </w:r>
          </w:p>
        </w:tc>
        <w:tc>
          <w:tcPr>
            <w:tcW w:w="1077" w:type="dxa"/>
            <w:shd w:val="clear" w:color="auto" w:fill="auto"/>
          </w:tcPr>
          <w:p w:rsidR="00A1463E" w:rsidRPr="007B2AB2" w:rsidRDefault="00F52429">
            <w:pPr>
              <w:pStyle w:val="TableParagraph"/>
              <w:spacing w:before="1" w:line="288" w:lineRule="exact"/>
              <w:ind w:right="77"/>
              <w:jc w:val="right"/>
              <w:rPr>
                <w:sz w:val="24"/>
              </w:rPr>
            </w:pPr>
            <w:r w:rsidRPr="007B2AB2">
              <w:rPr>
                <w:sz w:val="24"/>
              </w:rPr>
              <w:t>1</w:t>
            </w:r>
          </w:p>
        </w:tc>
        <w:tc>
          <w:tcPr>
            <w:tcW w:w="1077" w:type="dxa"/>
          </w:tcPr>
          <w:p w:rsidR="00A1463E" w:rsidRPr="007B2AB2" w:rsidRDefault="00F52429">
            <w:pPr>
              <w:pStyle w:val="TableParagraph"/>
              <w:spacing w:before="1" w:line="288" w:lineRule="exact"/>
              <w:ind w:right="77"/>
              <w:jc w:val="right"/>
              <w:rPr>
                <w:sz w:val="24"/>
              </w:rPr>
            </w:pPr>
            <w:r w:rsidRPr="007B2AB2">
              <w:rPr>
                <w:sz w:val="24"/>
              </w:rPr>
              <w:t>0</w:t>
            </w:r>
          </w:p>
        </w:tc>
      </w:tr>
    </w:tbl>
    <w:p w:rsidR="00A1463E" w:rsidRDefault="00F52429">
      <w:pPr>
        <w:pStyle w:val="Heading2"/>
        <w:spacing w:before="145"/>
        <w:ind w:left="637"/>
      </w:pPr>
      <w:r>
        <w:rPr>
          <w:color w:val="353434"/>
        </w:rPr>
        <w:t>Industrial Relations</w:t>
      </w:r>
    </w:p>
    <w:p w:rsidR="00A1463E" w:rsidRDefault="00F52429">
      <w:pPr>
        <w:pStyle w:val="BodyText"/>
        <w:spacing w:before="35" w:line="235" w:lineRule="auto"/>
        <w:ind w:left="637"/>
        <w:jc w:val="both"/>
      </w:pPr>
      <w:r>
        <w:t>Staff at the Office of the GCIO are employed under the conditions of the Public Service Award 1992 and Public Service and Government Officers CSA General Agreement 2017. As a sub- department of the Department of Finance, the Office of the GCIO is also covered by an Agency Specific</w:t>
      </w:r>
      <w:r>
        <w:rPr>
          <w:spacing w:val="-21"/>
        </w:rPr>
        <w:t xml:space="preserve"> </w:t>
      </w:r>
      <w:r>
        <w:t>Agreement</w:t>
      </w:r>
      <w:r>
        <w:rPr>
          <w:spacing w:val="-21"/>
        </w:rPr>
        <w:t xml:space="preserve"> </w:t>
      </w:r>
      <w:r>
        <w:t>with</w:t>
      </w:r>
      <w:r>
        <w:rPr>
          <w:spacing w:val="-20"/>
        </w:rPr>
        <w:t xml:space="preserve"> </w:t>
      </w:r>
      <w:r>
        <w:t>provisions</w:t>
      </w:r>
      <w:r>
        <w:rPr>
          <w:spacing w:val="-20"/>
        </w:rPr>
        <w:t xml:space="preserve"> </w:t>
      </w:r>
      <w:r>
        <w:rPr>
          <w:spacing w:val="-3"/>
        </w:rPr>
        <w:t>for</w:t>
      </w:r>
      <w:r>
        <w:rPr>
          <w:spacing w:val="-21"/>
        </w:rPr>
        <w:t xml:space="preserve"> </w:t>
      </w:r>
      <w:r>
        <w:t>a</w:t>
      </w:r>
      <w:r>
        <w:rPr>
          <w:spacing w:val="-21"/>
        </w:rPr>
        <w:t xml:space="preserve"> </w:t>
      </w:r>
      <w:r>
        <w:t xml:space="preserve">wellness program, motor vehicle allowance </w:t>
      </w:r>
      <w:r>
        <w:rPr>
          <w:spacing w:val="-3"/>
        </w:rPr>
        <w:t xml:space="preserve">for </w:t>
      </w:r>
      <w:r>
        <w:t>business use and flexible working</w:t>
      </w:r>
      <w:r>
        <w:rPr>
          <w:spacing w:val="-10"/>
        </w:rPr>
        <w:t xml:space="preserve"> </w:t>
      </w:r>
      <w:r>
        <w:t>arrangements.</w:t>
      </w:r>
    </w:p>
    <w:p w:rsidR="00A1463E" w:rsidRDefault="00A1463E">
      <w:pPr>
        <w:pStyle w:val="BodyText"/>
        <w:spacing w:before="6"/>
        <w:rPr>
          <w:sz w:val="23"/>
        </w:rPr>
      </w:pPr>
    </w:p>
    <w:p w:rsidR="00A1463E" w:rsidRDefault="00F52429">
      <w:pPr>
        <w:pStyle w:val="Heading2"/>
        <w:spacing w:before="0"/>
        <w:ind w:left="637"/>
      </w:pPr>
      <w:r>
        <w:rPr>
          <w:color w:val="353434"/>
        </w:rPr>
        <w:t>Staff Development</w:t>
      </w:r>
    </w:p>
    <w:p w:rsidR="00A1463E" w:rsidRDefault="00F52429">
      <w:pPr>
        <w:pStyle w:val="BodyText"/>
        <w:spacing w:before="35" w:line="235" w:lineRule="auto"/>
        <w:ind w:left="637"/>
        <w:jc w:val="both"/>
      </w:pPr>
      <w:r>
        <w:t>The Office of the GCIO works closely with the Department</w:t>
      </w:r>
      <w:r>
        <w:rPr>
          <w:spacing w:val="-25"/>
        </w:rPr>
        <w:t xml:space="preserve"> </w:t>
      </w:r>
      <w:r>
        <w:t>of</w:t>
      </w:r>
      <w:r>
        <w:rPr>
          <w:spacing w:val="-25"/>
        </w:rPr>
        <w:t xml:space="preserve"> </w:t>
      </w:r>
      <w:r>
        <w:t>Finance</w:t>
      </w:r>
      <w:r>
        <w:rPr>
          <w:spacing w:val="-25"/>
        </w:rPr>
        <w:t xml:space="preserve"> </w:t>
      </w:r>
      <w:r>
        <w:t>in</w:t>
      </w:r>
      <w:r>
        <w:rPr>
          <w:spacing w:val="-25"/>
        </w:rPr>
        <w:t xml:space="preserve"> </w:t>
      </w:r>
      <w:r>
        <w:t>the</w:t>
      </w:r>
      <w:r>
        <w:rPr>
          <w:spacing w:val="-25"/>
        </w:rPr>
        <w:t xml:space="preserve"> </w:t>
      </w:r>
      <w:r>
        <w:t>area</w:t>
      </w:r>
      <w:r>
        <w:rPr>
          <w:spacing w:val="-25"/>
        </w:rPr>
        <w:t xml:space="preserve"> </w:t>
      </w:r>
      <w:r>
        <w:t>of</w:t>
      </w:r>
      <w:r>
        <w:rPr>
          <w:spacing w:val="-25"/>
        </w:rPr>
        <w:t xml:space="preserve"> </w:t>
      </w:r>
      <w:r>
        <w:t>professional development. Since its commencement the priority has been to recruit and maintain a high performing workforce. Continuing development is supported through the Performance and Development</w:t>
      </w:r>
      <w:r>
        <w:rPr>
          <w:spacing w:val="-1"/>
        </w:rPr>
        <w:t xml:space="preserve"> </w:t>
      </w:r>
      <w:r>
        <w:t>Program.</w:t>
      </w:r>
    </w:p>
    <w:p w:rsidR="00A1463E" w:rsidRDefault="00F52429">
      <w:pPr>
        <w:pStyle w:val="BodyText"/>
        <w:rPr>
          <w:sz w:val="36"/>
        </w:rPr>
      </w:pPr>
      <w:r>
        <w:br w:type="column"/>
      </w:r>
    </w:p>
    <w:p w:rsidR="00A1463E" w:rsidRDefault="00F52429">
      <w:pPr>
        <w:pStyle w:val="Heading1"/>
        <w:spacing w:before="248"/>
        <w:ind w:left="637"/>
        <w:jc w:val="both"/>
      </w:pPr>
      <w:r>
        <w:rPr>
          <w:color w:val="353434"/>
        </w:rPr>
        <w:t>Governance disclosures</w:t>
      </w:r>
    </w:p>
    <w:p w:rsidR="00A1463E" w:rsidRDefault="00F52429">
      <w:pPr>
        <w:pStyle w:val="BodyText"/>
        <w:spacing w:before="24" w:line="235" w:lineRule="auto"/>
        <w:ind w:left="637" w:right="676"/>
        <w:jc w:val="both"/>
      </w:pPr>
      <w:r>
        <w:t>The</w:t>
      </w:r>
      <w:r>
        <w:rPr>
          <w:spacing w:val="-6"/>
        </w:rPr>
        <w:t xml:space="preserve"> </w:t>
      </w:r>
      <w:r>
        <w:t>Office</w:t>
      </w:r>
      <w:r>
        <w:rPr>
          <w:spacing w:val="-6"/>
        </w:rPr>
        <w:t xml:space="preserve"> </w:t>
      </w:r>
      <w:r>
        <w:t>of</w:t>
      </w:r>
      <w:r>
        <w:rPr>
          <w:spacing w:val="-6"/>
        </w:rPr>
        <w:t xml:space="preserve"> </w:t>
      </w:r>
      <w:r>
        <w:t>the</w:t>
      </w:r>
      <w:r>
        <w:rPr>
          <w:spacing w:val="-6"/>
        </w:rPr>
        <w:t xml:space="preserve"> </w:t>
      </w:r>
      <w:r>
        <w:t>GCIO</w:t>
      </w:r>
      <w:r>
        <w:rPr>
          <w:spacing w:val="-6"/>
        </w:rPr>
        <w:t xml:space="preserve"> </w:t>
      </w:r>
      <w:r>
        <w:t>is</w:t>
      </w:r>
      <w:r>
        <w:rPr>
          <w:spacing w:val="-6"/>
        </w:rPr>
        <w:t xml:space="preserve"> </w:t>
      </w:r>
      <w:r>
        <w:t>part</w:t>
      </w:r>
      <w:r>
        <w:rPr>
          <w:spacing w:val="-6"/>
        </w:rPr>
        <w:t xml:space="preserve"> </w:t>
      </w:r>
      <w:r>
        <w:t>of</w:t>
      </w:r>
      <w:r>
        <w:rPr>
          <w:spacing w:val="-6"/>
        </w:rPr>
        <w:t xml:space="preserve"> </w:t>
      </w:r>
      <w:r>
        <w:t>the</w:t>
      </w:r>
      <w:r>
        <w:rPr>
          <w:spacing w:val="-6"/>
        </w:rPr>
        <w:t xml:space="preserve"> </w:t>
      </w:r>
      <w:r>
        <w:t xml:space="preserve">Department of </w:t>
      </w:r>
      <w:r>
        <w:rPr>
          <w:spacing w:val="-3"/>
        </w:rPr>
        <w:t xml:space="preserve">Finance’s </w:t>
      </w:r>
      <w:r>
        <w:t xml:space="preserve">Governance environment in terms of both the </w:t>
      </w:r>
      <w:r w:rsidR="0096717E">
        <w:t>delegation framework and many</w:t>
      </w:r>
      <w:r>
        <w:t xml:space="preserve"> of the internal committees. Rather than create duplicate</w:t>
      </w:r>
      <w:r>
        <w:rPr>
          <w:spacing w:val="-13"/>
        </w:rPr>
        <w:t xml:space="preserve"> </w:t>
      </w:r>
      <w:r>
        <w:t>committees,</w:t>
      </w:r>
      <w:r>
        <w:rPr>
          <w:spacing w:val="-13"/>
        </w:rPr>
        <w:t xml:space="preserve"> </w:t>
      </w:r>
      <w:r>
        <w:t>the</w:t>
      </w:r>
      <w:r>
        <w:rPr>
          <w:spacing w:val="-13"/>
        </w:rPr>
        <w:t xml:space="preserve"> </w:t>
      </w:r>
      <w:r>
        <w:t>Office</w:t>
      </w:r>
      <w:r>
        <w:rPr>
          <w:spacing w:val="-13"/>
        </w:rPr>
        <w:t xml:space="preserve"> </w:t>
      </w:r>
      <w:r>
        <w:t>of</w:t>
      </w:r>
      <w:r>
        <w:rPr>
          <w:spacing w:val="-13"/>
        </w:rPr>
        <w:t xml:space="preserve"> </w:t>
      </w:r>
      <w:r>
        <w:t>the</w:t>
      </w:r>
      <w:r>
        <w:rPr>
          <w:spacing w:val="-13"/>
        </w:rPr>
        <w:t xml:space="preserve"> </w:t>
      </w:r>
      <w:r>
        <w:t>GCIO</w:t>
      </w:r>
      <w:r>
        <w:rPr>
          <w:spacing w:val="-13"/>
        </w:rPr>
        <w:t xml:space="preserve"> </w:t>
      </w:r>
      <w:r>
        <w:t xml:space="preserve">has </w:t>
      </w:r>
      <w:proofErr w:type="spellStart"/>
      <w:r>
        <w:t>minimised</w:t>
      </w:r>
      <w:proofErr w:type="spellEnd"/>
      <w:r>
        <w:t xml:space="preserve"> cost through </w:t>
      </w:r>
      <w:proofErr w:type="spellStart"/>
      <w:r>
        <w:t>utilising</w:t>
      </w:r>
      <w:proofErr w:type="spellEnd"/>
      <w:r>
        <w:t xml:space="preserve"> as much of the Department’s framework as</w:t>
      </w:r>
      <w:r>
        <w:rPr>
          <w:spacing w:val="-9"/>
        </w:rPr>
        <w:t xml:space="preserve"> </w:t>
      </w:r>
      <w:r>
        <w:t>possible.</w:t>
      </w:r>
    </w:p>
    <w:p w:rsidR="00A1463E" w:rsidRDefault="00F52429">
      <w:pPr>
        <w:pStyle w:val="BodyText"/>
        <w:spacing w:before="176" w:line="235" w:lineRule="auto"/>
        <w:ind w:left="637" w:right="677"/>
        <w:jc w:val="both"/>
      </w:pPr>
      <w:r>
        <w:t>The Office of the GCIO has its own Corporate Executive and also operates a sub-committee focused on Financial Management.</w:t>
      </w:r>
    </w:p>
    <w:p w:rsidR="00A1463E" w:rsidRDefault="00F52429">
      <w:pPr>
        <w:pStyle w:val="BodyText"/>
        <w:spacing w:before="173" w:line="235" w:lineRule="auto"/>
        <w:ind w:left="637" w:right="678"/>
        <w:jc w:val="both"/>
      </w:pPr>
      <w:r>
        <w:t>The</w:t>
      </w:r>
      <w:r>
        <w:rPr>
          <w:spacing w:val="-27"/>
        </w:rPr>
        <w:t xml:space="preserve"> </w:t>
      </w:r>
      <w:r>
        <w:t>Office</w:t>
      </w:r>
      <w:r>
        <w:rPr>
          <w:spacing w:val="-27"/>
        </w:rPr>
        <w:t xml:space="preserve"> </w:t>
      </w:r>
      <w:r>
        <w:t>of</w:t>
      </w:r>
      <w:r>
        <w:rPr>
          <w:spacing w:val="-27"/>
        </w:rPr>
        <w:t xml:space="preserve"> </w:t>
      </w:r>
      <w:r>
        <w:t>the</w:t>
      </w:r>
      <w:r>
        <w:rPr>
          <w:spacing w:val="-27"/>
        </w:rPr>
        <w:t xml:space="preserve"> </w:t>
      </w:r>
      <w:r>
        <w:t>GCIO</w:t>
      </w:r>
      <w:r>
        <w:rPr>
          <w:spacing w:val="-27"/>
        </w:rPr>
        <w:t xml:space="preserve"> </w:t>
      </w:r>
      <w:r>
        <w:t>Corporate</w:t>
      </w:r>
      <w:r>
        <w:rPr>
          <w:spacing w:val="-27"/>
        </w:rPr>
        <w:t xml:space="preserve"> </w:t>
      </w:r>
      <w:r>
        <w:t>Executive</w:t>
      </w:r>
      <w:r>
        <w:rPr>
          <w:spacing w:val="-27"/>
        </w:rPr>
        <w:t xml:space="preserve"> </w:t>
      </w:r>
      <w:r>
        <w:t>meets weekly and includes the Government Chief Information Officer and Executive</w:t>
      </w:r>
      <w:r>
        <w:rPr>
          <w:spacing w:val="-23"/>
        </w:rPr>
        <w:t xml:space="preserve"> </w:t>
      </w:r>
      <w:r>
        <w:t>Directors.</w:t>
      </w:r>
    </w:p>
    <w:p w:rsidR="00A1463E" w:rsidRDefault="00F52429">
      <w:pPr>
        <w:pStyle w:val="BodyText"/>
        <w:spacing w:before="173" w:line="235" w:lineRule="auto"/>
        <w:ind w:left="637" w:right="676"/>
        <w:jc w:val="both"/>
      </w:pPr>
      <w:r>
        <w:t xml:space="preserve">The Financial Management sub-committee meets monthly and membership includes the Government Chief Information </w:t>
      </w:r>
      <w:r>
        <w:rPr>
          <w:spacing w:val="-4"/>
        </w:rPr>
        <w:t xml:space="preserve">officer, </w:t>
      </w:r>
      <w:r>
        <w:t>Executive Director Policy and Governance and the Chief Finance Officer of the Department of Finance.</w:t>
      </w:r>
    </w:p>
    <w:p w:rsidR="00A1463E" w:rsidRDefault="00F52429">
      <w:pPr>
        <w:pStyle w:val="Heading2"/>
        <w:spacing w:before="165"/>
        <w:ind w:left="637"/>
        <w:jc w:val="both"/>
      </w:pPr>
      <w:r>
        <w:rPr>
          <w:color w:val="353434"/>
        </w:rPr>
        <w:t>Senior officers</w:t>
      </w:r>
    </w:p>
    <w:p w:rsidR="00A1463E" w:rsidRDefault="00F52429">
      <w:pPr>
        <w:pStyle w:val="BodyText"/>
        <w:spacing w:before="35" w:line="235" w:lineRule="auto"/>
        <w:ind w:left="637" w:right="678"/>
        <w:jc w:val="both"/>
      </w:pPr>
      <w:r>
        <w:t xml:space="preserve">As at the date of reporting, no senior officers, firms of which senior officers are members, or entities in which senior officers </w:t>
      </w:r>
      <w:r>
        <w:rPr>
          <w:spacing w:val="-3"/>
        </w:rPr>
        <w:t xml:space="preserve">have </w:t>
      </w:r>
      <w:r>
        <w:t>substantial interests, had any interests in existing or proposed contracts with the sub-</w:t>
      </w:r>
      <w:r w:rsidR="0096717E">
        <w:t>department or</w:t>
      </w:r>
      <w:r>
        <w:t xml:space="preserve"> the Office of the GCIO other than normal contracts of employment of</w:t>
      </w:r>
      <w:r>
        <w:rPr>
          <w:spacing w:val="-6"/>
        </w:rPr>
        <w:t xml:space="preserve"> </w:t>
      </w:r>
      <w:r>
        <w:t>service.</w:t>
      </w:r>
    </w:p>
    <w:p w:rsidR="00A1463E" w:rsidRDefault="00F52429">
      <w:pPr>
        <w:pStyle w:val="Heading2"/>
        <w:spacing w:before="168"/>
        <w:ind w:left="637"/>
        <w:jc w:val="both"/>
      </w:pPr>
      <w:r>
        <w:rPr>
          <w:color w:val="353434"/>
        </w:rPr>
        <w:t>Board and committee remuneration</w:t>
      </w:r>
    </w:p>
    <w:p w:rsidR="00A1463E" w:rsidRDefault="00F52429">
      <w:pPr>
        <w:pStyle w:val="BodyText"/>
        <w:spacing w:before="30"/>
        <w:ind w:left="637"/>
        <w:jc w:val="both"/>
      </w:pPr>
      <w:r>
        <w:t>Nil</w:t>
      </w:r>
    </w:p>
    <w:p w:rsidR="00A1463E" w:rsidRDefault="00A1463E">
      <w:pPr>
        <w:jc w:val="both"/>
        <w:sectPr w:rsidR="00A1463E">
          <w:type w:val="continuous"/>
          <w:pgSz w:w="16840" w:h="11910" w:orient="landscape"/>
          <w:pgMar w:top="560" w:right="0" w:bottom="0" w:left="0" w:header="720" w:footer="720" w:gutter="0"/>
          <w:cols w:num="3" w:space="720" w:equalWidth="0">
            <w:col w:w="5389" w:space="40"/>
            <w:col w:w="5346" w:space="39"/>
            <w:col w:w="6026"/>
          </w:cols>
        </w:sectPr>
      </w:pPr>
    </w:p>
    <w:p w:rsidR="00A1463E" w:rsidRDefault="00A1463E">
      <w:pPr>
        <w:pStyle w:val="BodyText"/>
        <w:spacing w:before="2"/>
        <w:rPr>
          <w:sz w:val="8"/>
        </w:rPr>
      </w:pPr>
      <w:bookmarkStart w:id="66" w:name="Other_legal_requirements"/>
      <w:bookmarkStart w:id="67" w:name="_bookmark50"/>
      <w:bookmarkEnd w:id="66"/>
      <w:bookmarkEnd w:id="67"/>
    </w:p>
    <w:p w:rsidR="00A1463E" w:rsidRDefault="00A1463E">
      <w:pPr>
        <w:rPr>
          <w:sz w:val="8"/>
        </w:rPr>
        <w:sectPr w:rsidR="00A1463E">
          <w:pgSz w:w="16840" w:h="11910" w:orient="landscape"/>
          <w:pgMar w:top="220" w:right="0" w:bottom="360" w:left="0" w:header="29" w:footer="145" w:gutter="0"/>
          <w:cols w:space="720"/>
        </w:sectPr>
      </w:pPr>
    </w:p>
    <w:p w:rsidR="00A1463E" w:rsidRDefault="00F52429">
      <w:pPr>
        <w:pStyle w:val="Heading2"/>
        <w:ind w:left="659"/>
      </w:pPr>
      <w:r>
        <w:rPr>
          <w:color w:val="353434"/>
        </w:rPr>
        <w:t>DISCLOSURES</w:t>
      </w:r>
    </w:p>
    <w:p w:rsidR="00A1463E" w:rsidRDefault="00F52429">
      <w:pPr>
        <w:spacing w:before="267" w:line="235" w:lineRule="auto"/>
        <w:ind w:left="683" w:right="112"/>
        <w:rPr>
          <w:sz w:val="32"/>
        </w:rPr>
      </w:pPr>
      <w:r>
        <w:rPr>
          <w:color w:val="353434"/>
          <w:sz w:val="36"/>
        </w:rPr>
        <w:t xml:space="preserve">Other legal requirements </w:t>
      </w:r>
      <w:r>
        <w:rPr>
          <w:color w:val="353434"/>
          <w:sz w:val="32"/>
        </w:rPr>
        <w:t>Expenditure on advertising, market research, polling and direct mail</w:t>
      </w:r>
    </w:p>
    <w:p w:rsidR="00A1463E" w:rsidRDefault="00F52429" w:rsidP="001154F2">
      <w:pPr>
        <w:pStyle w:val="BodyText"/>
        <w:spacing w:before="37" w:line="235" w:lineRule="auto"/>
        <w:ind w:left="683" w:right="1"/>
        <w:jc w:val="both"/>
      </w:pPr>
      <w:r>
        <w:t>In</w:t>
      </w:r>
      <w:r>
        <w:rPr>
          <w:spacing w:val="-16"/>
        </w:rPr>
        <w:t xml:space="preserve"> </w:t>
      </w:r>
      <w:r>
        <w:t>accordance</w:t>
      </w:r>
      <w:r>
        <w:rPr>
          <w:spacing w:val="-16"/>
        </w:rPr>
        <w:t xml:space="preserve"> </w:t>
      </w:r>
      <w:r>
        <w:t>with</w:t>
      </w:r>
      <w:r>
        <w:rPr>
          <w:spacing w:val="-16"/>
        </w:rPr>
        <w:t xml:space="preserve"> </w:t>
      </w:r>
      <w:r>
        <w:t>section</w:t>
      </w:r>
      <w:r>
        <w:rPr>
          <w:spacing w:val="-16"/>
        </w:rPr>
        <w:t xml:space="preserve"> </w:t>
      </w:r>
      <w:r>
        <w:t>175ZE</w:t>
      </w:r>
      <w:r>
        <w:rPr>
          <w:spacing w:val="-16"/>
        </w:rPr>
        <w:t xml:space="preserve"> </w:t>
      </w:r>
      <w:r>
        <w:t>of</w:t>
      </w:r>
      <w:r>
        <w:rPr>
          <w:spacing w:val="-16"/>
        </w:rPr>
        <w:t xml:space="preserve"> </w:t>
      </w:r>
      <w:r>
        <w:t>the</w:t>
      </w:r>
      <w:r>
        <w:rPr>
          <w:spacing w:val="-16"/>
        </w:rPr>
        <w:t xml:space="preserve"> </w:t>
      </w:r>
      <w:r>
        <w:t>Electoral Act 1907, the Office of the GCIO incurred $374 expenditure during the</w:t>
      </w:r>
      <w:r>
        <w:rPr>
          <w:spacing w:val="-3"/>
        </w:rPr>
        <w:t xml:space="preserve"> </w:t>
      </w:r>
      <w:r>
        <w:rPr>
          <w:spacing w:val="-6"/>
        </w:rPr>
        <w:t>year.</w:t>
      </w:r>
      <w:r w:rsidR="001154F2">
        <w:t xml:space="preserve"> </w:t>
      </w:r>
    </w:p>
    <w:tbl>
      <w:tblPr>
        <w:tblStyle w:val="TableGrid"/>
        <w:tblW w:w="0" w:type="auto"/>
        <w:tblInd w:w="683" w:type="dxa"/>
        <w:tblLook w:val="04A0" w:firstRow="1" w:lastRow="0" w:firstColumn="1" w:lastColumn="0" w:noHBand="0" w:noVBand="1"/>
        <w:tblCaption w:val="Advertising expenditure table"/>
        <w:tblDescription w:val="Table outlining expenditure on advertising, market research, polling and direct mail"/>
      </w:tblPr>
      <w:tblGrid>
        <w:gridCol w:w="2359"/>
        <w:gridCol w:w="2342"/>
      </w:tblGrid>
      <w:tr w:rsidR="003A4B19" w:rsidTr="003A4B19">
        <w:trPr>
          <w:tblHeader/>
        </w:trPr>
        <w:tc>
          <w:tcPr>
            <w:tcW w:w="2561" w:type="dxa"/>
            <w:vAlign w:val="bottom"/>
          </w:tcPr>
          <w:p w:rsidR="003A4B19" w:rsidRPr="003A4B19" w:rsidRDefault="003A4B19" w:rsidP="003A4B19">
            <w:pPr>
              <w:pStyle w:val="BodyText"/>
              <w:rPr>
                <w:b/>
              </w:rPr>
            </w:pPr>
            <w:proofErr w:type="spellStart"/>
            <w:r w:rsidRPr="003A4B19">
              <w:rPr>
                <w:b/>
              </w:rPr>
              <w:t>Organisation</w:t>
            </w:r>
            <w:proofErr w:type="spellEnd"/>
          </w:p>
        </w:tc>
        <w:tc>
          <w:tcPr>
            <w:tcW w:w="2562" w:type="dxa"/>
          </w:tcPr>
          <w:p w:rsidR="003A4B19" w:rsidRPr="003A4B19" w:rsidRDefault="003A4B19" w:rsidP="003A4B19">
            <w:pPr>
              <w:pStyle w:val="BodyText"/>
              <w:rPr>
                <w:b/>
              </w:rPr>
            </w:pPr>
            <w:r w:rsidRPr="003A4B19">
              <w:rPr>
                <w:b/>
              </w:rPr>
              <w:t>2017-18 expenditure (</w:t>
            </w:r>
            <w:proofErr w:type="spellStart"/>
            <w:r w:rsidRPr="003A4B19">
              <w:rPr>
                <w:b/>
              </w:rPr>
              <w:t>inc.</w:t>
            </w:r>
            <w:proofErr w:type="spellEnd"/>
            <w:r w:rsidRPr="003A4B19">
              <w:rPr>
                <w:b/>
              </w:rPr>
              <w:t xml:space="preserve"> GST)</w:t>
            </w:r>
          </w:p>
        </w:tc>
      </w:tr>
      <w:tr w:rsidR="003A4B19" w:rsidTr="003A4B19">
        <w:tc>
          <w:tcPr>
            <w:tcW w:w="2561" w:type="dxa"/>
          </w:tcPr>
          <w:p w:rsidR="003A4B19" w:rsidRDefault="003A4B19" w:rsidP="003A4B19">
            <w:pPr>
              <w:pStyle w:val="BodyText"/>
            </w:pPr>
            <w:r>
              <w:t>Advertising agencies</w:t>
            </w:r>
          </w:p>
          <w:p w:rsidR="003A4B19" w:rsidRDefault="003A4B19" w:rsidP="003A4B19">
            <w:pPr>
              <w:pStyle w:val="BodyText"/>
              <w:numPr>
                <w:ilvl w:val="0"/>
                <w:numId w:val="32"/>
              </w:numPr>
              <w:ind w:left="330"/>
            </w:pPr>
            <w:proofErr w:type="spellStart"/>
            <w:r>
              <w:t>Adcorp</w:t>
            </w:r>
            <w:proofErr w:type="spellEnd"/>
          </w:p>
        </w:tc>
        <w:tc>
          <w:tcPr>
            <w:tcW w:w="2562" w:type="dxa"/>
            <w:vAlign w:val="bottom"/>
          </w:tcPr>
          <w:p w:rsidR="003A4B19" w:rsidRDefault="003A4B19" w:rsidP="003A4B19">
            <w:pPr>
              <w:pStyle w:val="BodyText"/>
            </w:pPr>
            <w:r>
              <w:t>$374</w:t>
            </w:r>
          </w:p>
        </w:tc>
      </w:tr>
      <w:tr w:rsidR="003A4B19" w:rsidTr="003A4B19">
        <w:tc>
          <w:tcPr>
            <w:tcW w:w="2561" w:type="dxa"/>
          </w:tcPr>
          <w:p w:rsidR="003A4B19" w:rsidRDefault="003A4B19" w:rsidP="003A4B19">
            <w:pPr>
              <w:pStyle w:val="BodyText"/>
            </w:pPr>
            <w:r>
              <w:t xml:space="preserve">Market research </w:t>
            </w:r>
            <w:proofErr w:type="spellStart"/>
            <w:r>
              <w:t>organisations</w:t>
            </w:r>
            <w:proofErr w:type="spellEnd"/>
          </w:p>
        </w:tc>
        <w:tc>
          <w:tcPr>
            <w:tcW w:w="2562" w:type="dxa"/>
            <w:vAlign w:val="bottom"/>
          </w:tcPr>
          <w:p w:rsidR="003A4B19" w:rsidRDefault="003A4B19" w:rsidP="003A4B19">
            <w:pPr>
              <w:pStyle w:val="BodyText"/>
            </w:pPr>
            <w:r>
              <w:t>Nil</w:t>
            </w:r>
          </w:p>
        </w:tc>
      </w:tr>
      <w:tr w:rsidR="003A4B19" w:rsidTr="003A4B19">
        <w:tc>
          <w:tcPr>
            <w:tcW w:w="2561" w:type="dxa"/>
          </w:tcPr>
          <w:p w:rsidR="003A4B19" w:rsidRDefault="003A4B19" w:rsidP="003A4B19">
            <w:pPr>
              <w:pStyle w:val="BodyText"/>
            </w:pPr>
            <w:r>
              <w:t xml:space="preserve">Polling </w:t>
            </w:r>
            <w:proofErr w:type="spellStart"/>
            <w:r>
              <w:t>organisations</w:t>
            </w:r>
            <w:proofErr w:type="spellEnd"/>
          </w:p>
        </w:tc>
        <w:tc>
          <w:tcPr>
            <w:tcW w:w="2562" w:type="dxa"/>
            <w:vAlign w:val="bottom"/>
          </w:tcPr>
          <w:p w:rsidR="003A4B19" w:rsidRDefault="003A4B19" w:rsidP="003A4B19">
            <w:pPr>
              <w:pStyle w:val="BodyText"/>
            </w:pPr>
            <w:r>
              <w:t>Nil</w:t>
            </w:r>
          </w:p>
        </w:tc>
      </w:tr>
      <w:tr w:rsidR="003A4B19" w:rsidTr="003A4B19">
        <w:tc>
          <w:tcPr>
            <w:tcW w:w="2561" w:type="dxa"/>
          </w:tcPr>
          <w:p w:rsidR="003A4B19" w:rsidRDefault="003A4B19" w:rsidP="003A4B19">
            <w:pPr>
              <w:pStyle w:val="BodyText"/>
            </w:pPr>
            <w:r>
              <w:t xml:space="preserve">Direct mail </w:t>
            </w:r>
            <w:proofErr w:type="spellStart"/>
            <w:r>
              <w:t>organisations</w:t>
            </w:r>
            <w:proofErr w:type="spellEnd"/>
          </w:p>
        </w:tc>
        <w:tc>
          <w:tcPr>
            <w:tcW w:w="2562" w:type="dxa"/>
            <w:vAlign w:val="bottom"/>
          </w:tcPr>
          <w:p w:rsidR="003A4B19" w:rsidRDefault="003A4B19" w:rsidP="003A4B19">
            <w:pPr>
              <w:pStyle w:val="BodyText"/>
            </w:pPr>
            <w:r>
              <w:t>Nil</w:t>
            </w:r>
          </w:p>
        </w:tc>
      </w:tr>
      <w:tr w:rsidR="003A4B19" w:rsidTr="003A4B19">
        <w:tc>
          <w:tcPr>
            <w:tcW w:w="2561" w:type="dxa"/>
          </w:tcPr>
          <w:p w:rsidR="003A4B19" w:rsidRDefault="003A4B19" w:rsidP="003A4B19">
            <w:pPr>
              <w:pStyle w:val="BodyText"/>
            </w:pPr>
            <w:r>
              <w:t xml:space="preserve">Media advertising </w:t>
            </w:r>
            <w:proofErr w:type="spellStart"/>
            <w:r>
              <w:t>organisations</w:t>
            </w:r>
            <w:proofErr w:type="spellEnd"/>
          </w:p>
        </w:tc>
        <w:tc>
          <w:tcPr>
            <w:tcW w:w="2562" w:type="dxa"/>
            <w:vAlign w:val="bottom"/>
          </w:tcPr>
          <w:p w:rsidR="003A4B19" w:rsidRDefault="003A4B19" w:rsidP="003A4B19">
            <w:pPr>
              <w:pStyle w:val="BodyText"/>
            </w:pPr>
            <w:r>
              <w:t>Nil</w:t>
            </w:r>
          </w:p>
        </w:tc>
      </w:tr>
      <w:tr w:rsidR="003A4B19" w:rsidTr="003A4B19">
        <w:tc>
          <w:tcPr>
            <w:tcW w:w="2561" w:type="dxa"/>
          </w:tcPr>
          <w:p w:rsidR="003A4B19" w:rsidRDefault="003A4B19" w:rsidP="003A4B19">
            <w:pPr>
              <w:pStyle w:val="BodyText"/>
            </w:pPr>
            <w:r>
              <w:t>Total</w:t>
            </w:r>
          </w:p>
        </w:tc>
        <w:tc>
          <w:tcPr>
            <w:tcW w:w="2562" w:type="dxa"/>
          </w:tcPr>
          <w:p w:rsidR="003A4B19" w:rsidRDefault="003A4B19" w:rsidP="003A4B19">
            <w:pPr>
              <w:pStyle w:val="BodyText"/>
            </w:pPr>
            <w:r>
              <w:t>$374</w:t>
            </w:r>
          </w:p>
        </w:tc>
      </w:tr>
    </w:tbl>
    <w:p w:rsidR="00A1463E" w:rsidRDefault="00F52429" w:rsidP="003A4B19">
      <w:pPr>
        <w:pStyle w:val="Heading2"/>
        <w:spacing w:before="126" w:line="375" w:lineRule="exact"/>
        <w:ind w:left="709"/>
      </w:pPr>
      <w:r>
        <w:rPr>
          <w:color w:val="353434"/>
        </w:rPr>
        <w:t>Access and Inclusion -</w:t>
      </w:r>
    </w:p>
    <w:p w:rsidR="00A1463E" w:rsidRDefault="00F52429">
      <w:pPr>
        <w:spacing w:before="9" w:line="220" w:lineRule="auto"/>
        <w:ind w:left="683"/>
        <w:rPr>
          <w:sz w:val="32"/>
        </w:rPr>
      </w:pPr>
      <w:r>
        <w:rPr>
          <w:color w:val="353434"/>
          <w:sz w:val="32"/>
        </w:rPr>
        <w:t>sub-department’s Disability Access and Inclusion Plan</w:t>
      </w:r>
    </w:p>
    <w:p w:rsidR="00A1463E" w:rsidRDefault="00F52429">
      <w:pPr>
        <w:pStyle w:val="BodyText"/>
        <w:spacing w:before="42" w:line="235" w:lineRule="auto"/>
        <w:ind w:left="683"/>
        <w:jc w:val="both"/>
      </w:pPr>
      <w:r>
        <w:t>The</w:t>
      </w:r>
      <w:r>
        <w:rPr>
          <w:spacing w:val="-12"/>
        </w:rPr>
        <w:t xml:space="preserve"> </w:t>
      </w:r>
      <w:r>
        <w:t>Office</w:t>
      </w:r>
      <w:r>
        <w:rPr>
          <w:spacing w:val="-12"/>
        </w:rPr>
        <w:t xml:space="preserve"> </w:t>
      </w:r>
      <w:r>
        <w:t>of</w:t>
      </w:r>
      <w:r>
        <w:rPr>
          <w:spacing w:val="-12"/>
        </w:rPr>
        <w:t xml:space="preserve"> </w:t>
      </w:r>
      <w:r>
        <w:t>the</w:t>
      </w:r>
      <w:r>
        <w:rPr>
          <w:spacing w:val="-12"/>
        </w:rPr>
        <w:t xml:space="preserve"> </w:t>
      </w:r>
      <w:r>
        <w:t>GCIO</w:t>
      </w:r>
      <w:r>
        <w:rPr>
          <w:spacing w:val="-12"/>
        </w:rPr>
        <w:t xml:space="preserve"> </w:t>
      </w:r>
      <w:r>
        <w:t>has</w:t>
      </w:r>
      <w:r>
        <w:rPr>
          <w:spacing w:val="-12"/>
        </w:rPr>
        <w:t xml:space="preserve"> </w:t>
      </w:r>
      <w:r>
        <w:t>adopted</w:t>
      </w:r>
      <w:r>
        <w:rPr>
          <w:spacing w:val="-11"/>
        </w:rPr>
        <w:t xml:space="preserve"> </w:t>
      </w:r>
      <w:r>
        <w:t>the</w:t>
      </w:r>
      <w:r>
        <w:rPr>
          <w:spacing w:val="-12"/>
        </w:rPr>
        <w:t xml:space="preserve"> </w:t>
      </w:r>
      <w:r>
        <w:t>Disability Access and Inclusion Plan developed by the Department of</w:t>
      </w:r>
      <w:r>
        <w:rPr>
          <w:spacing w:val="-2"/>
        </w:rPr>
        <w:t xml:space="preserve"> </w:t>
      </w:r>
      <w:r>
        <w:t>Finance.</w:t>
      </w:r>
    </w:p>
    <w:p w:rsidR="00A1463E" w:rsidRDefault="00F52429">
      <w:pPr>
        <w:pStyle w:val="BodyText"/>
        <w:rPr>
          <w:sz w:val="32"/>
        </w:rPr>
      </w:pPr>
      <w:r>
        <w:br w:type="column"/>
      </w:r>
    </w:p>
    <w:p w:rsidR="00A1463E" w:rsidRDefault="00A1463E">
      <w:pPr>
        <w:pStyle w:val="BodyText"/>
        <w:spacing w:before="11"/>
        <w:rPr>
          <w:sz w:val="26"/>
        </w:rPr>
      </w:pPr>
    </w:p>
    <w:p w:rsidR="00A1463E" w:rsidRDefault="00F52429">
      <w:pPr>
        <w:pStyle w:val="Heading2"/>
        <w:spacing w:before="0" w:line="220" w:lineRule="auto"/>
        <w:ind w:left="636" w:right="88"/>
      </w:pPr>
      <w:r>
        <w:rPr>
          <w:color w:val="353434"/>
        </w:rPr>
        <w:t>Compliance with public sector standards and ethical codes</w:t>
      </w:r>
    </w:p>
    <w:p w:rsidR="00A1463E" w:rsidRDefault="00F52429">
      <w:pPr>
        <w:pStyle w:val="BodyText"/>
        <w:spacing w:before="43" w:line="235" w:lineRule="auto"/>
        <w:ind w:left="636" w:right="1"/>
        <w:jc w:val="both"/>
      </w:pPr>
      <w:r>
        <w:t>Over the year, the Office of the GCIO has provided proactive guidance to managers and staff to ensure recruitment processes complied with public sector standards.</w:t>
      </w:r>
    </w:p>
    <w:p w:rsidR="00A1463E" w:rsidRDefault="00F52429">
      <w:pPr>
        <w:spacing w:before="173" w:line="235" w:lineRule="auto"/>
        <w:ind w:left="636"/>
        <w:jc w:val="both"/>
        <w:rPr>
          <w:i/>
          <w:sz w:val="24"/>
        </w:rPr>
      </w:pPr>
      <w:r>
        <w:rPr>
          <w:sz w:val="24"/>
        </w:rPr>
        <w:t xml:space="preserve">No breach of standard claims </w:t>
      </w:r>
      <w:proofErr w:type="gramStart"/>
      <w:r>
        <w:rPr>
          <w:sz w:val="24"/>
        </w:rPr>
        <w:t>were</w:t>
      </w:r>
      <w:proofErr w:type="gramEnd"/>
      <w:r>
        <w:rPr>
          <w:sz w:val="24"/>
        </w:rPr>
        <w:t xml:space="preserve"> lodged in 2017-18. No disclosures were received in 2017- 18 under the </w:t>
      </w:r>
      <w:r>
        <w:rPr>
          <w:i/>
          <w:sz w:val="24"/>
        </w:rPr>
        <w:t>Public Interest Disclosure Act</w:t>
      </w:r>
      <w:r>
        <w:rPr>
          <w:i/>
          <w:spacing w:val="-23"/>
          <w:sz w:val="24"/>
        </w:rPr>
        <w:t xml:space="preserve"> </w:t>
      </w:r>
      <w:r>
        <w:rPr>
          <w:i/>
          <w:sz w:val="24"/>
        </w:rPr>
        <w:t>2003.</w:t>
      </w:r>
    </w:p>
    <w:p w:rsidR="00A1463E" w:rsidRDefault="00F52429">
      <w:pPr>
        <w:pStyle w:val="Heading2"/>
        <w:spacing w:before="164"/>
        <w:ind w:left="636"/>
        <w:jc w:val="both"/>
      </w:pPr>
      <w:r>
        <w:rPr>
          <w:color w:val="353434"/>
        </w:rPr>
        <w:t>Recordkeeping plans</w:t>
      </w:r>
    </w:p>
    <w:p w:rsidR="00A1463E" w:rsidRDefault="00F52429">
      <w:pPr>
        <w:pStyle w:val="BodyText"/>
        <w:spacing w:before="35" w:line="235" w:lineRule="auto"/>
        <w:ind w:left="636" w:right="1"/>
        <w:jc w:val="both"/>
      </w:pPr>
      <w:r>
        <w:t xml:space="preserve">The Office of the </w:t>
      </w:r>
      <w:r>
        <w:rPr>
          <w:spacing w:val="-3"/>
        </w:rPr>
        <w:t xml:space="preserve">GCIO continues to </w:t>
      </w:r>
      <w:r>
        <w:rPr>
          <w:spacing w:val="-4"/>
        </w:rPr>
        <w:t xml:space="preserve">follow recordkeeping compliant </w:t>
      </w:r>
      <w:r w:rsidR="0096717E">
        <w:rPr>
          <w:spacing w:val="-4"/>
        </w:rPr>
        <w:t>protocols developed by</w:t>
      </w:r>
      <w:r>
        <w:t xml:space="preserve"> the </w:t>
      </w:r>
      <w:r>
        <w:rPr>
          <w:spacing w:val="-3"/>
        </w:rPr>
        <w:t xml:space="preserve">Department </w:t>
      </w:r>
      <w:r>
        <w:t xml:space="preserve">of </w:t>
      </w:r>
      <w:r>
        <w:rPr>
          <w:spacing w:val="-3"/>
        </w:rPr>
        <w:t xml:space="preserve">Finance </w:t>
      </w:r>
      <w:r>
        <w:t xml:space="preserve">and all </w:t>
      </w:r>
      <w:r>
        <w:rPr>
          <w:spacing w:val="-4"/>
        </w:rPr>
        <w:t xml:space="preserve">staff have </w:t>
      </w:r>
      <w:r>
        <w:rPr>
          <w:spacing w:val="-3"/>
        </w:rPr>
        <w:t>access</w:t>
      </w:r>
      <w:r>
        <w:rPr>
          <w:spacing w:val="-19"/>
        </w:rPr>
        <w:t xml:space="preserve"> </w:t>
      </w:r>
      <w:r>
        <w:rPr>
          <w:spacing w:val="-3"/>
        </w:rPr>
        <w:t>to</w:t>
      </w:r>
      <w:r>
        <w:rPr>
          <w:spacing w:val="-19"/>
        </w:rPr>
        <w:t xml:space="preserve"> </w:t>
      </w:r>
      <w:r>
        <w:rPr>
          <w:spacing w:val="-3"/>
        </w:rPr>
        <w:t>instructions</w:t>
      </w:r>
      <w:r>
        <w:rPr>
          <w:spacing w:val="-19"/>
        </w:rPr>
        <w:t xml:space="preserve"> </w:t>
      </w:r>
      <w:r>
        <w:t>and</w:t>
      </w:r>
      <w:r>
        <w:rPr>
          <w:spacing w:val="-19"/>
        </w:rPr>
        <w:t xml:space="preserve"> </w:t>
      </w:r>
      <w:r>
        <w:rPr>
          <w:spacing w:val="-3"/>
        </w:rPr>
        <w:t>guides</w:t>
      </w:r>
      <w:r>
        <w:rPr>
          <w:spacing w:val="-19"/>
        </w:rPr>
        <w:t xml:space="preserve"> </w:t>
      </w:r>
      <w:r>
        <w:rPr>
          <w:spacing w:val="-4"/>
        </w:rPr>
        <w:t>for</w:t>
      </w:r>
      <w:r>
        <w:rPr>
          <w:spacing w:val="-19"/>
        </w:rPr>
        <w:t xml:space="preserve"> </w:t>
      </w:r>
      <w:r>
        <w:t>the</w:t>
      </w:r>
      <w:r>
        <w:rPr>
          <w:spacing w:val="-19"/>
        </w:rPr>
        <w:t xml:space="preserve"> </w:t>
      </w:r>
      <w:r>
        <w:t>use</w:t>
      </w:r>
      <w:r>
        <w:rPr>
          <w:spacing w:val="-19"/>
        </w:rPr>
        <w:t xml:space="preserve"> </w:t>
      </w:r>
      <w:r>
        <w:t>of</w:t>
      </w:r>
      <w:r>
        <w:rPr>
          <w:spacing w:val="-19"/>
        </w:rPr>
        <w:t xml:space="preserve"> </w:t>
      </w:r>
      <w:r>
        <w:rPr>
          <w:spacing w:val="-3"/>
        </w:rPr>
        <w:t xml:space="preserve">the </w:t>
      </w:r>
      <w:r>
        <w:rPr>
          <w:spacing w:val="-4"/>
        </w:rPr>
        <w:t xml:space="preserve">recordkeeping </w:t>
      </w:r>
      <w:r>
        <w:rPr>
          <w:spacing w:val="-5"/>
        </w:rPr>
        <w:t xml:space="preserve">system </w:t>
      </w:r>
      <w:r>
        <w:t xml:space="preserve">via the </w:t>
      </w:r>
      <w:r>
        <w:rPr>
          <w:spacing w:val="-4"/>
        </w:rPr>
        <w:t>agency’s</w:t>
      </w:r>
      <w:r>
        <w:rPr>
          <w:spacing w:val="-19"/>
        </w:rPr>
        <w:t xml:space="preserve"> </w:t>
      </w:r>
      <w:r>
        <w:rPr>
          <w:spacing w:val="-4"/>
        </w:rPr>
        <w:t>intranet.</w:t>
      </w:r>
    </w:p>
    <w:p w:rsidR="00A1463E" w:rsidRDefault="00F52429">
      <w:pPr>
        <w:pStyle w:val="BodyText"/>
        <w:spacing w:before="175" w:line="235" w:lineRule="auto"/>
        <w:ind w:left="636" w:right="1"/>
        <w:jc w:val="both"/>
      </w:pPr>
      <w:r>
        <w:t xml:space="preserve">The release of a new </w:t>
      </w:r>
      <w:proofErr w:type="spellStart"/>
      <w:r>
        <w:t>customised</w:t>
      </w:r>
      <w:proofErr w:type="spellEnd"/>
      <w:r>
        <w:t xml:space="preserve"> </w:t>
      </w:r>
      <w:r w:rsidR="0096717E">
        <w:t>online learning</w:t>
      </w:r>
      <w:r>
        <w:t xml:space="preserve"> module </w:t>
      </w:r>
      <w:r>
        <w:rPr>
          <w:spacing w:val="-3"/>
        </w:rPr>
        <w:t xml:space="preserve">for </w:t>
      </w:r>
      <w:r>
        <w:t xml:space="preserve">recordkeeping </w:t>
      </w:r>
      <w:r w:rsidR="0096717E">
        <w:t>supports the</w:t>
      </w:r>
      <w:r>
        <w:t xml:space="preserve"> Department of </w:t>
      </w:r>
      <w:r>
        <w:rPr>
          <w:spacing w:val="-3"/>
        </w:rPr>
        <w:t xml:space="preserve">Finance’s </w:t>
      </w:r>
      <w:r>
        <w:t>commitment to maintaining good recordkeeping practices and is an extension to the recordkeeping obligations and compliance training provided during induction</w:t>
      </w:r>
      <w:r>
        <w:rPr>
          <w:spacing w:val="-2"/>
        </w:rPr>
        <w:t xml:space="preserve"> </w:t>
      </w:r>
      <w:r>
        <w:t>training.</w:t>
      </w:r>
    </w:p>
    <w:p w:rsidR="00A1463E" w:rsidRDefault="00F52429">
      <w:pPr>
        <w:pStyle w:val="Heading2"/>
        <w:spacing w:before="111"/>
        <w:ind w:left="636"/>
        <w:jc w:val="both"/>
      </w:pPr>
      <w:r>
        <w:rPr>
          <w:color w:val="353434"/>
        </w:rPr>
        <w:t>Freedom of information</w:t>
      </w:r>
    </w:p>
    <w:p w:rsidR="00A1463E" w:rsidRDefault="00F52429">
      <w:pPr>
        <w:pStyle w:val="BodyText"/>
        <w:spacing w:before="34" w:line="235" w:lineRule="auto"/>
        <w:ind w:left="636"/>
        <w:jc w:val="both"/>
      </w:pPr>
      <w:r>
        <w:t>In compliance with the Freedom of Information Act 1992, the Office of the GCIO has published an Information Statement describing the types of documents in its possession that could be accessed under Freedom of Information.</w:t>
      </w:r>
    </w:p>
    <w:p w:rsidR="00A1463E" w:rsidRDefault="00F52429">
      <w:pPr>
        <w:pStyle w:val="BodyText"/>
        <w:spacing w:before="175" w:line="235" w:lineRule="auto"/>
        <w:ind w:left="636"/>
        <w:jc w:val="both"/>
      </w:pPr>
      <w:r>
        <w:t>In</w:t>
      </w:r>
      <w:r>
        <w:rPr>
          <w:spacing w:val="-14"/>
        </w:rPr>
        <w:t xml:space="preserve"> </w:t>
      </w:r>
      <w:r>
        <w:t>2017-18,</w:t>
      </w:r>
      <w:r>
        <w:rPr>
          <w:spacing w:val="-15"/>
        </w:rPr>
        <w:t xml:space="preserve"> </w:t>
      </w:r>
      <w:r>
        <w:t>the</w:t>
      </w:r>
      <w:r>
        <w:rPr>
          <w:spacing w:val="-14"/>
        </w:rPr>
        <w:t xml:space="preserve"> </w:t>
      </w:r>
      <w:r>
        <w:t>Office</w:t>
      </w:r>
      <w:r>
        <w:rPr>
          <w:spacing w:val="-15"/>
        </w:rPr>
        <w:t xml:space="preserve"> </w:t>
      </w:r>
      <w:r>
        <w:t>of</w:t>
      </w:r>
      <w:r>
        <w:rPr>
          <w:spacing w:val="-14"/>
        </w:rPr>
        <w:t xml:space="preserve"> </w:t>
      </w:r>
      <w:r>
        <w:t>the</w:t>
      </w:r>
      <w:r>
        <w:rPr>
          <w:spacing w:val="-14"/>
        </w:rPr>
        <w:t xml:space="preserve"> </w:t>
      </w:r>
      <w:r>
        <w:t>GCIO</w:t>
      </w:r>
      <w:r>
        <w:rPr>
          <w:spacing w:val="-14"/>
        </w:rPr>
        <w:t xml:space="preserve"> </w:t>
      </w:r>
      <w:r>
        <w:t>did</w:t>
      </w:r>
      <w:r>
        <w:rPr>
          <w:spacing w:val="-14"/>
        </w:rPr>
        <w:t xml:space="preserve"> </w:t>
      </w:r>
      <w:r>
        <w:t>not</w:t>
      </w:r>
      <w:r>
        <w:rPr>
          <w:spacing w:val="-14"/>
        </w:rPr>
        <w:t xml:space="preserve"> </w:t>
      </w:r>
      <w:r>
        <w:t>receive any Freedom of Information</w:t>
      </w:r>
      <w:r>
        <w:rPr>
          <w:spacing w:val="-12"/>
        </w:rPr>
        <w:t xml:space="preserve"> </w:t>
      </w:r>
      <w:r>
        <w:t>applications.</w:t>
      </w:r>
    </w:p>
    <w:p w:rsidR="00A1463E" w:rsidRDefault="00F52429">
      <w:pPr>
        <w:pStyle w:val="BodyText"/>
        <w:rPr>
          <w:sz w:val="36"/>
        </w:rPr>
      </w:pPr>
      <w:r>
        <w:br w:type="column"/>
      </w:r>
    </w:p>
    <w:p w:rsidR="00A1463E" w:rsidRDefault="00F52429">
      <w:pPr>
        <w:pStyle w:val="Heading1"/>
        <w:spacing w:before="254" w:line="235" w:lineRule="auto"/>
        <w:ind w:left="638" w:right="1244"/>
      </w:pPr>
      <w:r>
        <w:rPr>
          <w:color w:val="353434"/>
        </w:rPr>
        <w:t>Government Policy Requirements</w:t>
      </w:r>
    </w:p>
    <w:p w:rsidR="00A1463E" w:rsidRDefault="00F52429">
      <w:pPr>
        <w:pStyle w:val="Heading2"/>
        <w:spacing w:before="19"/>
        <w:ind w:left="638"/>
      </w:pPr>
      <w:r>
        <w:rPr>
          <w:color w:val="353434"/>
        </w:rPr>
        <w:t>Government Building Contracts</w:t>
      </w:r>
    </w:p>
    <w:p w:rsidR="00A1463E" w:rsidRDefault="00F52429">
      <w:pPr>
        <w:pStyle w:val="BodyText"/>
        <w:spacing w:before="30"/>
        <w:ind w:left="638"/>
      </w:pPr>
      <w:r>
        <w:t>Nil</w:t>
      </w:r>
    </w:p>
    <w:p w:rsidR="00A1463E" w:rsidRDefault="00F52429">
      <w:pPr>
        <w:pStyle w:val="Heading2"/>
        <w:spacing w:before="161"/>
        <w:ind w:left="638"/>
      </w:pPr>
      <w:r>
        <w:rPr>
          <w:color w:val="353434"/>
        </w:rPr>
        <w:t>Substantive equality</w:t>
      </w:r>
    </w:p>
    <w:p w:rsidR="00A1463E" w:rsidRDefault="00F52429">
      <w:pPr>
        <w:pStyle w:val="BodyText"/>
        <w:spacing w:before="35" w:line="235" w:lineRule="auto"/>
        <w:ind w:left="638" w:right="672"/>
        <w:jc w:val="both"/>
      </w:pPr>
      <w:r>
        <w:t xml:space="preserve">The Office of the GCIO supports the </w:t>
      </w:r>
      <w:r w:rsidR="0096717E">
        <w:t>provision of</w:t>
      </w:r>
      <w:r>
        <w:t xml:space="preserve"> services </w:t>
      </w:r>
      <w:r w:rsidR="0096717E">
        <w:t>that address the different needs</w:t>
      </w:r>
      <w:r w:rsidR="00E73CDE">
        <w:t xml:space="preserve"> </w:t>
      </w:r>
      <w:r>
        <w:t xml:space="preserve">of </w:t>
      </w:r>
      <w:r>
        <w:rPr>
          <w:spacing w:val="-3"/>
        </w:rPr>
        <w:t xml:space="preserve">Western Australia’s </w:t>
      </w:r>
      <w:r>
        <w:t>diverse community and supports the Equal Opportunity Commission to eliminate systemic bias and</w:t>
      </w:r>
      <w:r>
        <w:rPr>
          <w:spacing w:val="-13"/>
        </w:rPr>
        <w:t xml:space="preserve"> </w:t>
      </w:r>
      <w:r>
        <w:t>discrimination.</w:t>
      </w:r>
    </w:p>
    <w:p w:rsidR="00A1463E" w:rsidRDefault="00F52429">
      <w:pPr>
        <w:pStyle w:val="Heading2"/>
        <w:spacing w:before="190" w:line="220" w:lineRule="auto"/>
        <w:ind w:left="638" w:right="1244"/>
      </w:pPr>
      <w:r>
        <w:rPr>
          <w:color w:val="353434"/>
        </w:rPr>
        <w:t>Occupational safety, health and injury management</w:t>
      </w:r>
    </w:p>
    <w:p w:rsidR="00A1463E" w:rsidRDefault="00F52429">
      <w:pPr>
        <w:pStyle w:val="BodyText"/>
        <w:spacing w:before="42" w:line="235" w:lineRule="auto"/>
        <w:ind w:left="638" w:right="460"/>
      </w:pPr>
      <w:r>
        <w:t>The Office of the GCIO is committed to the ongoing health and safety of staff.</w:t>
      </w:r>
    </w:p>
    <w:p w:rsidR="00A1463E" w:rsidRDefault="00F52429">
      <w:pPr>
        <w:pStyle w:val="BodyText"/>
        <w:spacing w:before="172" w:line="235" w:lineRule="auto"/>
        <w:ind w:left="638" w:right="670"/>
        <w:jc w:val="both"/>
      </w:pPr>
      <w:r>
        <w:t xml:space="preserve">The Office of the GCIO through the Department of Finance has applied the </w:t>
      </w:r>
      <w:proofErr w:type="spellStart"/>
      <w:r>
        <w:rPr>
          <w:spacing w:val="-4"/>
        </w:rPr>
        <w:t>Worksafe</w:t>
      </w:r>
      <w:proofErr w:type="spellEnd"/>
      <w:r>
        <w:rPr>
          <w:spacing w:val="-4"/>
        </w:rPr>
        <w:t xml:space="preserve"> </w:t>
      </w:r>
      <w:r>
        <w:t>Plan audit tool. As a result, during 2017/18, the focus was on training Managers and Supervisors in the provision</w:t>
      </w:r>
      <w:r>
        <w:rPr>
          <w:spacing w:val="-16"/>
        </w:rPr>
        <w:t xml:space="preserve"> </w:t>
      </w:r>
      <w:r>
        <w:t>of</w:t>
      </w:r>
      <w:r>
        <w:rPr>
          <w:spacing w:val="-17"/>
        </w:rPr>
        <w:t xml:space="preserve"> </w:t>
      </w:r>
      <w:r>
        <w:t>a</w:t>
      </w:r>
      <w:r>
        <w:rPr>
          <w:spacing w:val="-17"/>
        </w:rPr>
        <w:t xml:space="preserve"> </w:t>
      </w:r>
      <w:r>
        <w:rPr>
          <w:spacing w:val="-3"/>
        </w:rPr>
        <w:t>safe</w:t>
      </w:r>
      <w:r>
        <w:rPr>
          <w:spacing w:val="-17"/>
        </w:rPr>
        <w:t xml:space="preserve"> </w:t>
      </w:r>
      <w:r>
        <w:t>and</w:t>
      </w:r>
      <w:r>
        <w:rPr>
          <w:spacing w:val="-17"/>
        </w:rPr>
        <w:t xml:space="preserve"> </w:t>
      </w:r>
      <w:r>
        <w:t>healthy</w:t>
      </w:r>
      <w:r>
        <w:rPr>
          <w:spacing w:val="-17"/>
        </w:rPr>
        <w:t xml:space="preserve"> </w:t>
      </w:r>
      <w:r>
        <w:t>workplace,</w:t>
      </w:r>
      <w:r>
        <w:rPr>
          <w:spacing w:val="-17"/>
        </w:rPr>
        <w:t xml:space="preserve"> </w:t>
      </w:r>
      <w:r>
        <w:t>as</w:t>
      </w:r>
      <w:r>
        <w:rPr>
          <w:spacing w:val="-17"/>
        </w:rPr>
        <w:t xml:space="preserve"> </w:t>
      </w:r>
      <w:r>
        <w:t>well as developing the Hazard/Incident Reporting and Issue Resolution process in accordance with the</w:t>
      </w:r>
      <w:r>
        <w:rPr>
          <w:spacing w:val="-12"/>
        </w:rPr>
        <w:t xml:space="preserve"> </w:t>
      </w:r>
      <w:r>
        <w:t>requirements</w:t>
      </w:r>
      <w:r>
        <w:rPr>
          <w:spacing w:val="-12"/>
        </w:rPr>
        <w:t xml:space="preserve"> </w:t>
      </w:r>
      <w:r>
        <w:t>of</w:t>
      </w:r>
      <w:r>
        <w:rPr>
          <w:spacing w:val="-12"/>
        </w:rPr>
        <w:t xml:space="preserve"> </w:t>
      </w:r>
      <w:r>
        <w:t>the</w:t>
      </w:r>
      <w:r>
        <w:rPr>
          <w:spacing w:val="-12"/>
        </w:rPr>
        <w:t xml:space="preserve"> </w:t>
      </w:r>
      <w:r>
        <w:t>Occupational</w:t>
      </w:r>
      <w:r>
        <w:rPr>
          <w:spacing w:val="-12"/>
        </w:rPr>
        <w:t xml:space="preserve"> </w:t>
      </w:r>
      <w:r>
        <w:t>Safety</w:t>
      </w:r>
      <w:r>
        <w:rPr>
          <w:spacing w:val="-13"/>
        </w:rPr>
        <w:t xml:space="preserve"> </w:t>
      </w:r>
      <w:r>
        <w:t>and Health Act</w:t>
      </w:r>
      <w:r>
        <w:rPr>
          <w:spacing w:val="-2"/>
        </w:rPr>
        <w:t xml:space="preserve"> </w:t>
      </w:r>
      <w:r>
        <w:t>1984.</w:t>
      </w:r>
    </w:p>
    <w:p w:rsidR="00A1463E" w:rsidRDefault="00A1463E">
      <w:pPr>
        <w:spacing w:line="235" w:lineRule="auto"/>
        <w:jc w:val="both"/>
        <w:sectPr w:rsidR="00A1463E">
          <w:type w:val="continuous"/>
          <w:pgSz w:w="16840" w:h="11910" w:orient="landscape"/>
          <w:pgMar w:top="560" w:right="0" w:bottom="0" w:left="0" w:header="720" w:footer="720" w:gutter="0"/>
          <w:cols w:num="3" w:space="720" w:equalWidth="0">
            <w:col w:w="5394" w:space="40"/>
            <w:col w:w="5345" w:space="39"/>
            <w:col w:w="6022"/>
          </w:cols>
        </w:sectPr>
      </w:pPr>
    </w:p>
    <w:p w:rsidR="00A1463E" w:rsidRDefault="00A1463E">
      <w:pPr>
        <w:pStyle w:val="BodyText"/>
        <w:spacing w:before="2"/>
        <w:rPr>
          <w:sz w:val="8"/>
        </w:rPr>
      </w:pPr>
    </w:p>
    <w:p w:rsidR="00A1463E" w:rsidRDefault="00F52429">
      <w:pPr>
        <w:pStyle w:val="Heading2"/>
        <w:ind w:left="659"/>
      </w:pPr>
      <w:r>
        <w:rPr>
          <w:color w:val="353434"/>
        </w:rPr>
        <w:t>DISCLOSURES</w:t>
      </w:r>
    </w:p>
    <w:p w:rsidR="00A1463E" w:rsidRDefault="00A1463E">
      <w:pPr>
        <w:pStyle w:val="BodyText"/>
        <w:spacing w:line="60" w:lineRule="exact"/>
        <w:ind w:left="650"/>
        <w:rPr>
          <w:sz w:val="6"/>
        </w:rPr>
      </w:pPr>
    </w:p>
    <w:p w:rsidR="00A1463E" w:rsidRDefault="00A1463E">
      <w:pPr>
        <w:pStyle w:val="BodyText"/>
        <w:spacing w:before="2"/>
        <w:rPr>
          <w:sz w:val="14"/>
        </w:rPr>
      </w:pPr>
    </w:p>
    <w:p w:rsidR="00A1463E" w:rsidRDefault="00F52429">
      <w:pPr>
        <w:spacing w:before="36"/>
        <w:ind w:left="680"/>
        <w:rPr>
          <w:sz w:val="32"/>
        </w:rPr>
      </w:pPr>
      <w:r>
        <w:rPr>
          <w:color w:val="353434"/>
          <w:sz w:val="32"/>
        </w:rPr>
        <w:t>Injury management</w:t>
      </w:r>
    </w:p>
    <w:p w:rsidR="00A1463E" w:rsidRDefault="00F52429">
      <w:pPr>
        <w:pStyle w:val="BodyText"/>
        <w:spacing w:before="34" w:line="235" w:lineRule="auto"/>
        <w:ind w:left="680" w:right="675"/>
        <w:jc w:val="both"/>
      </w:pPr>
      <w:r>
        <w:t xml:space="preserve">Injury/illness management assistance is offered to all staff </w:t>
      </w:r>
      <w:r>
        <w:rPr>
          <w:spacing w:val="-3"/>
        </w:rPr>
        <w:t xml:space="preserve">for </w:t>
      </w:r>
      <w:r>
        <w:t>work as well as non-work related injury/illness. The Office of the GCIO has continued to work consultatively</w:t>
      </w:r>
      <w:r>
        <w:rPr>
          <w:spacing w:val="-11"/>
        </w:rPr>
        <w:t xml:space="preserve"> </w:t>
      </w:r>
      <w:r>
        <w:t>with</w:t>
      </w:r>
      <w:r>
        <w:rPr>
          <w:spacing w:val="-11"/>
        </w:rPr>
        <w:t xml:space="preserve"> </w:t>
      </w:r>
      <w:r>
        <w:t>ill</w:t>
      </w:r>
      <w:r>
        <w:rPr>
          <w:spacing w:val="-11"/>
        </w:rPr>
        <w:t xml:space="preserve"> </w:t>
      </w:r>
      <w:r>
        <w:t>or</w:t>
      </w:r>
      <w:r>
        <w:rPr>
          <w:spacing w:val="-11"/>
        </w:rPr>
        <w:t xml:space="preserve"> </w:t>
      </w:r>
      <w:r>
        <w:t>injured</w:t>
      </w:r>
      <w:r>
        <w:rPr>
          <w:spacing w:val="-11"/>
        </w:rPr>
        <w:t xml:space="preserve"> </w:t>
      </w:r>
      <w:r>
        <w:t>employees,</w:t>
      </w:r>
      <w:r>
        <w:rPr>
          <w:spacing w:val="-11"/>
        </w:rPr>
        <w:t xml:space="preserve"> </w:t>
      </w:r>
      <w:r>
        <w:t>their</w:t>
      </w:r>
      <w:r>
        <w:rPr>
          <w:spacing w:val="-11"/>
        </w:rPr>
        <w:t xml:space="preserve"> </w:t>
      </w:r>
      <w:r>
        <w:t>treating</w:t>
      </w:r>
      <w:r>
        <w:rPr>
          <w:spacing w:val="-11"/>
        </w:rPr>
        <w:t xml:space="preserve"> </w:t>
      </w:r>
      <w:r>
        <w:t>medical</w:t>
      </w:r>
      <w:r>
        <w:rPr>
          <w:spacing w:val="-11"/>
        </w:rPr>
        <w:t xml:space="preserve"> </w:t>
      </w:r>
      <w:r>
        <w:t>practitioner</w:t>
      </w:r>
      <w:r>
        <w:rPr>
          <w:spacing w:val="-11"/>
        </w:rPr>
        <w:t xml:space="preserve"> </w:t>
      </w:r>
      <w:r>
        <w:t>and</w:t>
      </w:r>
      <w:r>
        <w:rPr>
          <w:spacing w:val="-11"/>
        </w:rPr>
        <w:t xml:space="preserve"> </w:t>
      </w:r>
      <w:r>
        <w:t>managers</w:t>
      </w:r>
      <w:r>
        <w:rPr>
          <w:spacing w:val="-11"/>
        </w:rPr>
        <w:t xml:space="preserve"> </w:t>
      </w:r>
      <w:r>
        <w:t>to</w:t>
      </w:r>
      <w:r>
        <w:rPr>
          <w:spacing w:val="-11"/>
        </w:rPr>
        <w:t xml:space="preserve"> </w:t>
      </w:r>
      <w:r>
        <w:t>ensure</w:t>
      </w:r>
      <w:r>
        <w:rPr>
          <w:spacing w:val="-11"/>
        </w:rPr>
        <w:t xml:space="preserve"> </w:t>
      </w:r>
      <w:r>
        <w:t>that</w:t>
      </w:r>
      <w:r>
        <w:rPr>
          <w:spacing w:val="-11"/>
        </w:rPr>
        <w:t xml:space="preserve"> </w:t>
      </w:r>
      <w:r>
        <w:t>they</w:t>
      </w:r>
      <w:r>
        <w:rPr>
          <w:spacing w:val="-11"/>
        </w:rPr>
        <w:t xml:space="preserve"> </w:t>
      </w:r>
      <w:r>
        <w:t>can</w:t>
      </w:r>
      <w:r>
        <w:rPr>
          <w:spacing w:val="-11"/>
        </w:rPr>
        <w:t xml:space="preserve"> </w:t>
      </w:r>
      <w:r>
        <w:t>either</w:t>
      </w:r>
      <w:r>
        <w:rPr>
          <w:spacing w:val="-11"/>
        </w:rPr>
        <w:t xml:space="preserve"> </w:t>
      </w:r>
      <w:r>
        <w:t>return</w:t>
      </w:r>
      <w:r>
        <w:rPr>
          <w:spacing w:val="-11"/>
        </w:rPr>
        <w:t xml:space="preserve"> </w:t>
      </w:r>
      <w:r>
        <w:t>to</w:t>
      </w:r>
      <w:r>
        <w:rPr>
          <w:spacing w:val="-11"/>
        </w:rPr>
        <w:t xml:space="preserve"> </w:t>
      </w:r>
      <w:r>
        <w:t>work</w:t>
      </w:r>
      <w:r>
        <w:rPr>
          <w:spacing w:val="-11"/>
        </w:rPr>
        <w:t xml:space="preserve"> </w:t>
      </w:r>
      <w:r>
        <w:t>as</w:t>
      </w:r>
      <w:r>
        <w:rPr>
          <w:spacing w:val="-11"/>
        </w:rPr>
        <w:t xml:space="preserve"> </w:t>
      </w:r>
      <w:r>
        <w:t>soon</w:t>
      </w:r>
      <w:r>
        <w:rPr>
          <w:spacing w:val="-11"/>
        </w:rPr>
        <w:t xml:space="preserve"> </w:t>
      </w:r>
      <w:r>
        <w:t>as</w:t>
      </w:r>
      <w:r>
        <w:rPr>
          <w:spacing w:val="-11"/>
        </w:rPr>
        <w:t xml:space="preserve"> </w:t>
      </w:r>
      <w:r>
        <w:t xml:space="preserve">practicable and/or remain at work in a </w:t>
      </w:r>
      <w:r>
        <w:rPr>
          <w:spacing w:val="-3"/>
        </w:rPr>
        <w:t xml:space="preserve">safe </w:t>
      </w:r>
      <w:r>
        <w:t>and sustained</w:t>
      </w:r>
      <w:r>
        <w:rPr>
          <w:spacing w:val="-4"/>
        </w:rPr>
        <w:t xml:space="preserve"> manner.</w:t>
      </w:r>
    </w:p>
    <w:p w:rsidR="00A1463E" w:rsidRDefault="00F52429">
      <w:pPr>
        <w:pStyle w:val="Heading2"/>
        <w:spacing w:before="164"/>
        <w:jc w:val="both"/>
      </w:pPr>
      <w:r>
        <w:rPr>
          <w:color w:val="353434"/>
        </w:rPr>
        <w:t>Public Sector Commissioner’s Occupational Safety and Health performance requirements 2017-18</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80"/>
        <w:gridCol w:w="1436"/>
        <w:gridCol w:w="1492"/>
        <w:gridCol w:w="3372"/>
        <w:gridCol w:w="3194"/>
      </w:tblGrid>
      <w:tr w:rsidR="00A1463E" w:rsidTr="00D40680">
        <w:trPr>
          <w:trHeight w:val="325"/>
        </w:trPr>
        <w:tc>
          <w:tcPr>
            <w:tcW w:w="5980" w:type="dxa"/>
          </w:tcPr>
          <w:p w:rsidR="00A1463E" w:rsidRPr="00C0547C" w:rsidRDefault="00F52429">
            <w:pPr>
              <w:pStyle w:val="TableParagraph"/>
              <w:spacing w:before="18" w:line="286" w:lineRule="exact"/>
              <w:ind w:left="87"/>
              <w:rPr>
                <w:sz w:val="24"/>
              </w:rPr>
            </w:pPr>
            <w:r w:rsidRPr="00C0547C">
              <w:rPr>
                <w:sz w:val="24"/>
              </w:rPr>
              <w:t>Indicator</w:t>
            </w:r>
          </w:p>
        </w:tc>
        <w:tc>
          <w:tcPr>
            <w:tcW w:w="1436" w:type="dxa"/>
            <w:shd w:val="clear" w:color="auto" w:fill="auto"/>
          </w:tcPr>
          <w:p w:rsidR="00A1463E" w:rsidRPr="00C0547C" w:rsidRDefault="00F52429">
            <w:pPr>
              <w:pStyle w:val="TableParagraph"/>
              <w:spacing w:before="18" w:line="286" w:lineRule="exact"/>
              <w:ind w:right="69"/>
              <w:jc w:val="right"/>
              <w:rPr>
                <w:sz w:val="24"/>
              </w:rPr>
            </w:pPr>
            <w:r w:rsidRPr="00C0547C">
              <w:rPr>
                <w:sz w:val="24"/>
              </w:rPr>
              <w:t>2017-18</w:t>
            </w:r>
          </w:p>
        </w:tc>
        <w:tc>
          <w:tcPr>
            <w:tcW w:w="1492" w:type="dxa"/>
          </w:tcPr>
          <w:p w:rsidR="00A1463E" w:rsidRPr="00C0547C" w:rsidRDefault="00F52429">
            <w:pPr>
              <w:pStyle w:val="TableParagraph"/>
              <w:spacing w:before="18" w:line="286" w:lineRule="exact"/>
              <w:ind w:right="69"/>
              <w:jc w:val="right"/>
              <w:rPr>
                <w:sz w:val="24"/>
              </w:rPr>
            </w:pPr>
            <w:r w:rsidRPr="00C0547C">
              <w:rPr>
                <w:sz w:val="24"/>
              </w:rPr>
              <w:t>2016-17</w:t>
            </w:r>
          </w:p>
        </w:tc>
        <w:tc>
          <w:tcPr>
            <w:tcW w:w="3372" w:type="dxa"/>
          </w:tcPr>
          <w:p w:rsidR="00A1463E" w:rsidRPr="00C0547C" w:rsidRDefault="00F52429">
            <w:pPr>
              <w:pStyle w:val="TableParagraph"/>
              <w:spacing w:before="18" w:line="286" w:lineRule="exact"/>
              <w:ind w:left="89"/>
              <w:rPr>
                <w:sz w:val="24"/>
              </w:rPr>
            </w:pPr>
            <w:r w:rsidRPr="00C0547C">
              <w:rPr>
                <w:sz w:val="24"/>
              </w:rPr>
              <w:t>Target</w:t>
            </w:r>
          </w:p>
        </w:tc>
        <w:tc>
          <w:tcPr>
            <w:tcW w:w="3194" w:type="dxa"/>
          </w:tcPr>
          <w:p w:rsidR="00A1463E" w:rsidRPr="00C0547C" w:rsidRDefault="00F52429">
            <w:pPr>
              <w:pStyle w:val="TableParagraph"/>
              <w:spacing w:before="18" w:line="286" w:lineRule="exact"/>
              <w:ind w:left="177"/>
              <w:rPr>
                <w:sz w:val="24"/>
              </w:rPr>
            </w:pPr>
            <w:r w:rsidRPr="00C0547C">
              <w:rPr>
                <w:sz w:val="24"/>
              </w:rPr>
              <w:t>Comment on result</w:t>
            </w:r>
          </w:p>
        </w:tc>
      </w:tr>
      <w:tr w:rsidR="00A1463E" w:rsidTr="00D40680">
        <w:trPr>
          <w:trHeight w:val="325"/>
        </w:trPr>
        <w:tc>
          <w:tcPr>
            <w:tcW w:w="5980" w:type="dxa"/>
          </w:tcPr>
          <w:p w:rsidR="00A1463E" w:rsidRDefault="00F52429">
            <w:pPr>
              <w:pStyle w:val="TableParagraph"/>
              <w:spacing w:before="19" w:line="286" w:lineRule="exact"/>
              <w:ind w:left="87"/>
              <w:rPr>
                <w:sz w:val="24"/>
              </w:rPr>
            </w:pPr>
            <w:r>
              <w:rPr>
                <w:sz w:val="24"/>
              </w:rPr>
              <w:t>Number of fatalities</w:t>
            </w:r>
          </w:p>
        </w:tc>
        <w:tc>
          <w:tcPr>
            <w:tcW w:w="1436" w:type="dxa"/>
            <w:shd w:val="clear" w:color="auto" w:fill="auto"/>
          </w:tcPr>
          <w:p w:rsidR="00A1463E" w:rsidRDefault="00F52429">
            <w:pPr>
              <w:pStyle w:val="TableParagraph"/>
              <w:spacing w:before="19" w:line="286" w:lineRule="exact"/>
              <w:ind w:right="69"/>
              <w:jc w:val="right"/>
              <w:rPr>
                <w:sz w:val="24"/>
              </w:rPr>
            </w:pPr>
            <w:r>
              <w:rPr>
                <w:sz w:val="24"/>
              </w:rPr>
              <w:t>Nil</w:t>
            </w:r>
          </w:p>
        </w:tc>
        <w:tc>
          <w:tcPr>
            <w:tcW w:w="1492" w:type="dxa"/>
          </w:tcPr>
          <w:p w:rsidR="00A1463E" w:rsidRDefault="00F52429">
            <w:pPr>
              <w:pStyle w:val="TableParagraph"/>
              <w:spacing w:before="19" w:line="286" w:lineRule="exact"/>
              <w:ind w:right="68"/>
              <w:jc w:val="right"/>
              <w:rPr>
                <w:sz w:val="24"/>
              </w:rPr>
            </w:pPr>
            <w:r>
              <w:rPr>
                <w:sz w:val="24"/>
              </w:rPr>
              <w:t>Nil</w:t>
            </w:r>
          </w:p>
        </w:tc>
        <w:tc>
          <w:tcPr>
            <w:tcW w:w="3372" w:type="dxa"/>
          </w:tcPr>
          <w:p w:rsidR="00A1463E" w:rsidRDefault="00F52429">
            <w:pPr>
              <w:pStyle w:val="TableParagraph"/>
              <w:spacing w:before="19" w:line="286" w:lineRule="exact"/>
              <w:ind w:left="88"/>
              <w:rPr>
                <w:sz w:val="24"/>
              </w:rPr>
            </w:pPr>
            <w:r>
              <w:rPr>
                <w:sz w:val="24"/>
              </w:rPr>
              <w:t>Nil</w:t>
            </w:r>
          </w:p>
        </w:tc>
        <w:tc>
          <w:tcPr>
            <w:tcW w:w="3194" w:type="dxa"/>
          </w:tcPr>
          <w:p w:rsidR="00A1463E" w:rsidRDefault="00F52429">
            <w:pPr>
              <w:pStyle w:val="TableParagraph"/>
              <w:spacing w:before="19" w:line="286" w:lineRule="exact"/>
              <w:ind w:left="177"/>
              <w:rPr>
                <w:sz w:val="24"/>
              </w:rPr>
            </w:pPr>
            <w:r>
              <w:rPr>
                <w:sz w:val="24"/>
              </w:rPr>
              <w:t>Achieved</w:t>
            </w:r>
          </w:p>
        </w:tc>
      </w:tr>
      <w:tr w:rsidR="00A1463E" w:rsidTr="00D40680">
        <w:trPr>
          <w:trHeight w:val="612"/>
        </w:trPr>
        <w:tc>
          <w:tcPr>
            <w:tcW w:w="5980" w:type="dxa"/>
          </w:tcPr>
          <w:p w:rsidR="00A1463E" w:rsidRDefault="00F52429">
            <w:pPr>
              <w:pStyle w:val="TableParagraph"/>
              <w:spacing w:before="19"/>
              <w:ind w:left="87"/>
              <w:rPr>
                <w:sz w:val="24"/>
              </w:rPr>
            </w:pPr>
            <w:r>
              <w:rPr>
                <w:sz w:val="24"/>
              </w:rPr>
              <w:t>Lost time injury and/or disease incidence rate</w:t>
            </w:r>
          </w:p>
        </w:tc>
        <w:tc>
          <w:tcPr>
            <w:tcW w:w="1436" w:type="dxa"/>
            <w:shd w:val="clear" w:color="auto" w:fill="auto"/>
          </w:tcPr>
          <w:p w:rsidR="00A1463E" w:rsidRDefault="00F52429">
            <w:pPr>
              <w:pStyle w:val="TableParagraph"/>
              <w:spacing w:before="19"/>
              <w:ind w:right="69"/>
              <w:jc w:val="right"/>
              <w:rPr>
                <w:sz w:val="24"/>
              </w:rPr>
            </w:pPr>
            <w:r>
              <w:rPr>
                <w:sz w:val="24"/>
              </w:rPr>
              <w:t>3.22%</w:t>
            </w:r>
          </w:p>
        </w:tc>
        <w:tc>
          <w:tcPr>
            <w:tcW w:w="1492" w:type="dxa"/>
          </w:tcPr>
          <w:p w:rsidR="00A1463E" w:rsidRDefault="00F52429">
            <w:pPr>
              <w:pStyle w:val="TableParagraph"/>
              <w:spacing w:before="19"/>
              <w:ind w:right="68"/>
              <w:jc w:val="right"/>
              <w:rPr>
                <w:sz w:val="24"/>
              </w:rPr>
            </w:pPr>
            <w:r>
              <w:rPr>
                <w:sz w:val="24"/>
              </w:rPr>
              <w:t>Nil</w:t>
            </w:r>
          </w:p>
        </w:tc>
        <w:tc>
          <w:tcPr>
            <w:tcW w:w="3372" w:type="dxa"/>
          </w:tcPr>
          <w:p w:rsidR="00A1463E" w:rsidRDefault="00F52429">
            <w:pPr>
              <w:pStyle w:val="TableParagraph"/>
              <w:spacing w:before="19"/>
              <w:ind w:left="88"/>
              <w:rPr>
                <w:sz w:val="24"/>
              </w:rPr>
            </w:pPr>
            <w:r>
              <w:rPr>
                <w:sz w:val="24"/>
              </w:rPr>
              <w:t>At least nil or 10% improvement</w:t>
            </w:r>
          </w:p>
        </w:tc>
        <w:tc>
          <w:tcPr>
            <w:tcW w:w="3194" w:type="dxa"/>
          </w:tcPr>
          <w:p w:rsidR="00A1463E" w:rsidRDefault="00F52429">
            <w:pPr>
              <w:pStyle w:val="TableParagraph"/>
              <w:spacing w:before="17" w:line="288" w:lineRule="exact"/>
              <w:ind w:left="177" w:right="278"/>
              <w:rPr>
                <w:sz w:val="24"/>
              </w:rPr>
            </w:pPr>
            <w:r>
              <w:rPr>
                <w:sz w:val="24"/>
              </w:rPr>
              <w:t>Only one claim lodged since 1 July 2015</w:t>
            </w:r>
          </w:p>
        </w:tc>
      </w:tr>
      <w:tr w:rsidR="00A1463E" w:rsidTr="00D40680">
        <w:trPr>
          <w:trHeight w:val="612"/>
        </w:trPr>
        <w:tc>
          <w:tcPr>
            <w:tcW w:w="5980" w:type="dxa"/>
          </w:tcPr>
          <w:p w:rsidR="00A1463E" w:rsidRDefault="00F52429">
            <w:pPr>
              <w:pStyle w:val="TableParagraph"/>
              <w:spacing w:before="19"/>
              <w:ind w:left="87"/>
              <w:rPr>
                <w:sz w:val="24"/>
              </w:rPr>
            </w:pPr>
            <w:r>
              <w:rPr>
                <w:sz w:val="24"/>
              </w:rPr>
              <w:t>Lost time injury and/or disease severity rate</w:t>
            </w:r>
          </w:p>
        </w:tc>
        <w:tc>
          <w:tcPr>
            <w:tcW w:w="1436" w:type="dxa"/>
            <w:shd w:val="clear" w:color="auto" w:fill="auto"/>
          </w:tcPr>
          <w:p w:rsidR="00A1463E" w:rsidRDefault="00F52429">
            <w:pPr>
              <w:pStyle w:val="TableParagraph"/>
              <w:spacing w:before="19"/>
              <w:ind w:right="69"/>
              <w:jc w:val="right"/>
              <w:rPr>
                <w:sz w:val="24"/>
              </w:rPr>
            </w:pPr>
            <w:r>
              <w:rPr>
                <w:sz w:val="24"/>
              </w:rPr>
              <w:t>Nil</w:t>
            </w:r>
          </w:p>
        </w:tc>
        <w:tc>
          <w:tcPr>
            <w:tcW w:w="1492" w:type="dxa"/>
          </w:tcPr>
          <w:p w:rsidR="00A1463E" w:rsidRDefault="00F52429">
            <w:pPr>
              <w:pStyle w:val="TableParagraph"/>
              <w:spacing w:before="19"/>
              <w:ind w:right="69"/>
              <w:jc w:val="right"/>
              <w:rPr>
                <w:sz w:val="24"/>
              </w:rPr>
            </w:pPr>
            <w:r>
              <w:rPr>
                <w:sz w:val="24"/>
              </w:rPr>
              <w:t>Nil</w:t>
            </w:r>
          </w:p>
        </w:tc>
        <w:tc>
          <w:tcPr>
            <w:tcW w:w="3372" w:type="dxa"/>
          </w:tcPr>
          <w:p w:rsidR="00A1463E" w:rsidRDefault="00F52429">
            <w:pPr>
              <w:pStyle w:val="TableParagraph"/>
              <w:spacing w:before="19"/>
              <w:ind w:left="88"/>
              <w:rPr>
                <w:sz w:val="24"/>
              </w:rPr>
            </w:pPr>
            <w:r>
              <w:rPr>
                <w:sz w:val="24"/>
              </w:rPr>
              <w:t>Nil</w:t>
            </w:r>
          </w:p>
        </w:tc>
        <w:tc>
          <w:tcPr>
            <w:tcW w:w="3194" w:type="dxa"/>
          </w:tcPr>
          <w:p w:rsidR="00A1463E" w:rsidRDefault="00F52429">
            <w:pPr>
              <w:pStyle w:val="TableParagraph"/>
              <w:spacing w:before="17" w:line="288" w:lineRule="exact"/>
              <w:ind w:left="177"/>
              <w:rPr>
                <w:sz w:val="24"/>
              </w:rPr>
            </w:pPr>
            <w:r>
              <w:rPr>
                <w:sz w:val="24"/>
              </w:rPr>
              <w:t>Employee returned to work within 13 weeks</w:t>
            </w:r>
          </w:p>
        </w:tc>
      </w:tr>
      <w:tr w:rsidR="00A1463E" w:rsidTr="00D40680">
        <w:trPr>
          <w:trHeight w:val="325"/>
        </w:trPr>
        <w:tc>
          <w:tcPr>
            <w:tcW w:w="5980" w:type="dxa"/>
          </w:tcPr>
          <w:p w:rsidR="00A1463E" w:rsidRDefault="00F52429">
            <w:pPr>
              <w:pStyle w:val="TableParagraph"/>
              <w:spacing w:before="19" w:line="286" w:lineRule="exact"/>
              <w:ind w:left="87"/>
              <w:rPr>
                <w:sz w:val="24"/>
              </w:rPr>
            </w:pPr>
            <w:r>
              <w:rPr>
                <w:sz w:val="24"/>
              </w:rPr>
              <w:t>Percentage of i</w:t>
            </w:r>
            <w:r w:rsidR="007B2AB2">
              <w:rPr>
                <w:sz w:val="24"/>
              </w:rPr>
              <w:t>njured workers returned to work</w:t>
            </w:r>
          </w:p>
        </w:tc>
        <w:tc>
          <w:tcPr>
            <w:tcW w:w="1436" w:type="dxa"/>
            <w:shd w:val="clear" w:color="auto" w:fill="auto"/>
          </w:tcPr>
          <w:p w:rsidR="00A1463E" w:rsidRDefault="00A1463E">
            <w:pPr>
              <w:pStyle w:val="TableParagraph"/>
              <w:rPr>
                <w:rFonts w:ascii="Times New Roman"/>
                <w:sz w:val="24"/>
              </w:rPr>
            </w:pPr>
          </w:p>
        </w:tc>
        <w:tc>
          <w:tcPr>
            <w:tcW w:w="1492" w:type="dxa"/>
          </w:tcPr>
          <w:p w:rsidR="00A1463E" w:rsidRDefault="00F52429">
            <w:pPr>
              <w:pStyle w:val="TableParagraph"/>
              <w:spacing w:before="19" w:line="286" w:lineRule="exact"/>
              <w:ind w:right="69"/>
              <w:jc w:val="right"/>
              <w:rPr>
                <w:sz w:val="24"/>
              </w:rPr>
            </w:pPr>
            <w:r>
              <w:rPr>
                <w:sz w:val="24"/>
              </w:rPr>
              <w:t>Nil</w:t>
            </w:r>
          </w:p>
        </w:tc>
        <w:tc>
          <w:tcPr>
            <w:tcW w:w="3372" w:type="dxa"/>
          </w:tcPr>
          <w:p w:rsidR="00A1463E" w:rsidRDefault="00F52429">
            <w:pPr>
              <w:pStyle w:val="TableParagraph"/>
              <w:spacing w:before="19" w:line="286" w:lineRule="exact"/>
              <w:ind w:left="88"/>
              <w:rPr>
                <w:sz w:val="24"/>
              </w:rPr>
            </w:pPr>
            <w:r>
              <w:rPr>
                <w:sz w:val="24"/>
              </w:rPr>
              <w:t>Nil</w:t>
            </w:r>
          </w:p>
        </w:tc>
        <w:tc>
          <w:tcPr>
            <w:tcW w:w="3194" w:type="dxa"/>
          </w:tcPr>
          <w:p w:rsidR="00A1463E" w:rsidRDefault="00A1463E">
            <w:pPr>
              <w:pStyle w:val="TableParagraph"/>
              <w:rPr>
                <w:rFonts w:ascii="Times New Roman"/>
                <w:sz w:val="24"/>
              </w:rPr>
            </w:pPr>
          </w:p>
        </w:tc>
      </w:tr>
      <w:tr w:rsidR="00BD7FF8" w:rsidTr="00D40680">
        <w:trPr>
          <w:trHeight w:val="325"/>
        </w:trPr>
        <w:tc>
          <w:tcPr>
            <w:tcW w:w="5980" w:type="dxa"/>
          </w:tcPr>
          <w:p w:rsidR="00BD7FF8" w:rsidRDefault="00BD7FF8">
            <w:pPr>
              <w:pStyle w:val="TableParagraph"/>
              <w:spacing w:before="19" w:line="286" w:lineRule="exact"/>
              <w:ind w:left="87"/>
              <w:rPr>
                <w:sz w:val="24"/>
              </w:rPr>
            </w:pPr>
            <w:r>
              <w:rPr>
                <w:sz w:val="24"/>
              </w:rPr>
              <w:t>Within 13 weeks</w:t>
            </w:r>
          </w:p>
        </w:tc>
        <w:tc>
          <w:tcPr>
            <w:tcW w:w="1436" w:type="dxa"/>
            <w:shd w:val="clear" w:color="auto" w:fill="auto"/>
          </w:tcPr>
          <w:p w:rsidR="00BD7FF8" w:rsidRPr="00636A52" w:rsidRDefault="00636A52" w:rsidP="00636A52">
            <w:pPr>
              <w:pStyle w:val="TableParagraph"/>
              <w:spacing w:before="19" w:line="286" w:lineRule="exact"/>
              <w:ind w:left="87"/>
              <w:rPr>
                <w:sz w:val="24"/>
              </w:rPr>
            </w:pPr>
            <w:r w:rsidRPr="00636A52">
              <w:rPr>
                <w:sz w:val="24"/>
              </w:rPr>
              <w:t>100%</w:t>
            </w:r>
          </w:p>
        </w:tc>
        <w:tc>
          <w:tcPr>
            <w:tcW w:w="1492" w:type="dxa"/>
          </w:tcPr>
          <w:p w:rsidR="00BD7FF8" w:rsidRDefault="00636A52" w:rsidP="00636A52">
            <w:pPr>
              <w:pStyle w:val="TableParagraph"/>
              <w:spacing w:before="19" w:line="286" w:lineRule="exact"/>
              <w:ind w:left="87" w:right="69"/>
              <w:jc w:val="right"/>
              <w:rPr>
                <w:sz w:val="24"/>
              </w:rPr>
            </w:pPr>
            <w:r>
              <w:rPr>
                <w:sz w:val="24"/>
              </w:rPr>
              <w:t>NA</w:t>
            </w:r>
          </w:p>
        </w:tc>
        <w:tc>
          <w:tcPr>
            <w:tcW w:w="3372" w:type="dxa"/>
          </w:tcPr>
          <w:p w:rsidR="00BD7FF8" w:rsidRDefault="00BD7FF8" w:rsidP="00636A52">
            <w:pPr>
              <w:pStyle w:val="TableParagraph"/>
              <w:spacing w:before="19" w:line="286" w:lineRule="exact"/>
              <w:ind w:left="87"/>
              <w:rPr>
                <w:sz w:val="24"/>
              </w:rPr>
            </w:pPr>
          </w:p>
        </w:tc>
        <w:tc>
          <w:tcPr>
            <w:tcW w:w="3194" w:type="dxa"/>
          </w:tcPr>
          <w:p w:rsidR="00BD7FF8" w:rsidRPr="00636A52" w:rsidRDefault="00BD7FF8" w:rsidP="00636A52">
            <w:pPr>
              <w:pStyle w:val="TableParagraph"/>
              <w:spacing w:before="19" w:line="286" w:lineRule="exact"/>
              <w:ind w:left="87"/>
              <w:rPr>
                <w:sz w:val="24"/>
              </w:rPr>
            </w:pPr>
          </w:p>
        </w:tc>
      </w:tr>
      <w:tr w:rsidR="00BD7FF8" w:rsidTr="00D40680">
        <w:trPr>
          <w:trHeight w:val="325"/>
        </w:trPr>
        <w:tc>
          <w:tcPr>
            <w:tcW w:w="5980" w:type="dxa"/>
          </w:tcPr>
          <w:p w:rsidR="00BD7FF8" w:rsidRDefault="00BD7FF8">
            <w:pPr>
              <w:pStyle w:val="TableParagraph"/>
              <w:spacing w:before="19" w:line="286" w:lineRule="exact"/>
              <w:ind w:left="87"/>
              <w:rPr>
                <w:sz w:val="24"/>
              </w:rPr>
            </w:pPr>
            <w:r>
              <w:rPr>
                <w:sz w:val="24"/>
              </w:rPr>
              <w:t>Within 26 weeks</w:t>
            </w:r>
          </w:p>
        </w:tc>
        <w:tc>
          <w:tcPr>
            <w:tcW w:w="1436" w:type="dxa"/>
            <w:shd w:val="clear" w:color="auto" w:fill="auto"/>
          </w:tcPr>
          <w:p w:rsidR="00BD7FF8" w:rsidRPr="00636A52" w:rsidRDefault="00636A52" w:rsidP="00636A52">
            <w:pPr>
              <w:pStyle w:val="TableParagraph"/>
              <w:spacing w:before="19" w:line="286" w:lineRule="exact"/>
              <w:ind w:left="87"/>
              <w:rPr>
                <w:sz w:val="24"/>
              </w:rPr>
            </w:pPr>
            <w:r w:rsidRPr="00636A52">
              <w:rPr>
                <w:sz w:val="24"/>
              </w:rPr>
              <w:t>NA</w:t>
            </w:r>
          </w:p>
        </w:tc>
        <w:tc>
          <w:tcPr>
            <w:tcW w:w="1492" w:type="dxa"/>
          </w:tcPr>
          <w:p w:rsidR="00BD7FF8" w:rsidRDefault="00636A52" w:rsidP="00636A52">
            <w:pPr>
              <w:pStyle w:val="TableParagraph"/>
              <w:spacing w:before="19" w:line="286" w:lineRule="exact"/>
              <w:ind w:left="87" w:right="69"/>
              <w:jc w:val="right"/>
              <w:rPr>
                <w:sz w:val="24"/>
              </w:rPr>
            </w:pPr>
            <w:r>
              <w:rPr>
                <w:sz w:val="24"/>
              </w:rPr>
              <w:t>NA</w:t>
            </w:r>
          </w:p>
        </w:tc>
        <w:tc>
          <w:tcPr>
            <w:tcW w:w="3372" w:type="dxa"/>
          </w:tcPr>
          <w:p w:rsidR="00BD7FF8" w:rsidRDefault="00BD7FF8" w:rsidP="00636A52">
            <w:pPr>
              <w:pStyle w:val="TableParagraph"/>
              <w:spacing w:before="19" w:line="286" w:lineRule="exact"/>
              <w:ind w:left="87"/>
              <w:rPr>
                <w:sz w:val="24"/>
              </w:rPr>
            </w:pPr>
          </w:p>
        </w:tc>
        <w:tc>
          <w:tcPr>
            <w:tcW w:w="3194" w:type="dxa"/>
          </w:tcPr>
          <w:p w:rsidR="00BD7FF8" w:rsidRPr="00636A52" w:rsidRDefault="00BD7FF8" w:rsidP="00636A52">
            <w:pPr>
              <w:pStyle w:val="TableParagraph"/>
              <w:spacing w:before="19" w:line="286" w:lineRule="exact"/>
              <w:ind w:left="87"/>
              <w:rPr>
                <w:sz w:val="24"/>
              </w:rPr>
            </w:pPr>
          </w:p>
        </w:tc>
      </w:tr>
      <w:tr w:rsidR="00BD7FF8" w:rsidTr="00D40680">
        <w:trPr>
          <w:trHeight w:val="325"/>
        </w:trPr>
        <w:tc>
          <w:tcPr>
            <w:tcW w:w="5980" w:type="dxa"/>
          </w:tcPr>
          <w:p w:rsidR="00BD7FF8" w:rsidRDefault="00BD7FF8">
            <w:pPr>
              <w:pStyle w:val="TableParagraph"/>
              <w:spacing w:before="19" w:line="286" w:lineRule="exact"/>
              <w:ind w:left="87"/>
              <w:rPr>
                <w:sz w:val="24"/>
              </w:rPr>
            </w:pPr>
            <w:r>
              <w:rPr>
                <w:sz w:val="24"/>
              </w:rPr>
              <w:t>Percentage of managers trained in occupational safety, health and injury management responsibilities</w:t>
            </w:r>
          </w:p>
        </w:tc>
        <w:tc>
          <w:tcPr>
            <w:tcW w:w="1436" w:type="dxa"/>
            <w:shd w:val="clear" w:color="auto" w:fill="auto"/>
          </w:tcPr>
          <w:p w:rsidR="00BD7FF8" w:rsidRPr="00636A52" w:rsidRDefault="00636A52" w:rsidP="00636A52">
            <w:pPr>
              <w:pStyle w:val="TableParagraph"/>
              <w:spacing w:before="19" w:line="286" w:lineRule="exact"/>
              <w:ind w:left="87"/>
              <w:rPr>
                <w:sz w:val="24"/>
              </w:rPr>
            </w:pPr>
            <w:r w:rsidRPr="00636A52">
              <w:rPr>
                <w:sz w:val="24"/>
              </w:rPr>
              <w:t>93%</w:t>
            </w:r>
          </w:p>
        </w:tc>
        <w:tc>
          <w:tcPr>
            <w:tcW w:w="1492" w:type="dxa"/>
          </w:tcPr>
          <w:p w:rsidR="00BD7FF8" w:rsidRDefault="00636A52" w:rsidP="00636A52">
            <w:pPr>
              <w:pStyle w:val="TableParagraph"/>
              <w:spacing w:before="19" w:line="286" w:lineRule="exact"/>
              <w:ind w:left="87" w:right="69"/>
              <w:jc w:val="right"/>
              <w:rPr>
                <w:sz w:val="24"/>
              </w:rPr>
            </w:pPr>
            <w:r>
              <w:rPr>
                <w:sz w:val="24"/>
              </w:rPr>
              <w:t>0%</w:t>
            </w:r>
          </w:p>
        </w:tc>
        <w:tc>
          <w:tcPr>
            <w:tcW w:w="3372" w:type="dxa"/>
          </w:tcPr>
          <w:p w:rsidR="00BD7FF8" w:rsidRDefault="00636A52" w:rsidP="00636A52">
            <w:pPr>
              <w:pStyle w:val="TableParagraph"/>
              <w:spacing w:before="19" w:line="286" w:lineRule="exact"/>
              <w:ind w:left="87"/>
              <w:rPr>
                <w:sz w:val="24"/>
              </w:rPr>
            </w:pPr>
            <w:r>
              <w:rPr>
                <w:sz w:val="24"/>
              </w:rPr>
              <w:t>Greater tha</w:t>
            </w:r>
            <w:bookmarkStart w:id="68" w:name="_GoBack"/>
            <w:bookmarkEnd w:id="68"/>
            <w:r>
              <w:rPr>
                <w:sz w:val="24"/>
              </w:rPr>
              <w:t>n or equal to 80%</w:t>
            </w:r>
          </w:p>
        </w:tc>
        <w:tc>
          <w:tcPr>
            <w:tcW w:w="3194" w:type="dxa"/>
          </w:tcPr>
          <w:p w:rsidR="00BD7FF8" w:rsidRPr="00636A52" w:rsidRDefault="00636A52" w:rsidP="00636A52">
            <w:pPr>
              <w:pStyle w:val="TableParagraph"/>
              <w:spacing w:before="19" w:line="286" w:lineRule="exact"/>
              <w:ind w:left="87"/>
              <w:rPr>
                <w:sz w:val="24"/>
              </w:rPr>
            </w:pPr>
            <w:r w:rsidRPr="00636A52">
              <w:rPr>
                <w:sz w:val="24"/>
              </w:rPr>
              <w:t>Achieved</w:t>
            </w:r>
          </w:p>
        </w:tc>
      </w:tr>
    </w:tbl>
    <w:p w:rsidR="00A1463E" w:rsidRDefault="00F52429">
      <w:pPr>
        <w:spacing w:before="197"/>
        <w:ind w:left="680"/>
        <w:jc w:val="both"/>
        <w:rPr>
          <w:sz w:val="32"/>
        </w:rPr>
      </w:pPr>
      <w:r>
        <w:rPr>
          <w:color w:val="353434"/>
          <w:sz w:val="32"/>
        </w:rPr>
        <w:t>Legislation administered</w:t>
      </w:r>
    </w:p>
    <w:p w:rsidR="00A1463E" w:rsidRDefault="00F52429">
      <w:pPr>
        <w:pStyle w:val="BodyText"/>
        <w:spacing w:before="30"/>
        <w:ind w:left="680"/>
        <w:jc w:val="both"/>
      </w:pPr>
      <w:r>
        <w:t>The Office of the GCIO does not administer any legislation.</w:t>
      </w:r>
    </w:p>
    <w:p w:rsidR="00A1463E" w:rsidRDefault="00A1463E">
      <w:pPr>
        <w:jc w:val="both"/>
        <w:sectPr w:rsidR="00A1463E">
          <w:pgSz w:w="16840" w:h="11910" w:orient="landscape"/>
          <w:pgMar w:top="220" w:right="0" w:bottom="360" w:left="0" w:header="29" w:footer="145" w:gutter="0"/>
          <w:cols w:space="720"/>
        </w:sectPr>
      </w:pPr>
    </w:p>
    <w:p w:rsidR="00F52429" w:rsidRDefault="00BD7FF8" w:rsidP="00BD7FF8">
      <w:pPr>
        <w:pStyle w:val="Heading1"/>
      </w:pPr>
      <w:r>
        <w:lastRenderedPageBreak/>
        <w:t>Contact Us</w:t>
      </w:r>
    </w:p>
    <w:p w:rsidR="00BD7FF8" w:rsidRDefault="00BD7FF8" w:rsidP="00BD7FF8">
      <w:pPr>
        <w:pStyle w:val="Heading2"/>
      </w:pPr>
      <w:r>
        <w:t xml:space="preserve">Postal address </w:t>
      </w:r>
    </w:p>
    <w:p w:rsidR="00BD7FF8" w:rsidRDefault="00BD7FF8" w:rsidP="00BD7FF8">
      <w:pPr>
        <w:pStyle w:val="BodyText"/>
        <w:ind w:left="709"/>
      </w:pPr>
      <w:r>
        <w:t>Locked Bag 3001, West Perth WA 6872</w:t>
      </w:r>
    </w:p>
    <w:p w:rsidR="00BD7FF8" w:rsidRDefault="00BD7FF8" w:rsidP="00BD7FF8">
      <w:pPr>
        <w:pStyle w:val="Heading2"/>
      </w:pPr>
      <w:r>
        <w:t xml:space="preserve">Website </w:t>
      </w:r>
    </w:p>
    <w:p w:rsidR="00BD7FF8" w:rsidRDefault="00417327" w:rsidP="00BD7FF8">
      <w:pPr>
        <w:pStyle w:val="BodyText"/>
        <w:ind w:left="709"/>
      </w:pPr>
      <w:hyperlink r:id="rId20" w:history="1">
        <w:r w:rsidR="002627E2" w:rsidRPr="002627E2">
          <w:rPr>
            <w:rStyle w:val="Hyperlink"/>
          </w:rPr>
          <w:t>Office of Digital Government website</w:t>
        </w:r>
      </w:hyperlink>
    </w:p>
    <w:p w:rsidR="00BD7FF8" w:rsidRDefault="00BD7FF8" w:rsidP="00BD7FF8">
      <w:pPr>
        <w:pStyle w:val="Heading2"/>
      </w:pPr>
      <w:r>
        <w:t xml:space="preserve">Phone </w:t>
      </w:r>
    </w:p>
    <w:p w:rsidR="00BD7FF8" w:rsidRDefault="00BD7FF8" w:rsidP="00BD7FF8">
      <w:pPr>
        <w:pStyle w:val="BodyText"/>
        <w:ind w:left="709"/>
      </w:pPr>
      <w:r>
        <w:t>08 6551 3900</w:t>
      </w:r>
    </w:p>
    <w:p w:rsidR="00BD7FF8" w:rsidRDefault="00BD7FF8" w:rsidP="00BD7FF8">
      <w:pPr>
        <w:pStyle w:val="Heading2"/>
      </w:pPr>
      <w:r>
        <w:t xml:space="preserve">Email </w:t>
      </w:r>
    </w:p>
    <w:p w:rsidR="00BD7FF8" w:rsidRDefault="00BD7FF8" w:rsidP="00BD7FF8">
      <w:pPr>
        <w:pStyle w:val="BodyText"/>
        <w:ind w:left="709"/>
      </w:pPr>
      <w:r>
        <w:t>dgov-administrator@dpc.wa.gov.au</w:t>
      </w:r>
    </w:p>
    <w:p w:rsidR="00BD7FF8" w:rsidRDefault="00BD7FF8" w:rsidP="00BD7FF8">
      <w:pPr>
        <w:pStyle w:val="ModelBody"/>
      </w:pPr>
    </w:p>
    <w:sectPr w:rsidR="00BD7FF8">
      <w:headerReference w:type="default" r:id="rId21"/>
      <w:footerReference w:type="default" r:id="rId22"/>
      <w:pgSz w:w="16840" w:h="11910" w:orient="landscape"/>
      <w:pgMar w:top="72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EB" w:rsidRDefault="00DC3AEB">
      <w:r>
        <w:separator/>
      </w:r>
    </w:p>
  </w:endnote>
  <w:endnote w:type="continuationSeparator" w:id="0">
    <w:p w:rsidR="00DC3AEB" w:rsidRDefault="00D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EB" w:rsidRDefault="00DC3AEB">
      <w:r>
        <w:separator/>
      </w:r>
    </w:p>
  </w:footnote>
  <w:footnote w:type="continuationSeparator" w:id="0">
    <w:p w:rsidR="00DC3AEB" w:rsidRDefault="00DC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EB" w:rsidRDefault="00DC3A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C8"/>
    <w:multiLevelType w:val="hybridMultilevel"/>
    <w:tmpl w:val="880A5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92751"/>
    <w:multiLevelType w:val="hybridMultilevel"/>
    <w:tmpl w:val="CB365862"/>
    <w:lvl w:ilvl="0" w:tplc="EA789D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A2216"/>
    <w:multiLevelType w:val="hybridMultilevel"/>
    <w:tmpl w:val="AC4C8134"/>
    <w:lvl w:ilvl="0" w:tplc="359AC838">
      <w:start w:val="5"/>
      <w:numFmt w:val="decimal"/>
      <w:lvlText w:val="%1."/>
      <w:lvlJc w:val="left"/>
      <w:pPr>
        <w:ind w:left="855" w:hanging="237"/>
      </w:pPr>
      <w:rPr>
        <w:rFonts w:ascii="Calibri" w:eastAsia="Calibri" w:hAnsi="Calibri" w:cs="Calibri" w:hint="default"/>
        <w:spacing w:val="-5"/>
        <w:w w:val="99"/>
        <w:sz w:val="24"/>
        <w:szCs w:val="24"/>
        <w:lang w:val="en-US" w:eastAsia="en-US" w:bidi="en-US"/>
      </w:rPr>
    </w:lvl>
    <w:lvl w:ilvl="1" w:tplc="9C9A3C58">
      <w:numFmt w:val="bullet"/>
      <w:lvlText w:val="•"/>
      <w:lvlJc w:val="left"/>
      <w:pPr>
        <w:ind w:left="2457" w:hanging="237"/>
      </w:pPr>
      <w:rPr>
        <w:rFonts w:hint="default"/>
        <w:lang w:val="en-US" w:eastAsia="en-US" w:bidi="en-US"/>
      </w:rPr>
    </w:lvl>
    <w:lvl w:ilvl="2" w:tplc="824634B4">
      <w:numFmt w:val="bullet"/>
      <w:lvlText w:val="•"/>
      <w:lvlJc w:val="left"/>
      <w:pPr>
        <w:ind w:left="4055" w:hanging="237"/>
      </w:pPr>
      <w:rPr>
        <w:rFonts w:hint="default"/>
        <w:lang w:val="en-US" w:eastAsia="en-US" w:bidi="en-US"/>
      </w:rPr>
    </w:lvl>
    <w:lvl w:ilvl="3" w:tplc="48B83B98">
      <w:numFmt w:val="bullet"/>
      <w:lvlText w:val="•"/>
      <w:lvlJc w:val="left"/>
      <w:pPr>
        <w:ind w:left="5653" w:hanging="237"/>
      </w:pPr>
      <w:rPr>
        <w:rFonts w:hint="default"/>
        <w:lang w:val="en-US" w:eastAsia="en-US" w:bidi="en-US"/>
      </w:rPr>
    </w:lvl>
    <w:lvl w:ilvl="4" w:tplc="CA7A657A">
      <w:numFmt w:val="bullet"/>
      <w:lvlText w:val="•"/>
      <w:lvlJc w:val="left"/>
      <w:pPr>
        <w:ind w:left="7251" w:hanging="237"/>
      </w:pPr>
      <w:rPr>
        <w:rFonts w:hint="default"/>
        <w:lang w:val="en-US" w:eastAsia="en-US" w:bidi="en-US"/>
      </w:rPr>
    </w:lvl>
    <w:lvl w:ilvl="5" w:tplc="897E2C4E">
      <w:numFmt w:val="bullet"/>
      <w:lvlText w:val="•"/>
      <w:lvlJc w:val="left"/>
      <w:pPr>
        <w:ind w:left="8848" w:hanging="237"/>
      </w:pPr>
      <w:rPr>
        <w:rFonts w:hint="default"/>
        <w:lang w:val="en-US" w:eastAsia="en-US" w:bidi="en-US"/>
      </w:rPr>
    </w:lvl>
    <w:lvl w:ilvl="6" w:tplc="21CE4158">
      <w:numFmt w:val="bullet"/>
      <w:lvlText w:val="•"/>
      <w:lvlJc w:val="left"/>
      <w:pPr>
        <w:ind w:left="10446" w:hanging="237"/>
      </w:pPr>
      <w:rPr>
        <w:rFonts w:hint="default"/>
        <w:lang w:val="en-US" w:eastAsia="en-US" w:bidi="en-US"/>
      </w:rPr>
    </w:lvl>
    <w:lvl w:ilvl="7" w:tplc="3C7CB282">
      <w:numFmt w:val="bullet"/>
      <w:lvlText w:val="•"/>
      <w:lvlJc w:val="left"/>
      <w:pPr>
        <w:ind w:left="12044" w:hanging="237"/>
      </w:pPr>
      <w:rPr>
        <w:rFonts w:hint="default"/>
        <w:lang w:val="en-US" w:eastAsia="en-US" w:bidi="en-US"/>
      </w:rPr>
    </w:lvl>
    <w:lvl w:ilvl="8" w:tplc="B424633E">
      <w:numFmt w:val="bullet"/>
      <w:lvlText w:val="•"/>
      <w:lvlJc w:val="left"/>
      <w:pPr>
        <w:ind w:left="13642" w:hanging="237"/>
      </w:pPr>
      <w:rPr>
        <w:rFonts w:hint="default"/>
        <w:lang w:val="en-US" w:eastAsia="en-US" w:bidi="en-US"/>
      </w:rPr>
    </w:lvl>
  </w:abstractNum>
  <w:abstractNum w:abstractNumId="3" w15:restartNumberingAfterBreak="0">
    <w:nsid w:val="0BC9538F"/>
    <w:multiLevelType w:val="hybridMultilevel"/>
    <w:tmpl w:val="B5C4D96C"/>
    <w:lvl w:ilvl="0" w:tplc="9EF6B0B0">
      <w:start w:val="1"/>
      <w:numFmt w:val="decimal"/>
      <w:lvlText w:val="%1."/>
      <w:lvlJc w:val="left"/>
      <w:pPr>
        <w:ind w:left="916" w:hanging="237"/>
      </w:pPr>
      <w:rPr>
        <w:rFonts w:ascii="Calibri" w:eastAsia="Calibri" w:hAnsi="Calibri" w:cs="Calibri" w:hint="default"/>
        <w:spacing w:val="-6"/>
        <w:w w:val="99"/>
        <w:sz w:val="24"/>
        <w:szCs w:val="24"/>
        <w:lang w:val="en-US" w:eastAsia="en-US" w:bidi="en-US"/>
      </w:rPr>
    </w:lvl>
    <w:lvl w:ilvl="1" w:tplc="CD12BC2A">
      <w:numFmt w:val="bullet"/>
      <w:lvlText w:val="•"/>
      <w:lvlJc w:val="left"/>
      <w:pPr>
        <w:ind w:left="2511" w:hanging="237"/>
      </w:pPr>
      <w:rPr>
        <w:rFonts w:hint="default"/>
        <w:lang w:val="en-US" w:eastAsia="en-US" w:bidi="en-US"/>
      </w:rPr>
    </w:lvl>
    <w:lvl w:ilvl="2" w:tplc="166685C0">
      <w:numFmt w:val="bullet"/>
      <w:lvlText w:val="•"/>
      <w:lvlJc w:val="left"/>
      <w:pPr>
        <w:ind w:left="4103" w:hanging="237"/>
      </w:pPr>
      <w:rPr>
        <w:rFonts w:hint="default"/>
        <w:lang w:val="en-US" w:eastAsia="en-US" w:bidi="en-US"/>
      </w:rPr>
    </w:lvl>
    <w:lvl w:ilvl="3" w:tplc="96D29442">
      <w:numFmt w:val="bullet"/>
      <w:lvlText w:val="•"/>
      <w:lvlJc w:val="left"/>
      <w:pPr>
        <w:ind w:left="5695" w:hanging="237"/>
      </w:pPr>
      <w:rPr>
        <w:rFonts w:hint="default"/>
        <w:lang w:val="en-US" w:eastAsia="en-US" w:bidi="en-US"/>
      </w:rPr>
    </w:lvl>
    <w:lvl w:ilvl="4" w:tplc="386CCE6C">
      <w:numFmt w:val="bullet"/>
      <w:lvlText w:val="•"/>
      <w:lvlJc w:val="left"/>
      <w:pPr>
        <w:ind w:left="7287" w:hanging="237"/>
      </w:pPr>
      <w:rPr>
        <w:rFonts w:hint="default"/>
        <w:lang w:val="en-US" w:eastAsia="en-US" w:bidi="en-US"/>
      </w:rPr>
    </w:lvl>
    <w:lvl w:ilvl="5" w:tplc="96E68F7C">
      <w:numFmt w:val="bullet"/>
      <w:lvlText w:val="•"/>
      <w:lvlJc w:val="left"/>
      <w:pPr>
        <w:ind w:left="8878" w:hanging="237"/>
      </w:pPr>
      <w:rPr>
        <w:rFonts w:hint="default"/>
        <w:lang w:val="en-US" w:eastAsia="en-US" w:bidi="en-US"/>
      </w:rPr>
    </w:lvl>
    <w:lvl w:ilvl="6" w:tplc="FD961986">
      <w:numFmt w:val="bullet"/>
      <w:lvlText w:val="•"/>
      <w:lvlJc w:val="left"/>
      <w:pPr>
        <w:ind w:left="10470" w:hanging="237"/>
      </w:pPr>
      <w:rPr>
        <w:rFonts w:hint="default"/>
        <w:lang w:val="en-US" w:eastAsia="en-US" w:bidi="en-US"/>
      </w:rPr>
    </w:lvl>
    <w:lvl w:ilvl="7" w:tplc="8848DD88">
      <w:numFmt w:val="bullet"/>
      <w:lvlText w:val="•"/>
      <w:lvlJc w:val="left"/>
      <w:pPr>
        <w:ind w:left="12062" w:hanging="237"/>
      </w:pPr>
      <w:rPr>
        <w:rFonts w:hint="default"/>
        <w:lang w:val="en-US" w:eastAsia="en-US" w:bidi="en-US"/>
      </w:rPr>
    </w:lvl>
    <w:lvl w:ilvl="8" w:tplc="26B41024">
      <w:numFmt w:val="bullet"/>
      <w:lvlText w:val="•"/>
      <w:lvlJc w:val="left"/>
      <w:pPr>
        <w:ind w:left="13654" w:hanging="237"/>
      </w:pPr>
      <w:rPr>
        <w:rFonts w:hint="default"/>
        <w:lang w:val="en-US" w:eastAsia="en-US" w:bidi="en-US"/>
      </w:rPr>
    </w:lvl>
  </w:abstractNum>
  <w:abstractNum w:abstractNumId="4" w15:restartNumberingAfterBreak="0">
    <w:nsid w:val="0DCE5BF4"/>
    <w:multiLevelType w:val="hybridMultilevel"/>
    <w:tmpl w:val="9E222AF6"/>
    <w:lvl w:ilvl="0" w:tplc="71CE82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3A6ED5"/>
    <w:multiLevelType w:val="hybridMultilevel"/>
    <w:tmpl w:val="5BB245C8"/>
    <w:lvl w:ilvl="0" w:tplc="F34890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11F93"/>
    <w:multiLevelType w:val="hybridMultilevel"/>
    <w:tmpl w:val="E1DC49F6"/>
    <w:lvl w:ilvl="0" w:tplc="DBD054A0">
      <w:start w:val="1"/>
      <w:numFmt w:val="decimal"/>
      <w:lvlText w:val="%1."/>
      <w:lvlJc w:val="left"/>
      <w:pPr>
        <w:ind w:left="685" w:hanging="237"/>
      </w:pPr>
      <w:rPr>
        <w:rFonts w:ascii="Calibri" w:eastAsia="Calibri" w:hAnsi="Calibri" w:cs="Calibri" w:hint="default"/>
        <w:spacing w:val="-25"/>
        <w:w w:val="98"/>
        <w:sz w:val="24"/>
        <w:szCs w:val="24"/>
        <w:lang w:val="en-US" w:eastAsia="en-US" w:bidi="en-US"/>
      </w:rPr>
    </w:lvl>
    <w:lvl w:ilvl="1" w:tplc="16C4D93C">
      <w:numFmt w:val="bullet"/>
      <w:lvlText w:val="•"/>
      <w:lvlJc w:val="left"/>
      <w:pPr>
        <w:ind w:left="2295" w:hanging="237"/>
      </w:pPr>
      <w:rPr>
        <w:rFonts w:hint="default"/>
        <w:lang w:val="en-US" w:eastAsia="en-US" w:bidi="en-US"/>
      </w:rPr>
    </w:lvl>
    <w:lvl w:ilvl="2" w:tplc="80A22F9A">
      <w:numFmt w:val="bullet"/>
      <w:lvlText w:val="•"/>
      <w:lvlJc w:val="left"/>
      <w:pPr>
        <w:ind w:left="3911" w:hanging="237"/>
      </w:pPr>
      <w:rPr>
        <w:rFonts w:hint="default"/>
        <w:lang w:val="en-US" w:eastAsia="en-US" w:bidi="en-US"/>
      </w:rPr>
    </w:lvl>
    <w:lvl w:ilvl="3" w:tplc="B2EEC82C">
      <w:numFmt w:val="bullet"/>
      <w:lvlText w:val="•"/>
      <w:lvlJc w:val="left"/>
      <w:pPr>
        <w:ind w:left="5527" w:hanging="237"/>
      </w:pPr>
      <w:rPr>
        <w:rFonts w:hint="default"/>
        <w:lang w:val="en-US" w:eastAsia="en-US" w:bidi="en-US"/>
      </w:rPr>
    </w:lvl>
    <w:lvl w:ilvl="4" w:tplc="FB34C338">
      <w:numFmt w:val="bullet"/>
      <w:lvlText w:val="•"/>
      <w:lvlJc w:val="left"/>
      <w:pPr>
        <w:ind w:left="7143" w:hanging="237"/>
      </w:pPr>
      <w:rPr>
        <w:rFonts w:hint="default"/>
        <w:lang w:val="en-US" w:eastAsia="en-US" w:bidi="en-US"/>
      </w:rPr>
    </w:lvl>
    <w:lvl w:ilvl="5" w:tplc="CCDCB756">
      <w:numFmt w:val="bullet"/>
      <w:lvlText w:val="•"/>
      <w:lvlJc w:val="left"/>
      <w:pPr>
        <w:ind w:left="8758" w:hanging="237"/>
      </w:pPr>
      <w:rPr>
        <w:rFonts w:hint="default"/>
        <w:lang w:val="en-US" w:eastAsia="en-US" w:bidi="en-US"/>
      </w:rPr>
    </w:lvl>
    <w:lvl w:ilvl="6" w:tplc="E38E4780">
      <w:numFmt w:val="bullet"/>
      <w:lvlText w:val="•"/>
      <w:lvlJc w:val="left"/>
      <w:pPr>
        <w:ind w:left="10374" w:hanging="237"/>
      </w:pPr>
      <w:rPr>
        <w:rFonts w:hint="default"/>
        <w:lang w:val="en-US" w:eastAsia="en-US" w:bidi="en-US"/>
      </w:rPr>
    </w:lvl>
    <w:lvl w:ilvl="7" w:tplc="4D04F0EE">
      <w:numFmt w:val="bullet"/>
      <w:lvlText w:val="•"/>
      <w:lvlJc w:val="left"/>
      <w:pPr>
        <w:ind w:left="11990" w:hanging="237"/>
      </w:pPr>
      <w:rPr>
        <w:rFonts w:hint="default"/>
        <w:lang w:val="en-US" w:eastAsia="en-US" w:bidi="en-US"/>
      </w:rPr>
    </w:lvl>
    <w:lvl w:ilvl="8" w:tplc="76C272EA">
      <w:numFmt w:val="bullet"/>
      <w:lvlText w:val="•"/>
      <w:lvlJc w:val="left"/>
      <w:pPr>
        <w:ind w:left="13606" w:hanging="237"/>
      </w:pPr>
      <w:rPr>
        <w:rFonts w:hint="default"/>
        <w:lang w:val="en-US" w:eastAsia="en-US" w:bidi="en-US"/>
      </w:rPr>
    </w:lvl>
  </w:abstractNum>
  <w:abstractNum w:abstractNumId="7" w15:restartNumberingAfterBreak="0">
    <w:nsid w:val="1D190D92"/>
    <w:multiLevelType w:val="hybridMultilevel"/>
    <w:tmpl w:val="8F1A6090"/>
    <w:lvl w:ilvl="0" w:tplc="5400E184">
      <w:start w:val="1"/>
      <w:numFmt w:val="bullet"/>
      <w:lvlText w:val=""/>
      <w:lvlJc w:val="left"/>
      <w:pPr>
        <w:ind w:left="1430" w:hanging="360"/>
      </w:pPr>
      <w:rPr>
        <w:rFonts w:ascii="Symbol" w:hAnsi="Symbol" w:hint="default"/>
        <w:color w:val="auto"/>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8" w15:restartNumberingAfterBreak="0">
    <w:nsid w:val="1ECB7CAC"/>
    <w:multiLevelType w:val="hybridMultilevel"/>
    <w:tmpl w:val="5EAC4BA2"/>
    <w:lvl w:ilvl="0" w:tplc="D1BCA3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0D420B5"/>
    <w:multiLevelType w:val="hybridMultilevel"/>
    <w:tmpl w:val="DE8A08D4"/>
    <w:lvl w:ilvl="0" w:tplc="1E9EE604">
      <w:start w:val="1"/>
      <w:numFmt w:val="decimal"/>
      <w:lvlText w:val="%1"/>
      <w:lvlJc w:val="left"/>
      <w:pPr>
        <w:ind w:left="661" w:hanging="147"/>
      </w:pPr>
      <w:rPr>
        <w:rFonts w:ascii="Calibri" w:eastAsia="Calibri" w:hAnsi="Calibri" w:cs="Calibri" w:hint="default"/>
        <w:spacing w:val="-13"/>
        <w:w w:val="99"/>
        <w:sz w:val="20"/>
        <w:szCs w:val="20"/>
        <w:lang w:val="en-US" w:eastAsia="en-US" w:bidi="en-US"/>
      </w:rPr>
    </w:lvl>
    <w:lvl w:ilvl="1" w:tplc="E6F26900">
      <w:numFmt w:val="bullet"/>
      <w:lvlText w:val="•"/>
      <w:lvlJc w:val="left"/>
      <w:pPr>
        <w:ind w:left="1123" w:hanging="147"/>
      </w:pPr>
      <w:rPr>
        <w:rFonts w:hint="default"/>
        <w:lang w:val="en-US" w:eastAsia="en-US" w:bidi="en-US"/>
      </w:rPr>
    </w:lvl>
    <w:lvl w:ilvl="2" w:tplc="9A9A834C">
      <w:numFmt w:val="bullet"/>
      <w:lvlText w:val="•"/>
      <w:lvlJc w:val="left"/>
      <w:pPr>
        <w:ind w:left="1586" w:hanging="147"/>
      </w:pPr>
      <w:rPr>
        <w:rFonts w:hint="default"/>
        <w:lang w:val="en-US" w:eastAsia="en-US" w:bidi="en-US"/>
      </w:rPr>
    </w:lvl>
    <w:lvl w:ilvl="3" w:tplc="7374CB56">
      <w:numFmt w:val="bullet"/>
      <w:lvlText w:val="•"/>
      <w:lvlJc w:val="left"/>
      <w:pPr>
        <w:ind w:left="2049" w:hanging="147"/>
      </w:pPr>
      <w:rPr>
        <w:rFonts w:hint="default"/>
        <w:lang w:val="en-US" w:eastAsia="en-US" w:bidi="en-US"/>
      </w:rPr>
    </w:lvl>
    <w:lvl w:ilvl="4" w:tplc="4BA803C2">
      <w:numFmt w:val="bullet"/>
      <w:lvlText w:val="•"/>
      <w:lvlJc w:val="left"/>
      <w:pPr>
        <w:ind w:left="2512" w:hanging="147"/>
      </w:pPr>
      <w:rPr>
        <w:rFonts w:hint="default"/>
        <w:lang w:val="en-US" w:eastAsia="en-US" w:bidi="en-US"/>
      </w:rPr>
    </w:lvl>
    <w:lvl w:ilvl="5" w:tplc="AA70FB92">
      <w:numFmt w:val="bullet"/>
      <w:lvlText w:val="•"/>
      <w:lvlJc w:val="left"/>
      <w:pPr>
        <w:ind w:left="2975" w:hanging="147"/>
      </w:pPr>
      <w:rPr>
        <w:rFonts w:hint="default"/>
        <w:lang w:val="en-US" w:eastAsia="en-US" w:bidi="en-US"/>
      </w:rPr>
    </w:lvl>
    <w:lvl w:ilvl="6" w:tplc="D07C9A94">
      <w:numFmt w:val="bullet"/>
      <w:lvlText w:val="•"/>
      <w:lvlJc w:val="left"/>
      <w:pPr>
        <w:ind w:left="3438" w:hanging="147"/>
      </w:pPr>
      <w:rPr>
        <w:rFonts w:hint="default"/>
        <w:lang w:val="en-US" w:eastAsia="en-US" w:bidi="en-US"/>
      </w:rPr>
    </w:lvl>
    <w:lvl w:ilvl="7" w:tplc="86A6F6FE">
      <w:numFmt w:val="bullet"/>
      <w:lvlText w:val="•"/>
      <w:lvlJc w:val="left"/>
      <w:pPr>
        <w:ind w:left="3901" w:hanging="147"/>
      </w:pPr>
      <w:rPr>
        <w:rFonts w:hint="default"/>
        <w:lang w:val="en-US" w:eastAsia="en-US" w:bidi="en-US"/>
      </w:rPr>
    </w:lvl>
    <w:lvl w:ilvl="8" w:tplc="164E0948">
      <w:numFmt w:val="bullet"/>
      <w:lvlText w:val="•"/>
      <w:lvlJc w:val="left"/>
      <w:pPr>
        <w:ind w:left="4365" w:hanging="147"/>
      </w:pPr>
      <w:rPr>
        <w:rFonts w:hint="default"/>
        <w:lang w:val="en-US" w:eastAsia="en-US" w:bidi="en-US"/>
      </w:rPr>
    </w:lvl>
  </w:abstractNum>
  <w:abstractNum w:abstractNumId="10" w15:restartNumberingAfterBreak="0">
    <w:nsid w:val="210739AD"/>
    <w:multiLevelType w:val="hybridMultilevel"/>
    <w:tmpl w:val="E40C1B94"/>
    <w:lvl w:ilvl="0" w:tplc="5AE43606">
      <w:start w:val="1"/>
      <w:numFmt w:val="lowerLetter"/>
      <w:lvlText w:val="%1)"/>
      <w:lvlJc w:val="left"/>
      <w:pPr>
        <w:ind w:left="680" w:hanging="207"/>
      </w:pPr>
      <w:rPr>
        <w:rFonts w:ascii="Calibri" w:eastAsia="Calibri" w:hAnsi="Calibri" w:cs="Calibri" w:hint="default"/>
        <w:w w:val="100"/>
        <w:sz w:val="20"/>
        <w:szCs w:val="20"/>
        <w:lang w:val="en-US" w:eastAsia="en-US" w:bidi="en-US"/>
      </w:rPr>
    </w:lvl>
    <w:lvl w:ilvl="1" w:tplc="0AC80AC0">
      <w:start w:val="1"/>
      <w:numFmt w:val="decimal"/>
      <w:lvlText w:val="%2)"/>
      <w:lvlJc w:val="left"/>
      <w:pPr>
        <w:ind w:left="633" w:hanging="251"/>
      </w:pPr>
      <w:rPr>
        <w:rFonts w:ascii="Calibri" w:eastAsia="Calibri" w:hAnsi="Calibri" w:cs="Calibri" w:hint="default"/>
        <w:w w:val="100"/>
        <w:sz w:val="24"/>
        <w:szCs w:val="24"/>
        <w:lang w:val="en-US" w:eastAsia="en-US" w:bidi="en-US"/>
      </w:rPr>
    </w:lvl>
    <w:lvl w:ilvl="2" w:tplc="E3143B9E">
      <w:numFmt w:val="bullet"/>
      <w:lvlText w:val="•"/>
      <w:lvlJc w:val="left"/>
      <w:pPr>
        <w:ind w:left="600" w:hanging="251"/>
      </w:pPr>
      <w:rPr>
        <w:rFonts w:hint="default"/>
        <w:lang w:val="en-US" w:eastAsia="en-US" w:bidi="en-US"/>
      </w:rPr>
    </w:lvl>
    <w:lvl w:ilvl="3" w:tplc="6D083EBA">
      <w:numFmt w:val="bullet"/>
      <w:lvlText w:val="•"/>
      <w:lvlJc w:val="left"/>
      <w:pPr>
        <w:ind w:left="520" w:hanging="251"/>
      </w:pPr>
      <w:rPr>
        <w:rFonts w:hint="default"/>
        <w:lang w:val="en-US" w:eastAsia="en-US" w:bidi="en-US"/>
      </w:rPr>
    </w:lvl>
    <w:lvl w:ilvl="4" w:tplc="B024CBC0">
      <w:numFmt w:val="bullet"/>
      <w:lvlText w:val="•"/>
      <w:lvlJc w:val="left"/>
      <w:pPr>
        <w:ind w:left="440" w:hanging="251"/>
      </w:pPr>
      <w:rPr>
        <w:rFonts w:hint="default"/>
        <w:lang w:val="en-US" w:eastAsia="en-US" w:bidi="en-US"/>
      </w:rPr>
    </w:lvl>
    <w:lvl w:ilvl="5" w:tplc="1EC60C36">
      <w:numFmt w:val="bullet"/>
      <w:lvlText w:val="•"/>
      <w:lvlJc w:val="left"/>
      <w:pPr>
        <w:ind w:left="360" w:hanging="251"/>
      </w:pPr>
      <w:rPr>
        <w:rFonts w:hint="default"/>
        <w:lang w:val="en-US" w:eastAsia="en-US" w:bidi="en-US"/>
      </w:rPr>
    </w:lvl>
    <w:lvl w:ilvl="6" w:tplc="D7AA3992">
      <w:numFmt w:val="bullet"/>
      <w:lvlText w:val="•"/>
      <w:lvlJc w:val="left"/>
      <w:pPr>
        <w:ind w:left="280" w:hanging="251"/>
      </w:pPr>
      <w:rPr>
        <w:rFonts w:hint="default"/>
        <w:lang w:val="en-US" w:eastAsia="en-US" w:bidi="en-US"/>
      </w:rPr>
    </w:lvl>
    <w:lvl w:ilvl="7" w:tplc="E2AECECC">
      <w:numFmt w:val="bullet"/>
      <w:lvlText w:val="•"/>
      <w:lvlJc w:val="left"/>
      <w:pPr>
        <w:ind w:left="200" w:hanging="251"/>
      </w:pPr>
      <w:rPr>
        <w:rFonts w:hint="default"/>
        <w:lang w:val="en-US" w:eastAsia="en-US" w:bidi="en-US"/>
      </w:rPr>
    </w:lvl>
    <w:lvl w:ilvl="8" w:tplc="FA24DAA2">
      <w:numFmt w:val="bullet"/>
      <w:lvlText w:val="•"/>
      <w:lvlJc w:val="left"/>
      <w:pPr>
        <w:ind w:left="120" w:hanging="251"/>
      </w:pPr>
      <w:rPr>
        <w:rFonts w:hint="default"/>
        <w:lang w:val="en-US" w:eastAsia="en-US" w:bidi="en-US"/>
      </w:rPr>
    </w:lvl>
  </w:abstractNum>
  <w:abstractNum w:abstractNumId="11" w15:restartNumberingAfterBreak="0">
    <w:nsid w:val="2757717C"/>
    <w:multiLevelType w:val="hybridMultilevel"/>
    <w:tmpl w:val="D7AA3F24"/>
    <w:lvl w:ilvl="0" w:tplc="9FE21B88">
      <w:start w:val="1"/>
      <w:numFmt w:val="decimal"/>
      <w:lvlText w:val="%1."/>
      <w:lvlJc w:val="left"/>
      <w:pPr>
        <w:ind w:left="921" w:hanging="237"/>
      </w:pPr>
      <w:rPr>
        <w:rFonts w:ascii="Calibri" w:eastAsia="Calibri" w:hAnsi="Calibri" w:cs="Calibri" w:hint="default"/>
        <w:spacing w:val="-14"/>
        <w:w w:val="99"/>
        <w:sz w:val="24"/>
        <w:szCs w:val="24"/>
        <w:lang w:val="en-US" w:eastAsia="en-US" w:bidi="en-US"/>
      </w:rPr>
    </w:lvl>
    <w:lvl w:ilvl="1" w:tplc="83CE0DA6">
      <w:numFmt w:val="bullet"/>
      <w:lvlText w:val="•"/>
      <w:lvlJc w:val="left"/>
      <w:pPr>
        <w:ind w:left="2511" w:hanging="237"/>
      </w:pPr>
      <w:rPr>
        <w:rFonts w:hint="default"/>
        <w:lang w:val="en-US" w:eastAsia="en-US" w:bidi="en-US"/>
      </w:rPr>
    </w:lvl>
    <w:lvl w:ilvl="2" w:tplc="16EE0D02">
      <w:numFmt w:val="bullet"/>
      <w:lvlText w:val="•"/>
      <w:lvlJc w:val="left"/>
      <w:pPr>
        <w:ind w:left="4103" w:hanging="237"/>
      </w:pPr>
      <w:rPr>
        <w:rFonts w:hint="default"/>
        <w:lang w:val="en-US" w:eastAsia="en-US" w:bidi="en-US"/>
      </w:rPr>
    </w:lvl>
    <w:lvl w:ilvl="3" w:tplc="7B92ED64">
      <w:numFmt w:val="bullet"/>
      <w:lvlText w:val="•"/>
      <w:lvlJc w:val="left"/>
      <w:pPr>
        <w:ind w:left="5695" w:hanging="237"/>
      </w:pPr>
      <w:rPr>
        <w:rFonts w:hint="default"/>
        <w:lang w:val="en-US" w:eastAsia="en-US" w:bidi="en-US"/>
      </w:rPr>
    </w:lvl>
    <w:lvl w:ilvl="4" w:tplc="D820D3A8">
      <w:numFmt w:val="bullet"/>
      <w:lvlText w:val="•"/>
      <w:lvlJc w:val="left"/>
      <w:pPr>
        <w:ind w:left="7287" w:hanging="237"/>
      </w:pPr>
      <w:rPr>
        <w:rFonts w:hint="default"/>
        <w:lang w:val="en-US" w:eastAsia="en-US" w:bidi="en-US"/>
      </w:rPr>
    </w:lvl>
    <w:lvl w:ilvl="5" w:tplc="74CC3B58">
      <w:numFmt w:val="bullet"/>
      <w:lvlText w:val="•"/>
      <w:lvlJc w:val="left"/>
      <w:pPr>
        <w:ind w:left="8878" w:hanging="237"/>
      </w:pPr>
      <w:rPr>
        <w:rFonts w:hint="default"/>
        <w:lang w:val="en-US" w:eastAsia="en-US" w:bidi="en-US"/>
      </w:rPr>
    </w:lvl>
    <w:lvl w:ilvl="6" w:tplc="270C7D06">
      <w:numFmt w:val="bullet"/>
      <w:lvlText w:val="•"/>
      <w:lvlJc w:val="left"/>
      <w:pPr>
        <w:ind w:left="10470" w:hanging="237"/>
      </w:pPr>
      <w:rPr>
        <w:rFonts w:hint="default"/>
        <w:lang w:val="en-US" w:eastAsia="en-US" w:bidi="en-US"/>
      </w:rPr>
    </w:lvl>
    <w:lvl w:ilvl="7" w:tplc="CE7AA55A">
      <w:numFmt w:val="bullet"/>
      <w:lvlText w:val="•"/>
      <w:lvlJc w:val="left"/>
      <w:pPr>
        <w:ind w:left="12062" w:hanging="237"/>
      </w:pPr>
      <w:rPr>
        <w:rFonts w:hint="default"/>
        <w:lang w:val="en-US" w:eastAsia="en-US" w:bidi="en-US"/>
      </w:rPr>
    </w:lvl>
    <w:lvl w:ilvl="8" w:tplc="D8E43598">
      <w:numFmt w:val="bullet"/>
      <w:lvlText w:val="•"/>
      <w:lvlJc w:val="left"/>
      <w:pPr>
        <w:ind w:left="13654" w:hanging="237"/>
      </w:pPr>
      <w:rPr>
        <w:rFonts w:hint="default"/>
        <w:lang w:val="en-US" w:eastAsia="en-US" w:bidi="en-US"/>
      </w:rPr>
    </w:lvl>
  </w:abstractNum>
  <w:abstractNum w:abstractNumId="12" w15:restartNumberingAfterBreak="0">
    <w:nsid w:val="289C2667"/>
    <w:multiLevelType w:val="hybridMultilevel"/>
    <w:tmpl w:val="E0EAFF1A"/>
    <w:lvl w:ilvl="0" w:tplc="51EC5A06">
      <w:start w:val="1"/>
      <w:numFmt w:val="decimal"/>
      <w:lvlText w:val="%1."/>
      <w:lvlJc w:val="left"/>
      <w:pPr>
        <w:ind w:left="855" w:hanging="237"/>
      </w:pPr>
      <w:rPr>
        <w:rFonts w:ascii="Calibri" w:eastAsia="Calibri" w:hAnsi="Calibri" w:cs="Calibri" w:hint="default"/>
        <w:spacing w:val="-1"/>
        <w:w w:val="99"/>
        <w:sz w:val="24"/>
        <w:szCs w:val="24"/>
        <w:lang w:val="en-US" w:eastAsia="en-US" w:bidi="en-US"/>
      </w:rPr>
    </w:lvl>
    <w:lvl w:ilvl="1" w:tplc="028AAF78">
      <w:numFmt w:val="bullet"/>
      <w:lvlText w:val="•"/>
      <w:lvlJc w:val="left"/>
      <w:pPr>
        <w:ind w:left="2457" w:hanging="237"/>
      </w:pPr>
      <w:rPr>
        <w:rFonts w:hint="default"/>
        <w:lang w:val="en-US" w:eastAsia="en-US" w:bidi="en-US"/>
      </w:rPr>
    </w:lvl>
    <w:lvl w:ilvl="2" w:tplc="316ED510">
      <w:numFmt w:val="bullet"/>
      <w:lvlText w:val="•"/>
      <w:lvlJc w:val="left"/>
      <w:pPr>
        <w:ind w:left="4055" w:hanging="237"/>
      </w:pPr>
      <w:rPr>
        <w:rFonts w:hint="default"/>
        <w:lang w:val="en-US" w:eastAsia="en-US" w:bidi="en-US"/>
      </w:rPr>
    </w:lvl>
    <w:lvl w:ilvl="3" w:tplc="6BC83326">
      <w:numFmt w:val="bullet"/>
      <w:lvlText w:val="•"/>
      <w:lvlJc w:val="left"/>
      <w:pPr>
        <w:ind w:left="5653" w:hanging="237"/>
      </w:pPr>
      <w:rPr>
        <w:rFonts w:hint="default"/>
        <w:lang w:val="en-US" w:eastAsia="en-US" w:bidi="en-US"/>
      </w:rPr>
    </w:lvl>
    <w:lvl w:ilvl="4" w:tplc="8F4A97E0">
      <w:numFmt w:val="bullet"/>
      <w:lvlText w:val="•"/>
      <w:lvlJc w:val="left"/>
      <w:pPr>
        <w:ind w:left="7251" w:hanging="237"/>
      </w:pPr>
      <w:rPr>
        <w:rFonts w:hint="default"/>
        <w:lang w:val="en-US" w:eastAsia="en-US" w:bidi="en-US"/>
      </w:rPr>
    </w:lvl>
    <w:lvl w:ilvl="5" w:tplc="0CBCDD18">
      <w:numFmt w:val="bullet"/>
      <w:lvlText w:val="•"/>
      <w:lvlJc w:val="left"/>
      <w:pPr>
        <w:ind w:left="8848" w:hanging="237"/>
      </w:pPr>
      <w:rPr>
        <w:rFonts w:hint="default"/>
        <w:lang w:val="en-US" w:eastAsia="en-US" w:bidi="en-US"/>
      </w:rPr>
    </w:lvl>
    <w:lvl w:ilvl="6" w:tplc="83FCE67C">
      <w:numFmt w:val="bullet"/>
      <w:lvlText w:val="•"/>
      <w:lvlJc w:val="left"/>
      <w:pPr>
        <w:ind w:left="10446" w:hanging="237"/>
      </w:pPr>
      <w:rPr>
        <w:rFonts w:hint="default"/>
        <w:lang w:val="en-US" w:eastAsia="en-US" w:bidi="en-US"/>
      </w:rPr>
    </w:lvl>
    <w:lvl w:ilvl="7" w:tplc="E1783E26">
      <w:numFmt w:val="bullet"/>
      <w:lvlText w:val="•"/>
      <w:lvlJc w:val="left"/>
      <w:pPr>
        <w:ind w:left="12044" w:hanging="237"/>
      </w:pPr>
      <w:rPr>
        <w:rFonts w:hint="default"/>
        <w:lang w:val="en-US" w:eastAsia="en-US" w:bidi="en-US"/>
      </w:rPr>
    </w:lvl>
    <w:lvl w:ilvl="8" w:tplc="98C65598">
      <w:numFmt w:val="bullet"/>
      <w:lvlText w:val="•"/>
      <w:lvlJc w:val="left"/>
      <w:pPr>
        <w:ind w:left="13642" w:hanging="237"/>
      </w:pPr>
      <w:rPr>
        <w:rFonts w:hint="default"/>
        <w:lang w:val="en-US" w:eastAsia="en-US" w:bidi="en-US"/>
      </w:rPr>
    </w:lvl>
  </w:abstractNum>
  <w:abstractNum w:abstractNumId="13" w15:restartNumberingAfterBreak="0">
    <w:nsid w:val="2C9B79B2"/>
    <w:multiLevelType w:val="hybridMultilevel"/>
    <w:tmpl w:val="F416B416"/>
    <w:lvl w:ilvl="0" w:tplc="36108E3E">
      <w:start w:val="1"/>
      <w:numFmt w:val="lowerLetter"/>
      <w:lvlText w:val="(%1)"/>
      <w:lvlJc w:val="left"/>
      <w:pPr>
        <w:ind w:left="637" w:hanging="335"/>
      </w:pPr>
      <w:rPr>
        <w:rFonts w:ascii="Calibri" w:eastAsia="Calibri" w:hAnsi="Calibri" w:cs="Calibri" w:hint="default"/>
        <w:spacing w:val="-23"/>
        <w:w w:val="100"/>
        <w:sz w:val="20"/>
        <w:szCs w:val="20"/>
        <w:lang w:val="en-US" w:eastAsia="en-US" w:bidi="en-US"/>
      </w:rPr>
    </w:lvl>
    <w:lvl w:ilvl="1" w:tplc="70FA8806">
      <w:numFmt w:val="bullet"/>
      <w:lvlText w:val="•"/>
      <w:lvlJc w:val="left"/>
      <w:pPr>
        <w:ind w:left="1178" w:hanging="335"/>
      </w:pPr>
      <w:rPr>
        <w:rFonts w:hint="default"/>
        <w:lang w:val="en-US" w:eastAsia="en-US" w:bidi="en-US"/>
      </w:rPr>
    </w:lvl>
    <w:lvl w:ilvl="2" w:tplc="D18EEBD2">
      <w:numFmt w:val="bullet"/>
      <w:lvlText w:val="•"/>
      <w:lvlJc w:val="left"/>
      <w:pPr>
        <w:ind w:left="1717" w:hanging="335"/>
      </w:pPr>
      <w:rPr>
        <w:rFonts w:hint="default"/>
        <w:lang w:val="en-US" w:eastAsia="en-US" w:bidi="en-US"/>
      </w:rPr>
    </w:lvl>
    <w:lvl w:ilvl="3" w:tplc="64B6FA2C">
      <w:numFmt w:val="bullet"/>
      <w:lvlText w:val="•"/>
      <w:lvlJc w:val="left"/>
      <w:pPr>
        <w:ind w:left="2255" w:hanging="335"/>
      </w:pPr>
      <w:rPr>
        <w:rFonts w:hint="default"/>
        <w:lang w:val="en-US" w:eastAsia="en-US" w:bidi="en-US"/>
      </w:rPr>
    </w:lvl>
    <w:lvl w:ilvl="4" w:tplc="FDA66BD2">
      <w:numFmt w:val="bullet"/>
      <w:lvlText w:val="•"/>
      <w:lvlJc w:val="left"/>
      <w:pPr>
        <w:ind w:left="2794" w:hanging="335"/>
      </w:pPr>
      <w:rPr>
        <w:rFonts w:hint="default"/>
        <w:lang w:val="en-US" w:eastAsia="en-US" w:bidi="en-US"/>
      </w:rPr>
    </w:lvl>
    <w:lvl w:ilvl="5" w:tplc="C932365E">
      <w:numFmt w:val="bullet"/>
      <w:lvlText w:val="•"/>
      <w:lvlJc w:val="left"/>
      <w:pPr>
        <w:ind w:left="3333" w:hanging="335"/>
      </w:pPr>
      <w:rPr>
        <w:rFonts w:hint="default"/>
        <w:lang w:val="en-US" w:eastAsia="en-US" w:bidi="en-US"/>
      </w:rPr>
    </w:lvl>
    <w:lvl w:ilvl="6" w:tplc="27F68A26">
      <w:numFmt w:val="bullet"/>
      <w:lvlText w:val="•"/>
      <w:lvlJc w:val="left"/>
      <w:pPr>
        <w:ind w:left="3871" w:hanging="335"/>
      </w:pPr>
      <w:rPr>
        <w:rFonts w:hint="default"/>
        <w:lang w:val="en-US" w:eastAsia="en-US" w:bidi="en-US"/>
      </w:rPr>
    </w:lvl>
    <w:lvl w:ilvl="7" w:tplc="7EC4B2F0">
      <w:numFmt w:val="bullet"/>
      <w:lvlText w:val="•"/>
      <w:lvlJc w:val="left"/>
      <w:pPr>
        <w:ind w:left="4410" w:hanging="335"/>
      </w:pPr>
      <w:rPr>
        <w:rFonts w:hint="default"/>
        <w:lang w:val="en-US" w:eastAsia="en-US" w:bidi="en-US"/>
      </w:rPr>
    </w:lvl>
    <w:lvl w:ilvl="8" w:tplc="339E9E00">
      <w:numFmt w:val="bullet"/>
      <w:lvlText w:val="•"/>
      <w:lvlJc w:val="left"/>
      <w:pPr>
        <w:ind w:left="4949" w:hanging="335"/>
      </w:pPr>
      <w:rPr>
        <w:rFonts w:hint="default"/>
        <w:lang w:val="en-US" w:eastAsia="en-US" w:bidi="en-US"/>
      </w:rPr>
    </w:lvl>
  </w:abstractNum>
  <w:abstractNum w:abstractNumId="14" w15:restartNumberingAfterBreak="0">
    <w:nsid w:val="3A465656"/>
    <w:multiLevelType w:val="hybridMultilevel"/>
    <w:tmpl w:val="BB08AFA0"/>
    <w:lvl w:ilvl="0" w:tplc="5166172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3BE03C01"/>
    <w:multiLevelType w:val="hybridMultilevel"/>
    <w:tmpl w:val="50F07E16"/>
    <w:lvl w:ilvl="0" w:tplc="84703402">
      <w:start w:val="5"/>
      <w:numFmt w:val="decimal"/>
      <w:lvlText w:val="%1."/>
      <w:lvlJc w:val="left"/>
      <w:pPr>
        <w:ind w:left="685" w:hanging="237"/>
      </w:pPr>
      <w:rPr>
        <w:rFonts w:ascii="Calibri" w:eastAsia="Calibri" w:hAnsi="Calibri" w:cs="Calibri" w:hint="default"/>
        <w:spacing w:val="-22"/>
        <w:w w:val="99"/>
        <w:sz w:val="24"/>
        <w:szCs w:val="24"/>
        <w:lang w:val="en-US" w:eastAsia="en-US" w:bidi="en-US"/>
      </w:rPr>
    </w:lvl>
    <w:lvl w:ilvl="1" w:tplc="C1906ACE">
      <w:numFmt w:val="bullet"/>
      <w:lvlText w:val="•"/>
      <w:lvlJc w:val="left"/>
      <w:pPr>
        <w:ind w:left="2295" w:hanging="237"/>
      </w:pPr>
      <w:rPr>
        <w:rFonts w:hint="default"/>
        <w:lang w:val="en-US" w:eastAsia="en-US" w:bidi="en-US"/>
      </w:rPr>
    </w:lvl>
    <w:lvl w:ilvl="2" w:tplc="FC640E52">
      <w:numFmt w:val="bullet"/>
      <w:lvlText w:val="•"/>
      <w:lvlJc w:val="left"/>
      <w:pPr>
        <w:ind w:left="3911" w:hanging="237"/>
      </w:pPr>
      <w:rPr>
        <w:rFonts w:hint="default"/>
        <w:lang w:val="en-US" w:eastAsia="en-US" w:bidi="en-US"/>
      </w:rPr>
    </w:lvl>
    <w:lvl w:ilvl="3" w:tplc="A294B4BC">
      <w:numFmt w:val="bullet"/>
      <w:lvlText w:val="•"/>
      <w:lvlJc w:val="left"/>
      <w:pPr>
        <w:ind w:left="5527" w:hanging="237"/>
      </w:pPr>
      <w:rPr>
        <w:rFonts w:hint="default"/>
        <w:lang w:val="en-US" w:eastAsia="en-US" w:bidi="en-US"/>
      </w:rPr>
    </w:lvl>
    <w:lvl w:ilvl="4" w:tplc="46B2A3D8">
      <w:numFmt w:val="bullet"/>
      <w:lvlText w:val="•"/>
      <w:lvlJc w:val="left"/>
      <w:pPr>
        <w:ind w:left="7143" w:hanging="237"/>
      </w:pPr>
      <w:rPr>
        <w:rFonts w:hint="default"/>
        <w:lang w:val="en-US" w:eastAsia="en-US" w:bidi="en-US"/>
      </w:rPr>
    </w:lvl>
    <w:lvl w:ilvl="5" w:tplc="145C85F8">
      <w:numFmt w:val="bullet"/>
      <w:lvlText w:val="•"/>
      <w:lvlJc w:val="left"/>
      <w:pPr>
        <w:ind w:left="8758" w:hanging="237"/>
      </w:pPr>
      <w:rPr>
        <w:rFonts w:hint="default"/>
        <w:lang w:val="en-US" w:eastAsia="en-US" w:bidi="en-US"/>
      </w:rPr>
    </w:lvl>
    <w:lvl w:ilvl="6" w:tplc="129A0A3E">
      <w:numFmt w:val="bullet"/>
      <w:lvlText w:val="•"/>
      <w:lvlJc w:val="left"/>
      <w:pPr>
        <w:ind w:left="10374" w:hanging="237"/>
      </w:pPr>
      <w:rPr>
        <w:rFonts w:hint="default"/>
        <w:lang w:val="en-US" w:eastAsia="en-US" w:bidi="en-US"/>
      </w:rPr>
    </w:lvl>
    <w:lvl w:ilvl="7" w:tplc="571AF60C">
      <w:numFmt w:val="bullet"/>
      <w:lvlText w:val="•"/>
      <w:lvlJc w:val="left"/>
      <w:pPr>
        <w:ind w:left="11990" w:hanging="237"/>
      </w:pPr>
      <w:rPr>
        <w:rFonts w:hint="default"/>
        <w:lang w:val="en-US" w:eastAsia="en-US" w:bidi="en-US"/>
      </w:rPr>
    </w:lvl>
    <w:lvl w:ilvl="8" w:tplc="CDAE4032">
      <w:numFmt w:val="bullet"/>
      <w:lvlText w:val="•"/>
      <w:lvlJc w:val="left"/>
      <w:pPr>
        <w:ind w:left="13606" w:hanging="237"/>
      </w:pPr>
      <w:rPr>
        <w:rFonts w:hint="default"/>
        <w:lang w:val="en-US" w:eastAsia="en-US" w:bidi="en-US"/>
      </w:rPr>
    </w:lvl>
  </w:abstractNum>
  <w:abstractNum w:abstractNumId="16" w15:restartNumberingAfterBreak="0">
    <w:nsid w:val="3BEF04C6"/>
    <w:multiLevelType w:val="hybridMultilevel"/>
    <w:tmpl w:val="9AD67D8C"/>
    <w:lvl w:ilvl="0" w:tplc="5400E184">
      <w:start w:val="1"/>
      <w:numFmt w:val="bullet"/>
      <w:lvlText w:val=""/>
      <w:lvlJc w:val="left"/>
      <w:pPr>
        <w:ind w:left="1430" w:hanging="360"/>
      </w:pPr>
      <w:rPr>
        <w:rFonts w:ascii="Symbol" w:hAnsi="Symbol" w:hint="default"/>
        <w:color w:val="auto"/>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7" w15:restartNumberingAfterBreak="0">
    <w:nsid w:val="41132AAF"/>
    <w:multiLevelType w:val="hybridMultilevel"/>
    <w:tmpl w:val="4F1C78DC"/>
    <w:lvl w:ilvl="0" w:tplc="1FB2311A">
      <w:start w:val="1"/>
      <w:numFmt w:val="lowerLetter"/>
      <w:lvlText w:val="(%1)"/>
      <w:lvlJc w:val="left"/>
      <w:pPr>
        <w:ind w:left="1036" w:hanging="357"/>
      </w:pPr>
      <w:rPr>
        <w:rFonts w:ascii="Calibri" w:eastAsia="Calibri" w:hAnsi="Calibri" w:cs="Calibri" w:hint="default"/>
        <w:b/>
        <w:bCs/>
        <w:spacing w:val="-9"/>
        <w:w w:val="98"/>
        <w:sz w:val="24"/>
        <w:szCs w:val="24"/>
        <w:lang w:val="en-US" w:eastAsia="en-US" w:bidi="en-US"/>
      </w:rPr>
    </w:lvl>
    <w:lvl w:ilvl="1" w:tplc="FC60AB08">
      <w:numFmt w:val="bullet"/>
      <w:lvlText w:val="•"/>
      <w:lvlJc w:val="left"/>
      <w:pPr>
        <w:ind w:left="1474" w:hanging="357"/>
      </w:pPr>
      <w:rPr>
        <w:rFonts w:hint="default"/>
        <w:lang w:val="en-US" w:eastAsia="en-US" w:bidi="en-US"/>
      </w:rPr>
    </w:lvl>
    <w:lvl w:ilvl="2" w:tplc="064A87EE">
      <w:numFmt w:val="bullet"/>
      <w:lvlText w:val="•"/>
      <w:lvlJc w:val="left"/>
      <w:pPr>
        <w:ind w:left="1909" w:hanging="357"/>
      </w:pPr>
      <w:rPr>
        <w:rFonts w:hint="default"/>
        <w:lang w:val="en-US" w:eastAsia="en-US" w:bidi="en-US"/>
      </w:rPr>
    </w:lvl>
    <w:lvl w:ilvl="3" w:tplc="1850120E">
      <w:numFmt w:val="bullet"/>
      <w:lvlText w:val="•"/>
      <w:lvlJc w:val="left"/>
      <w:pPr>
        <w:ind w:left="2344" w:hanging="357"/>
      </w:pPr>
      <w:rPr>
        <w:rFonts w:hint="default"/>
        <w:lang w:val="en-US" w:eastAsia="en-US" w:bidi="en-US"/>
      </w:rPr>
    </w:lvl>
    <w:lvl w:ilvl="4" w:tplc="F23ECDEE">
      <w:numFmt w:val="bullet"/>
      <w:lvlText w:val="•"/>
      <w:lvlJc w:val="left"/>
      <w:pPr>
        <w:ind w:left="2779" w:hanging="357"/>
      </w:pPr>
      <w:rPr>
        <w:rFonts w:hint="default"/>
        <w:lang w:val="en-US" w:eastAsia="en-US" w:bidi="en-US"/>
      </w:rPr>
    </w:lvl>
    <w:lvl w:ilvl="5" w:tplc="A546E0A2">
      <w:numFmt w:val="bullet"/>
      <w:lvlText w:val="•"/>
      <w:lvlJc w:val="left"/>
      <w:pPr>
        <w:ind w:left="3214" w:hanging="357"/>
      </w:pPr>
      <w:rPr>
        <w:rFonts w:hint="default"/>
        <w:lang w:val="en-US" w:eastAsia="en-US" w:bidi="en-US"/>
      </w:rPr>
    </w:lvl>
    <w:lvl w:ilvl="6" w:tplc="346C7E20">
      <w:numFmt w:val="bullet"/>
      <w:lvlText w:val="•"/>
      <w:lvlJc w:val="left"/>
      <w:pPr>
        <w:ind w:left="3649" w:hanging="357"/>
      </w:pPr>
      <w:rPr>
        <w:rFonts w:hint="default"/>
        <w:lang w:val="en-US" w:eastAsia="en-US" w:bidi="en-US"/>
      </w:rPr>
    </w:lvl>
    <w:lvl w:ilvl="7" w:tplc="35960BC4">
      <w:numFmt w:val="bullet"/>
      <w:lvlText w:val="•"/>
      <w:lvlJc w:val="left"/>
      <w:pPr>
        <w:ind w:left="4084" w:hanging="357"/>
      </w:pPr>
      <w:rPr>
        <w:rFonts w:hint="default"/>
        <w:lang w:val="en-US" w:eastAsia="en-US" w:bidi="en-US"/>
      </w:rPr>
    </w:lvl>
    <w:lvl w:ilvl="8" w:tplc="B70CDD1E">
      <w:numFmt w:val="bullet"/>
      <w:lvlText w:val="•"/>
      <w:lvlJc w:val="left"/>
      <w:pPr>
        <w:ind w:left="4519" w:hanging="357"/>
      </w:pPr>
      <w:rPr>
        <w:rFonts w:hint="default"/>
        <w:lang w:val="en-US" w:eastAsia="en-US" w:bidi="en-US"/>
      </w:rPr>
    </w:lvl>
  </w:abstractNum>
  <w:abstractNum w:abstractNumId="18" w15:restartNumberingAfterBreak="0">
    <w:nsid w:val="417578E9"/>
    <w:multiLevelType w:val="hybridMultilevel"/>
    <w:tmpl w:val="B220E5D4"/>
    <w:lvl w:ilvl="0" w:tplc="79229BEA">
      <w:start w:val="1"/>
      <w:numFmt w:val="lowerLetter"/>
      <w:lvlText w:val="(%1)"/>
      <w:lvlJc w:val="left"/>
      <w:pPr>
        <w:ind w:left="637" w:hanging="290"/>
      </w:pPr>
      <w:rPr>
        <w:rFonts w:hint="default"/>
        <w:spacing w:val="-18"/>
        <w:w w:val="100"/>
        <w:lang w:val="en-US" w:eastAsia="en-US" w:bidi="en-US"/>
      </w:rPr>
    </w:lvl>
    <w:lvl w:ilvl="1" w:tplc="DA1E64A8">
      <w:numFmt w:val="bullet"/>
      <w:lvlText w:val="•"/>
      <w:lvlJc w:val="left"/>
      <w:pPr>
        <w:ind w:left="1178" w:hanging="290"/>
      </w:pPr>
      <w:rPr>
        <w:rFonts w:hint="default"/>
        <w:lang w:val="en-US" w:eastAsia="en-US" w:bidi="en-US"/>
      </w:rPr>
    </w:lvl>
    <w:lvl w:ilvl="2" w:tplc="E6D63FD0">
      <w:numFmt w:val="bullet"/>
      <w:lvlText w:val="•"/>
      <w:lvlJc w:val="left"/>
      <w:pPr>
        <w:ind w:left="1716" w:hanging="290"/>
      </w:pPr>
      <w:rPr>
        <w:rFonts w:hint="default"/>
        <w:lang w:val="en-US" w:eastAsia="en-US" w:bidi="en-US"/>
      </w:rPr>
    </w:lvl>
    <w:lvl w:ilvl="3" w:tplc="6EFAFA06">
      <w:numFmt w:val="bullet"/>
      <w:lvlText w:val="•"/>
      <w:lvlJc w:val="left"/>
      <w:pPr>
        <w:ind w:left="2255" w:hanging="290"/>
      </w:pPr>
      <w:rPr>
        <w:rFonts w:hint="default"/>
        <w:lang w:val="en-US" w:eastAsia="en-US" w:bidi="en-US"/>
      </w:rPr>
    </w:lvl>
    <w:lvl w:ilvl="4" w:tplc="6DD6407A">
      <w:numFmt w:val="bullet"/>
      <w:lvlText w:val="•"/>
      <w:lvlJc w:val="left"/>
      <w:pPr>
        <w:ind w:left="2793" w:hanging="290"/>
      </w:pPr>
      <w:rPr>
        <w:rFonts w:hint="default"/>
        <w:lang w:val="en-US" w:eastAsia="en-US" w:bidi="en-US"/>
      </w:rPr>
    </w:lvl>
    <w:lvl w:ilvl="5" w:tplc="026AF32E">
      <w:numFmt w:val="bullet"/>
      <w:lvlText w:val="•"/>
      <w:lvlJc w:val="left"/>
      <w:pPr>
        <w:ind w:left="3331" w:hanging="290"/>
      </w:pPr>
      <w:rPr>
        <w:rFonts w:hint="default"/>
        <w:lang w:val="en-US" w:eastAsia="en-US" w:bidi="en-US"/>
      </w:rPr>
    </w:lvl>
    <w:lvl w:ilvl="6" w:tplc="CE94AC4A">
      <w:numFmt w:val="bullet"/>
      <w:lvlText w:val="•"/>
      <w:lvlJc w:val="left"/>
      <w:pPr>
        <w:ind w:left="3870" w:hanging="290"/>
      </w:pPr>
      <w:rPr>
        <w:rFonts w:hint="default"/>
        <w:lang w:val="en-US" w:eastAsia="en-US" w:bidi="en-US"/>
      </w:rPr>
    </w:lvl>
    <w:lvl w:ilvl="7" w:tplc="348C4FB4">
      <w:numFmt w:val="bullet"/>
      <w:lvlText w:val="•"/>
      <w:lvlJc w:val="left"/>
      <w:pPr>
        <w:ind w:left="4408" w:hanging="290"/>
      </w:pPr>
      <w:rPr>
        <w:rFonts w:hint="default"/>
        <w:lang w:val="en-US" w:eastAsia="en-US" w:bidi="en-US"/>
      </w:rPr>
    </w:lvl>
    <w:lvl w:ilvl="8" w:tplc="2886FB54">
      <w:numFmt w:val="bullet"/>
      <w:lvlText w:val="•"/>
      <w:lvlJc w:val="left"/>
      <w:pPr>
        <w:ind w:left="4946" w:hanging="290"/>
      </w:pPr>
      <w:rPr>
        <w:rFonts w:hint="default"/>
        <w:lang w:val="en-US" w:eastAsia="en-US" w:bidi="en-US"/>
      </w:rPr>
    </w:lvl>
  </w:abstractNum>
  <w:abstractNum w:abstractNumId="19" w15:restartNumberingAfterBreak="0">
    <w:nsid w:val="44006C57"/>
    <w:multiLevelType w:val="hybridMultilevel"/>
    <w:tmpl w:val="32569476"/>
    <w:lvl w:ilvl="0" w:tplc="F108415E">
      <w:start w:val="1"/>
      <w:numFmt w:val="lowerLetter"/>
      <w:lvlText w:val="(%1)"/>
      <w:lvlJc w:val="left"/>
      <w:pPr>
        <w:ind w:left="788" w:hanging="307"/>
      </w:pPr>
      <w:rPr>
        <w:rFonts w:ascii="Calibri" w:eastAsia="Calibri" w:hAnsi="Calibri" w:cs="Calibri" w:hint="default"/>
        <w:b/>
        <w:bCs/>
        <w:spacing w:val="-9"/>
        <w:w w:val="97"/>
        <w:sz w:val="24"/>
        <w:szCs w:val="24"/>
        <w:lang w:val="en-US" w:eastAsia="en-US" w:bidi="en-US"/>
      </w:rPr>
    </w:lvl>
    <w:lvl w:ilvl="1" w:tplc="330829BE">
      <w:start w:val="1"/>
      <w:numFmt w:val="decimal"/>
      <w:lvlText w:val="%2."/>
      <w:lvlJc w:val="left"/>
      <w:pPr>
        <w:ind w:left="680" w:hanging="237"/>
      </w:pPr>
      <w:rPr>
        <w:rFonts w:ascii="Calibri" w:eastAsia="Calibri" w:hAnsi="Calibri" w:cs="Calibri" w:hint="default"/>
        <w:spacing w:val="-6"/>
        <w:w w:val="99"/>
        <w:sz w:val="24"/>
        <w:szCs w:val="24"/>
        <w:lang w:val="en-US" w:eastAsia="en-US" w:bidi="en-US"/>
      </w:rPr>
    </w:lvl>
    <w:lvl w:ilvl="2" w:tplc="A866CE38">
      <w:numFmt w:val="bullet"/>
      <w:lvlText w:val="•"/>
      <w:lvlJc w:val="left"/>
      <w:pPr>
        <w:ind w:left="1644" w:hanging="237"/>
      </w:pPr>
      <w:rPr>
        <w:rFonts w:hint="default"/>
        <w:lang w:val="en-US" w:eastAsia="en-US" w:bidi="en-US"/>
      </w:rPr>
    </w:lvl>
    <w:lvl w:ilvl="3" w:tplc="C17C2290">
      <w:numFmt w:val="bullet"/>
      <w:lvlText w:val="•"/>
      <w:lvlJc w:val="left"/>
      <w:pPr>
        <w:ind w:left="2508" w:hanging="237"/>
      </w:pPr>
      <w:rPr>
        <w:rFonts w:hint="default"/>
        <w:lang w:val="en-US" w:eastAsia="en-US" w:bidi="en-US"/>
      </w:rPr>
    </w:lvl>
    <w:lvl w:ilvl="4" w:tplc="3B60645C">
      <w:numFmt w:val="bullet"/>
      <w:lvlText w:val="•"/>
      <w:lvlJc w:val="left"/>
      <w:pPr>
        <w:ind w:left="3372" w:hanging="237"/>
      </w:pPr>
      <w:rPr>
        <w:rFonts w:hint="default"/>
        <w:lang w:val="en-US" w:eastAsia="en-US" w:bidi="en-US"/>
      </w:rPr>
    </w:lvl>
    <w:lvl w:ilvl="5" w:tplc="B9E2BF62">
      <w:numFmt w:val="bullet"/>
      <w:lvlText w:val="•"/>
      <w:lvlJc w:val="left"/>
      <w:pPr>
        <w:ind w:left="4236" w:hanging="237"/>
      </w:pPr>
      <w:rPr>
        <w:rFonts w:hint="default"/>
        <w:lang w:val="en-US" w:eastAsia="en-US" w:bidi="en-US"/>
      </w:rPr>
    </w:lvl>
    <w:lvl w:ilvl="6" w:tplc="A5CE66C6">
      <w:numFmt w:val="bullet"/>
      <w:lvlText w:val="•"/>
      <w:lvlJc w:val="left"/>
      <w:pPr>
        <w:ind w:left="5101" w:hanging="237"/>
      </w:pPr>
      <w:rPr>
        <w:rFonts w:hint="default"/>
        <w:lang w:val="en-US" w:eastAsia="en-US" w:bidi="en-US"/>
      </w:rPr>
    </w:lvl>
    <w:lvl w:ilvl="7" w:tplc="2970F5C6">
      <w:numFmt w:val="bullet"/>
      <w:lvlText w:val="•"/>
      <w:lvlJc w:val="left"/>
      <w:pPr>
        <w:ind w:left="5965" w:hanging="237"/>
      </w:pPr>
      <w:rPr>
        <w:rFonts w:hint="default"/>
        <w:lang w:val="en-US" w:eastAsia="en-US" w:bidi="en-US"/>
      </w:rPr>
    </w:lvl>
    <w:lvl w:ilvl="8" w:tplc="4A306A38">
      <w:numFmt w:val="bullet"/>
      <w:lvlText w:val="•"/>
      <w:lvlJc w:val="left"/>
      <w:pPr>
        <w:ind w:left="6829" w:hanging="237"/>
      </w:pPr>
      <w:rPr>
        <w:rFonts w:hint="default"/>
        <w:lang w:val="en-US" w:eastAsia="en-US" w:bidi="en-US"/>
      </w:rPr>
    </w:lvl>
  </w:abstractNum>
  <w:abstractNum w:abstractNumId="20" w15:restartNumberingAfterBreak="0">
    <w:nsid w:val="45516DFF"/>
    <w:multiLevelType w:val="hybridMultilevel"/>
    <w:tmpl w:val="57F6DC66"/>
    <w:lvl w:ilvl="0" w:tplc="F6A22F3E">
      <w:numFmt w:val="bullet"/>
      <w:lvlText w:val="•"/>
      <w:lvlJc w:val="left"/>
      <w:pPr>
        <w:ind w:left="287" w:hanging="171"/>
      </w:pPr>
      <w:rPr>
        <w:rFonts w:ascii="Calibri" w:eastAsia="Calibri" w:hAnsi="Calibri" w:cs="Calibri" w:hint="default"/>
        <w:color w:val="BB8D16"/>
        <w:w w:val="100"/>
        <w:sz w:val="24"/>
        <w:szCs w:val="24"/>
        <w:lang w:val="en-US" w:eastAsia="en-US" w:bidi="en-US"/>
      </w:rPr>
    </w:lvl>
    <w:lvl w:ilvl="1" w:tplc="D8749A6C">
      <w:numFmt w:val="bullet"/>
      <w:lvlText w:val="•"/>
      <w:lvlJc w:val="left"/>
      <w:pPr>
        <w:ind w:left="850" w:hanging="171"/>
      </w:pPr>
      <w:rPr>
        <w:rFonts w:hint="default"/>
        <w:lang w:val="en-US" w:eastAsia="en-US" w:bidi="en-US"/>
      </w:rPr>
    </w:lvl>
    <w:lvl w:ilvl="2" w:tplc="C94E37CE">
      <w:numFmt w:val="bullet"/>
      <w:lvlText w:val="•"/>
      <w:lvlJc w:val="left"/>
      <w:pPr>
        <w:ind w:left="1420" w:hanging="171"/>
      </w:pPr>
      <w:rPr>
        <w:rFonts w:hint="default"/>
        <w:lang w:val="en-US" w:eastAsia="en-US" w:bidi="en-US"/>
      </w:rPr>
    </w:lvl>
    <w:lvl w:ilvl="3" w:tplc="3C10BF70">
      <w:numFmt w:val="bullet"/>
      <w:lvlText w:val="•"/>
      <w:lvlJc w:val="left"/>
      <w:pPr>
        <w:ind w:left="1990" w:hanging="171"/>
      </w:pPr>
      <w:rPr>
        <w:rFonts w:hint="default"/>
        <w:lang w:val="en-US" w:eastAsia="en-US" w:bidi="en-US"/>
      </w:rPr>
    </w:lvl>
    <w:lvl w:ilvl="4" w:tplc="D2BC28CA">
      <w:numFmt w:val="bullet"/>
      <w:lvlText w:val="•"/>
      <w:lvlJc w:val="left"/>
      <w:pPr>
        <w:ind w:left="2560" w:hanging="171"/>
      </w:pPr>
      <w:rPr>
        <w:rFonts w:hint="default"/>
        <w:lang w:val="en-US" w:eastAsia="en-US" w:bidi="en-US"/>
      </w:rPr>
    </w:lvl>
    <w:lvl w:ilvl="5" w:tplc="57E44BD6">
      <w:numFmt w:val="bullet"/>
      <w:lvlText w:val="•"/>
      <w:lvlJc w:val="left"/>
      <w:pPr>
        <w:ind w:left="3130" w:hanging="171"/>
      </w:pPr>
      <w:rPr>
        <w:rFonts w:hint="default"/>
        <w:lang w:val="en-US" w:eastAsia="en-US" w:bidi="en-US"/>
      </w:rPr>
    </w:lvl>
    <w:lvl w:ilvl="6" w:tplc="CCCC2BDE">
      <w:numFmt w:val="bullet"/>
      <w:lvlText w:val="•"/>
      <w:lvlJc w:val="left"/>
      <w:pPr>
        <w:ind w:left="3700" w:hanging="171"/>
      </w:pPr>
      <w:rPr>
        <w:rFonts w:hint="default"/>
        <w:lang w:val="en-US" w:eastAsia="en-US" w:bidi="en-US"/>
      </w:rPr>
    </w:lvl>
    <w:lvl w:ilvl="7" w:tplc="61C4352C">
      <w:numFmt w:val="bullet"/>
      <w:lvlText w:val="•"/>
      <w:lvlJc w:val="left"/>
      <w:pPr>
        <w:ind w:left="4270" w:hanging="171"/>
      </w:pPr>
      <w:rPr>
        <w:rFonts w:hint="default"/>
        <w:lang w:val="en-US" w:eastAsia="en-US" w:bidi="en-US"/>
      </w:rPr>
    </w:lvl>
    <w:lvl w:ilvl="8" w:tplc="2ED861CA">
      <w:numFmt w:val="bullet"/>
      <w:lvlText w:val="•"/>
      <w:lvlJc w:val="left"/>
      <w:pPr>
        <w:ind w:left="4840" w:hanging="171"/>
      </w:pPr>
      <w:rPr>
        <w:rFonts w:hint="default"/>
        <w:lang w:val="en-US" w:eastAsia="en-US" w:bidi="en-US"/>
      </w:rPr>
    </w:lvl>
  </w:abstractNum>
  <w:abstractNum w:abstractNumId="21" w15:restartNumberingAfterBreak="0">
    <w:nsid w:val="4BD0206D"/>
    <w:multiLevelType w:val="hybridMultilevel"/>
    <w:tmpl w:val="4BCC57C0"/>
    <w:lvl w:ilvl="0" w:tplc="EE086490">
      <w:start w:val="6"/>
      <w:numFmt w:val="decimal"/>
      <w:lvlText w:val="%1."/>
      <w:lvlJc w:val="left"/>
      <w:pPr>
        <w:ind w:left="921" w:hanging="237"/>
      </w:pPr>
      <w:rPr>
        <w:rFonts w:ascii="Calibri" w:eastAsia="Calibri" w:hAnsi="Calibri" w:cs="Calibri" w:hint="default"/>
        <w:spacing w:val="-11"/>
        <w:w w:val="99"/>
        <w:sz w:val="24"/>
        <w:szCs w:val="24"/>
        <w:lang w:val="en-US" w:eastAsia="en-US" w:bidi="en-US"/>
      </w:rPr>
    </w:lvl>
    <w:lvl w:ilvl="1" w:tplc="562AECF2">
      <w:numFmt w:val="bullet"/>
      <w:lvlText w:val="•"/>
      <w:lvlJc w:val="left"/>
      <w:pPr>
        <w:ind w:left="2511" w:hanging="237"/>
      </w:pPr>
      <w:rPr>
        <w:rFonts w:hint="default"/>
        <w:lang w:val="en-US" w:eastAsia="en-US" w:bidi="en-US"/>
      </w:rPr>
    </w:lvl>
    <w:lvl w:ilvl="2" w:tplc="C69A759E">
      <w:numFmt w:val="bullet"/>
      <w:lvlText w:val="•"/>
      <w:lvlJc w:val="left"/>
      <w:pPr>
        <w:ind w:left="4103" w:hanging="237"/>
      </w:pPr>
      <w:rPr>
        <w:rFonts w:hint="default"/>
        <w:lang w:val="en-US" w:eastAsia="en-US" w:bidi="en-US"/>
      </w:rPr>
    </w:lvl>
    <w:lvl w:ilvl="3" w:tplc="AFE221CA">
      <w:numFmt w:val="bullet"/>
      <w:lvlText w:val="•"/>
      <w:lvlJc w:val="left"/>
      <w:pPr>
        <w:ind w:left="5695" w:hanging="237"/>
      </w:pPr>
      <w:rPr>
        <w:rFonts w:hint="default"/>
        <w:lang w:val="en-US" w:eastAsia="en-US" w:bidi="en-US"/>
      </w:rPr>
    </w:lvl>
    <w:lvl w:ilvl="4" w:tplc="A69E7CE0">
      <w:numFmt w:val="bullet"/>
      <w:lvlText w:val="•"/>
      <w:lvlJc w:val="left"/>
      <w:pPr>
        <w:ind w:left="7287" w:hanging="237"/>
      </w:pPr>
      <w:rPr>
        <w:rFonts w:hint="default"/>
        <w:lang w:val="en-US" w:eastAsia="en-US" w:bidi="en-US"/>
      </w:rPr>
    </w:lvl>
    <w:lvl w:ilvl="5" w:tplc="FCE43BD2">
      <w:numFmt w:val="bullet"/>
      <w:lvlText w:val="•"/>
      <w:lvlJc w:val="left"/>
      <w:pPr>
        <w:ind w:left="8878" w:hanging="237"/>
      </w:pPr>
      <w:rPr>
        <w:rFonts w:hint="default"/>
        <w:lang w:val="en-US" w:eastAsia="en-US" w:bidi="en-US"/>
      </w:rPr>
    </w:lvl>
    <w:lvl w:ilvl="6" w:tplc="540242F4">
      <w:numFmt w:val="bullet"/>
      <w:lvlText w:val="•"/>
      <w:lvlJc w:val="left"/>
      <w:pPr>
        <w:ind w:left="10470" w:hanging="237"/>
      </w:pPr>
      <w:rPr>
        <w:rFonts w:hint="default"/>
        <w:lang w:val="en-US" w:eastAsia="en-US" w:bidi="en-US"/>
      </w:rPr>
    </w:lvl>
    <w:lvl w:ilvl="7" w:tplc="003091C8">
      <w:numFmt w:val="bullet"/>
      <w:lvlText w:val="•"/>
      <w:lvlJc w:val="left"/>
      <w:pPr>
        <w:ind w:left="12062" w:hanging="237"/>
      </w:pPr>
      <w:rPr>
        <w:rFonts w:hint="default"/>
        <w:lang w:val="en-US" w:eastAsia="en-US" w:bidi="en-US"/>
      </w:rPr>
    </w:lvl>
    <w:lvl w:ilvl="8" w:tplc="0A246298">
      <w:numFmt w:val="bullet"/>
      <w:lvlText w:val="•"/>
      <w:lvlJc w:val="left"/>
      <w:pPr>
        <w:ind w:left="13654" w:hanging="237"/>
      </w:pPr>
      <w:rPr>
        <w:rFonts w:hint="default"/>
        <w:lang w:val="en-US" w:eastAsia="en-US" w:bidi="en-US"/>
      </w:rPr>
    </w:lvl>
  </w:abstractNum>
  <w:abstractNum w:abstractNumId="22" w15:restartNumberingAfterBreak="0">
    <w:nsid w:val="4D8407E2"/>
    <w:multiLevelType w:val="hybridMultilevel"/>
    <w:tmpl w:val="2340A070"/>
    <w:lvl w:ilvl="0" w:tplc="76DE9FF6">
      <w:numFmt w:val="bullet"/>
      <w:lvlText w:val="•"/>
      <w:lvlJc w:val="left"/>
      <w:pPr>
        <w:ind w:left="699" w:hanging="171"/>
      </w:pPr>
      <w:rPr>
        <w:rFonts w:ascii="Calibri" w:eastAsia="Calibri" w:hAnsi="Calibri" w:cs="Calibri" w:hint="default"/>
        <w:color w:val="BB8D16"/>
        <w:w w:val="100"/>
        <w:sz w:val="24"/>
        <w:szCs w:val="24"/>
        <w:lang w:val="en-US" w:eastAsia="en-US" w:bidi="en-US"/>
      </w:rPr>
    </w:lvl>
    <w:lvl w:ilvl="1" w:tplc="245066F4">
      <w:numFmt w:val="bullet"/>
      <w:lvlText w:val="•"/>
      <w:lvlJc w:val="left"/>
      <w:pPr>
        <w:ind w:left="885" w:hanging="171"/>
      </w:pPr>
      <w:rPr>
        <w:rFonts w:ascii="Calibri" w:eastAsia="Calibri" w:hAnsi="Calibri" w:cs="Calibri" w:hint="default"/>
        <w:color w:val="BB8D16"/>
        <w:w w:val="100"/>
        <w:sz w:val="24"/>
        <w:szCs w:val="24"/>
        <w:lang w:val="en-US" w:eastAsia="en-US" w:bidi="en-US"/>
      </w:rPr>
    </w:lvl>
    <w:lvl w:ilvl="2" w:tplc="0ADCD56E">
      <w:numFmt w:val="bullet"/>
      <w:lvlText w:val="–"/>
      <w:lvlJc w:val="left"/>
      <w:pPr>
        <w:ind w:left="978" w:hanging="114"/>
      </w:pPr>
      <w:rPr>
        <w:rFonts w:ascii="Calibri" w:eastAsia="Calibri" w:hAnsi="Calibri" w:cs="Calibri" w:hint="default"/>
        <w:color w:val="BB8D16"/>
        <w:w w:val="66"/>
        <w:sz w:val="24"/>
        <w:szCs w:val="24"/>
        <w:lang w:val="en-US" w:eastAsia="en-US" w:bidi="en-US"/>
      </w:rPr>
    </w:lvl>
    <w:lvl w:ilvl="3" w:tplc="57D889D8">
      <w:numFmt w:val="bullet"/>
      <w:lvlText w:val="•"/>
      <w:lvlJc w:val="left"/>
      <w:pPr>
        <w:ind w:left="1060" w:hanging="114"/>
      </w:pPr>
      <w:rPr>
        <w:rFonts w:hint="default"/>
        <w:lang w:val="en-US" w:eastAsia="en-US" w:bidi="en-US"/>
      </w:rPr>
    </w:lvl>
    <w:lvl w:ilvl="4" w:tplc="A9AE0936">
      <w:numFmt w:val="bullet"/>
      <w:lvlText w:val="•"/>
      <w:lvlJc w:val="left"/>
      <w:pPr>
        <w:ind w:left="514" w:hanging="114"/>
      </w:pPr>
      <w:rPr>
        <w:rFonts w:hint="default"/>
        <w:lang w:val="en-US" w:eastAsia="en-US" w:bidi="en-US"/>
      </w:rPr>
    </w:lvl>
    <w:lvl w:ilvl="5" w:tplc="99643B0E">
      <w:numFmt w:val="bullet"/>
      <w:lvlText w:val="•"/>
      <w:lvlJc w:val="left"/>
      <w:pPr>
        <w:ind w:left="-32" w:hanging="114"/>
      </w:pPr>
      <w:rPr>
        <w:rFonts w:hint="default"/>
        <w:lang w:val="en-US" w:eastAsia="en-US" w:bidi="en-US"/>
      </w:rPr>
    </w:lvl>
    <w:lvl w:ilvl="6" w:tplc="EF08B1A2">
      <w:numFmt w:val="bullet"/>
      <w:lvlText w:val="•"/>
      <w:lvlJc w:val="left"/>
      <w:pPr>
        <w:ind w:left="-578" w:hanging="114"/>
      </w:pPr>
      <w:rPr>
        <w:rFonts w:hint="default"/>
        <w:lang w:val="en-US" w:eastAsia="en-US" w:bidi="en-US"/>
      </w:rPr>
    </w:lvl>
    <w:lvl w:ilvl="7" w:tplc="36D0526C">
      <w:numFmt w:val="bullet"/>
      <w:lvlText w:val="•"/>
      <w:lvlJc w:val="left"/>
      <w:pPr>
        <w:ind w:left="-1124" w:hanging="114"/>
      </w:pPr>
      <w:rPr>
        <w:rFonts w:hint="default"/>
        <w:lang w:val="en-US" w:eastAsia="en-US" w:bidi="en-US"/>
      </w:rPr>
    </w:lvl>
    <w:lvl w:ilvl="8" w:tplc="6786DC8E">
      <w:numFmt w:val="bullet"/>
      <w:lvlText w:val="•"/>
      <w:lvlJc w:val="left"/>
      <w:pPr>
        <w:ind w:left="-1670" w:hanging="114"/>
      </w:pPr>
      <w:rPr>
        <w:rFonts w:hint="default"/>
        <w:lang w:val="en-US" w:eastAsia="en-US" w:bidi="en-US"/>
      </w:rPr>
    </w:lvl>
  </w:abstractNum>
  <w:abstractNum w:abstractNumId="23" w15:restartNumberingAfterBreak="0">
    <w:nsid w:val="4EE1524A"/>
    <w:multiLevelType w:val="hybridMultilevel"/>
    <w:tmpl w:val="510CCFEC"/>
    <w:lvl w:ilvl="0" w:tplc="1034F54A">
      <w:start w:val="1"/>
      <w:numFmt w:val="decimal"/>
      <w:lvlText w:val="%1."/>
      <w:lvlJc w:val="left"/>
      <w:pPr>
        <w:ind w:left="855" w:hanging="237"/>
      </w:pPr>
      <w:rPr>
        <w:rFonts w:ascii="Calibri" w:eastAsia="Calibri" w:hAnsi="Calibri" w:cs="Calibri" w:hint="default"/>
        <w:spacing w:val="-16"/>
        <w:w w:val="99"/>
        <w:sz w:val="24"/>
        <w:szCs w:val="24"/>
        <w:lang w:val="en-US" w:eastAsia="en-US" w:bidi="en-US"/>
      </w:rPr>
    </w:lvl>
    <w:lvl w:ilvl="1" w:tplc="BF14F5EA">
      <w:numFmt w:val="bullet"/>
      <w:lvlText w:val="•"/>
      <w:lvlJc w:val="left"/>
      <w:pPr>
        <w:ind w:left="2457" w:hanging="237"/>
      </w:pPr>
      <w:rPr>
        <w:rFonts w:hint="default"/>
        <w:lang w:val="en-US" w:eastAsia="en-US" w:bidi="en-US"/>
      </w:rPr>
    </w:lvl>
    <w:lvl w:ilvl="2" w:tplc="A80A14F4">
      <w:numFmt w:val="bullet"/>
      <w:lvlText w:val="•"/>
      <w:lvlJc w:val="left"/>
      <w:pPr>
        <w:ind w:left="4055" w:hanging="237"/>
      </w:pPr>
      <w:rPr>
        <w:rFonts w:hint="default"/>
        <w:lang w:val="en-US" w:eastAsia="en-US" w:bidi="en-US"/>
      </w:rPr>
    </w:lvl>
    <w:lvl w:ilvl="3" w:tplc="33584830">
      <w:numFmt w:val="bullet"/>
      <w:lvlText w:val="•"/>
      <w:lvlJc w:val="left"/>
      <w:pPr>
        <w:ind w:left="5653" w:hanging="237"/>
      </w:pPr>
      <w:rPr>
        <w:rFonts w:hint="default"/>
        <w:lang w:val="en-US" w:eastAsia="en-US" w:bidi="en-US"/>
      </w:rPr>
    </w:lvl>
    <w:lvl w:ilvl="4" w:tplc="C4800316">
      <w:numFmt w:val="bullet"/>
      <w:lvlText w:val="•"/>
      <w:lvlJc w:val="left"/>
      <w:pPr>
        <w:ind w:left="7251" w:hanging="237"/>
      </w:pPr>
      <w:rPr>
        <w:rFonts w:hint="default"/>
        <w:lang w:val="en-US" w:eastAsia="en-US" w:bidi="en-US"/>
      </w:rPr>
    </w:lvl>
    <w:lvl w:ilvl="5" w:tplc="C4D493D4">
      <w:numFmt w:val="bullet"/>
      <w:lvlText w:val="•"/>
      <w:lvlJc w:val="left"/>
      <w:pPr>
        <w:ind w:left="8848" w:hanging="237"/>
      </w:pPr>
      <w:rPr>
        <w:rFonts w:hint="default"/>
        <w:lang w:val="en-US" w:eastAsia="en-US" w:bidi="en-US"/>
      </w:rPr>
    </w:lvl>
    <w:lvl w:ilvl="6" w:tplc="A35C8D8A">
      <w:numFmt w:val="bullet"/>
      <w:lvlText w:val="•"/>
      <w:lvlJc w:val="left"/>
      <w:pPr>
        <w:ind w:left="10446" w:hanging="237"/>
      </w:pPr>
      <w:rPr>
        <w:rFonts w:hint="default"/>
        <w:lang w:val="en-US" w:eastAsia="en-US" w:bidi="en-US"/>
      </w:rPr>
    </w:lvl>
    <w:lvl w:ilvl="7" w:tplc="73089D16">
      <w:numFmt w:val="bullet"/>
      <w:lvlText w:val="•"/>
      <w:lvlJc w:val="left"/>
      <w:pPr>
        <w:ind w:left="12044" w:hanging="237"/>
      </w:pPr>
      <w:rPr>
        <w:rFonts w:hint="default"/>
        <w:lang w:val="en-US" w:eastAsia="en-US" w:bidi="en-US"/>
      </w:rPr>
    </w:lvl>
    <w:lvl w:ilvl="8" w:tplc="ED2A1BA0">
      <w:numFmt w:val="bullet"/>
      <w:lvlText w:val="•"/>
      <w:lvlJc w:val="left"/>
      <w:pPr>
        <w:ind w:left="13642" w:hanging="237"/>
      </w:pPr>
      <w:rPr>
        <w:rFonts w:hint="default"/>
        <w:lang w:val="en-US" w:eastAsia="en-US" w:bidi="en-US"/>
      </w:rPr>
    </w:lvl>
  </w:abstractNum>
  <w:abstractNum w:abstractNumId="24" w15:restartNumberingAfterBreak="0">
    <w:nsid w:val="565123B9"/>
    <w:multiLevelType w:val="hybridMultilevel"/>
    <w:tmpl w:val="3222A200"/>
    <w:lvl w:ilvl="0" w:tplc="EB6E80DE">
      <w:start w:val="1"/>
      <w:numFmt w:val="bullet"/>
      <w:lvlText w:val=""/>
      <w:lvlJc w:val="left"/>
      <w:pPr>
        <w:ind w:left="1430" w:hanging="360"/>
      </w:pPr>
      <w:rPr>
        <w:rFonts w:ascii="Symbol" w:hAnsi="Symbol" w:hint="default"/>
        <w:color w:val="003761"/>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5" w15:restartNumberingAfterBreak="0">
    <w:nsid w:val="60461BBC"/>
    <w:multiLevelType w:val="hybridMultilevel"/>
    <w:tmpl w:val="72966228"/>
    <w:lvl w:ilvl="0" w:tplc="11AC622C">
      <w:numFmt w:val="bullet"/>
      <w:lvlText w:val="•"/>
      <w:lvlJc w:val="left"/>
      <w:pPr>
        <w:ind w:left="880" w:hanging="171"/>
      </w:pPr>
      <w:rPr>
        <w:rFonts w:ascii="Calibri" w:eastAsia="Calibri" w:hAnsi="Calibri" w:cs="Calibri" w:hint="default"/>
        <w:color w:val="BB8D16"/>
        <w:w w:val="100"/>
        <w:sz w:val="24"/>
        <w:szCs w:val="24"/>
        <w:lang w:val="en-US" w:eastAsia="en-US" w:bidi="en-US"/>
      </w:rPr>
    </w:lvl>
    <w:lvl w:ilvl="1" w:tplc="B0E4A49E">
      <w:numFmt w:val="bullet"/>
      <w:lvlText w:val="•"/>
      <w:lvlJc w:val="left"/>
      <w:pPr>
        <w:ind w:left="1600" w:hanging="171"/>
      </w:pPr>
      <w:rPr>
        <w:rFonts w:hint="default"/>
        <w:lang w:val="en-US" w:eastAsia="en-US" w:bidi="en-US"/>
      </w:rPr>
    </w:lvl>
    <w:lvl w:ilvl="2" w:tplc="DB981284">
      <w:numFmt w:val="bullet"/>
      <w:lvlText w:val="•"/>
      <w:lvlJc w:val="left"/>
      <w:pPr>
        <w:ind w:left="2320" w:hanging="171"/>
      </w:pPr>
      <w:rPr>
        <w:rFonts w:hint="default"/>
        <w:lang w:val="en-US" w:eastAsia="en-US" w:bidi="en-US"/>
      </w:rPr>
    </w:lvl>
    <w:lvl w:ilvl="3" w:tplc="D61214D8">
      <w:numFmt w:val="bullet"/>
      <w:lvlText w:val="•"/>
      <w:lvlJc w:val="left"/>
      <w:pPr>
        <w:ind w:left="3040" w:hanging="171"/>
      </w:pPr>
      <w:rPr>
        <w:rFonts w:hint="default"/>
        <w:lang w:val="en-US" w:eastAsia="en-US" w:bidi="en-US"/>
      </w:rPr>
    </w:lvl>
    <w:lvl w:ilvl="4" w:tplc="195C3286">
      <w:numFmt w:val="bullet"/>
      <w:lvlText w:val="•"/>
      <w:lvlJc w:val="left"/>
      <w:pPr>
        <w:ind w:left="3760" w:hanging="171"/>
      </w:pPr>
      <w:rPr>
        <w:rFonts w:hint="default"/>
        <w:lang w:val="en-US" w:eastAsia="en-US" w:bidi="en-US"/>
      </w:rPr>
    </w:lvl>
    <w:lvl w:ilvl="5" w:tplc="88A22F4E">
      <w:numFmt w:val="bullet"/>
      <w:lvlText w:val="•"/>
      <w:lvlJc w:val="left"/>
      <w:pPr>
        <w:ind w:left="4480" w:hanging="171"/>
      </w:pPr>
      <w:rPr>
        <w:rFonts w:hint="default"/>
        <w:lang w:val="en-US" w:eastAsia="en-US" w:bidi="en-US"/>
      </w:rPr>
    </w:lvl>
    <w:lvl w:ilvl="6" w:tplc="4140BCD0">
      <w:numFmt w:val="bullet"/>
      <w:lvlText w:val="•"/>
      <w:lvlJc w:val="left"/>
      <w:pPr>
        <w:ind w:left="5200" w:hanging="171"/>
      </w:pPr>
      <w:rPr>
        <w:rFonts w:hint="default"/>
        <w:lang w:val="en-US" w:eastAsia="en-US" w:bidi="en-US"/>
      </w:rPr>
    </w:lvl>
    <w:lvl w:ilvl="7" w:tplc="F3628F94">
      <w:numFmt w:val="bullet"/>
      <w:lvlText w:val="•"/>
      <w:lvlJc w:val="left"/>
      <w:pPr>
        <w:ind w:left="5920" w:hanging="171"/>
      </w:pPr>
      <w:rPr>
        <w:rFonts w:hint="default"/>
        <w:lang w:val="en-US" w:eastAsia="en-US" w:bidi="en-US"/>
      </w:rPr>
    </w:lvl>
    <w:lvl w:ilvl="8" w:tplc="989040CE">
      <w:numFmt w:val="bullet"/>
      <w:lvlText w:val="•"/>
      <w:lvlJc w:val="left"/>
      <w:pPr>
        <w:ind w:left="6641" w:hanging="171"/>
      </w:pPr>
      <w:rPr>
        <w:rFonts w:hint="default"/>
        <w:lang w:val="en-US" w:eastAsia="en-US" w:bidi="en-US"/>
      </w:rPr>
    </w:lvl>
  </w:abstractNum>
  <w:abstractNum w:abstractNumId="26" w15:restartNumberingAfterBreak="0">
    <w:nsid w:val="614E2FE8"/>
    <w:multiLevelType w:val="hybridMultilevel"/>
    <w:tmpl w:val="94C60B90"/>
    <w:lvl w:ilvl="0" w:tplc="31C600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223632"/>
    <w:multiLevelType w:val="hybridMultilevel"/>
    <w:tmpl w:val="5030B9D2"/>
    <w:lvl w:ilvl="0" w:tplc="67E65D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C74F5D"/>
    <w:multiLevelType w:val="hybridMultilevel"/>
    <w:tmpl w:val="CF94DFEE"/>
    <w:lvl w:ilvl="0" w:tplc="4F500736">
      <w:start w:val="1"/>
      <w:numFmt w:val="lowerLetter"/>
      <w:lvlText w:val="(%1)"/>
      <w:lvlJc w:val="left"/>
      <w:pPr>
        <w:ind w:left="680" w:hanging="263"/>
      </w:pPr>
      <w:rPr>
        <w:rFonts w:ascii="Calibri" w:eastAsia="Calibri" w:hAnsi="Calibri" w:cs="Calibri" w:hint="default"/>
        <w:spacing w:val="-1"/>
        <w:w w:val="100"/>
        <w:sz w:val="20"/>
        <w:szCs w:val="20"/>
        <w:lang w:val="en-US" w:eastAsia="en-US" w:bidi="en-US"/>
      </w:rPr>
    </w:lvl>
    <w:lvl w:ilvl="1" w:tplc="F1087130">
      <w:numFmt w:val="bullet"/>
      <w:lvlText w:val="•"/>
      <w:lvlJc w:val="left"/>
      <w:pPr>
        <w:ind w:left="2295" w:hanging="263"/>
      </w:pPr>
      <w:rPr>
        <w:rFonts w:hint="default"/>
        <w:lang w:val="en-US" w:eastAsia="en-US" w:bidi="en-US"/>
      </w:rPr>
    </w:lvl>
    <w:lvl w:ilvl="2" w:tplc="A7E45406">
      <w:numFmt w:val="bullet"/>
      <w:lvlText w:val="•"/>
      <w:lvlJc w:val="left"/>
      <w:pPr>
        <w:ind w:left="3911" w:hanging="263"/>
      </w:pPr>
      <w:rPr>
        <w:rFonts w:hint="default"/>
        <w:lang w:val="en-US" w:eastAsia="en-US" w:bidi="en-US"/>
      </w:rPr>
    </w:lvl>
    <w:lvl w:ilvl="3" w:tplc="DBA4B242">
      <w:numFmt w:val="bullet"/>
      <w:lvlText w:val="•"/>
      <w:lvlJc w:val="left"/>
      <w:pPr>
        <w:ind w:left="5527" w:hanging="263"/>
      </w:pPr>
      <w:rPr>
        <w:rFonts w:hint="default"/>
        <w:lang w:val="en-US" w:eastAsia="en-US" w:bidi="en-US"/>
      </w:rPr>
    </w:lvl>
    <w:lvl w:ilvl="4" w:tplc="0FAA5E5E">
      <w:numFmt w:val="bullet"/>
      <w:lvlText w:val="•"/>
      <w:lvlJc w:val="left"/>
      <w:pPr>
        <w:ind w:left="7143" w:hanging="263"/>
      </w:pPr>
      <w:rPr>
        <w:rFonts w:hint="default"/>
        <w:lang w:val="en-US" w:eastAsia="en-US" w:bidi="en-US"/>
      </w:rPr>
    </w:lvl>
    <w:lvl w:ilvl="5" w:tplc="D3A27B78">
      <w:numFmt w:val="bullet"/>
      <w:lvlText w:val="•"/>
      <w:lvlJc w:val="left"/>
      <w:pPr>
        <w:ind w:left="8758" w:hanging="263"/>
      </w:pPr>
      <w:rPr>
        <w:rFonts w:hint="default"/>
        <w:lang w:val="en-US" w:eastAsia="en-US" w:bidi="en-US"/>
      </w:rPr>
    </w:lvl>
    <w:lvl w:ilvl="6" w:tplc="22DCCD0E">
      <w:numFmt w:val="bullet"/>
      <w:lvlText w:val="•"/>
      <w:lvlJc w:val="left"/>
      <w:pPr>
        <w:ind w:left="10374" w:hanging="263"/>
      </w:pPr>
      <w:rPr>
        <w:rFonts w:hint="default"/>
        <w:lang w:val="en-US" w:eastAsia="en-US" w:bidi="en-US"/>
      </w:rPr>
    </w:lvl>
    <w:lvl w:ilvl="7" w:tplc="1D0006DA">
      <w:numFmt w:val="bullet"/>
      <w:lvlText w:val="•"/>
      <w:lvlJc w:val="left"/>
      <w:pPr>
        <w:ind w:left="11990" w:hanging="263"/>
      </w:pPr>
      <w:rPr>
        <w:rFonts w:hint="default"/>
        <w:lang w:val="en-US" w:eastAsia="en-US" w:bidi="en-US"/>
      </w:rPr>
    </w:lvl>
    <w:lvl w:ilvl="8" w:tplc="50040538">
      <w:numFmt w:val="bullet"/>
      <w:lvlText w:val="•"/>
      <w:lvlJc w:val="left"/>
      <w:pPr>
        <w:ind w:left="13606" w:hanging="263"/>
      </w:pPr>
      <w:rPr>
        <w:rFonts w:hint="default"/>
        <w:lang w:val="en-US" w:eastAsia="en-US" w:bidi="en-US"/>
      </w:rPr>
    </w:lvl>
  </w:abstractNum>
  <w:abstractNum w:abstractNumId="29" w15:restartNumberingAfterBreak="0">
    <w:nsid w:val="70302D82"/>
    <w:multiLevelType w:val="hybridMultilevel"/>
    <w:tmpl w:val="3B4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7A16CE"/>
    <w:multiLevelType w:val="hybridMultilevel"/>
    <w:tmpl w:val="4164FBAE"/>
    <w:lvl w:ilvl="0" w:tplc="D018BCD8">
      <w:start w:val="2"/>
      <w:numFmt w:val="decimal"/>
      <w:lvlText w:val="%1."/>
      <w:lvlJc w:val="left"/>
      <w:pPr>
        <w:ind w:left="685" w:hanging="237"/>
      </w:pPr>
      <w:rPr>
        <w:rFonts w:ascii="Calibri" w:eastAsia="Calibri" w:hAnsi="Calibri" w:cs="Calibri" w:hint="default"/>
        <w:spacing w:val="-22"/>
        <w:w w:val="99"/>
        <w:sz w:val="24"/>
        <w:szCs w:val="24"/>
        <w:lang w:val="en-US" w:eastAsia="en-US" w:bidi="en-US"/>
      </w:rPr>
    </w:lvl>
    <w:lvl w:ilvl="1" w:tplc="2A9299EC">
      <w:numFmt w:val="bullet"/>
      <w:lvlText w:val="•"/>
      <w:lvlJc w:val="left"/>
      <w:pPr>
        <w:ind w:left="2295" w:hanging="237"/>
      </w:pPr>
      <w:rPr>
        <w:rFonts w:hint="default"/>
        <w:lang w:val="en-US" w:eastAsia="en-US" w:bidi="en-US"/>
      </w:rPr>
    </w:lvl>
    <w:lvl w:ilvl="2" w:tplc="9474BB44">
      <w:numFmt w:val="bullet"/>
      <w:lvlText w:val="•"/>
      <w:lvlJc w:val="left"/>
      <w:pPr>
        <w:ind w:left="3911" w:hanging="237"/>
      </w:pPr>
      <w:rPr>
        <w:rFonts w:hint="default"/>
        <w:lang w:val="en-US" w:eastAsia="en-US" w:bidi="en-US"/>
      </w:rPr>
    </w:lvl>
    <w:lvl w:ilvl="3" w:tplc="CA0008B6">
      <w:numFmt w:val="bullet"/>
      <w:lvlText w:val="•"/>
      <w:lvlJc w:val="left"/>
      <w:pPr>
        <w:ind w:left="5527" w:hanging="237"/>
      </w:pPr>
      <w:rPr>
        <w:rFonts w:hint="default"/>
        <w:lang w:val="en-US" w:eastAsia="en-US" w:bidi="en-US"/>
      </w:rPr>
    </w:lvl>
    <w:lvl w:ilvl="4" w:tplc="9BEE9820">
      <w:numFmt w:val="bullet"/>
      <w:lvlText w:val="•"/>
      <w:lvlJc w:val="left"/>
      <w:pPr>
        <w:ind w:left="7143" w:hanging="237"/>
      </w:pPr>
      <w:rPr>
        <w:rFonts w:hint="default"/>
        <w:lang w:val="en-US" w:eastAsia="en-US" w:bidi="en-US"/>
      </w:rPr>
    </w:lvl>
    <w:lvl w:ilvl="5" w:tplc="9E74416A">
      <w:numFmt w:val="bullet"/>
      <w:lvlText w:val="•"/>
      <w:lvlJc w:val="left"/>
      <w:pPr>
        <w:ind w:left="8758" w:hanging="237"/>
      </w:pPr>
      <w:rPr>
        <w:rFonts w:hint="default"/>
        <w:lang w:val="en-US" w:eastAsia="en-US" w:bidi="en-US"/>
      </w:rPr>
    </w:lvl>
    <w:lvl w:ilvl="6" w:tplc="ECC6FF00">
      <w:numFmt w:val="bullet"/>
      <w:lvlText w:val="•"/>
      <w:lvlJc w:val="left"/>
      <w:pPr>
        <w:ind w:left="10374" w:hanging="237"/>
      </w:pPr>
      <w:rPr>
        <w:rFonts w:hint="default"/>
        <w:lang w:val="en-US" w:eastAsia="en-US" w:bidi="en-US"/>
      </w:rPr>
    </w:lvl>
    <w:lvl w:ilvl="7" w:tplc="6374EB10">
      <w:numFmt w:val="bullet"/>
      <w:lvlText w:val="•"/>
      <w:lvlJc w:val="left"/>
      <w:pPr>
        <w:ind w:left="11990" w:hanging="237"/>
      </w:pPr>
      <w:rPr>
        <w:rFonts w:hint="default"/>
        <w:lang w:val="en-US" w:eastAsia="en-US" w:bidi="en-US"/>
      </w:rPr>
    </w:lvl>
    <w:lvl w:ilvl="8" w:tplc="52DE7F26">
      <w:numFmt w:val="bullet"/>
      <w:lvlText w:val="•"/>
      <w:lvlJc w:val="left"/>
      <w:pPr>
        <w:ind w:left="13606" w:hanging="237"/>
      </w:pPr>
      <w:rPr>
        <w:rFonts w:hint="default"/>
        <w:lang w:val="en-US" w:eastAsia="en-US" w:bidi="en-US"/>
      </w:rPr>
    </w:lvl>
  </w:abstractNum>
  <w:abstractNum w:abstractNumId="31" w15:restartNumberingAfterBreak="0">
    <w:nsid w:val="7F8205BA"/>
    <w:multiLevelType w:val="hybridMultilevel"/>
    <w:tmpl w:val="C826FDDA"/>
    <w:lvl w:ilvl="0" w:tplc="5CBCF5A2">
      <w:numFmt w:val="bullet"/>
      <w:lvlText w:val="•"/>
      <w:lvlJc w:val="left"/>
      <w:pPr>
        <w:ind w:left="287" w:hanging="171"/>
      </w:pPr>
      <w:rPr>
        <w:rFonts w:ascii="Calibri" w:eastAsia="Calibri" w:hAnsi="Calibri" w:cs="Calibri" w:hint="default"/>
        <w:color w:val="BB8D16"/>
        <w:w w:val="100"/>
        <w:sz w:val="24"/>
        <w:szCs w:val="24"/>
        <w:lang w:val="en-US" w:eastAsia="en-US" w:bidi="en-US"/>
      </w:rPr>
    </w:lvl>
    <w:lvl w:ilvl="1" w:tplc="11949808">
      <w:numFmt w:val="bullet"/>
      <w:lvlText w:val="•"/>
      <w:lvlJc w:val="left"/>
      <w:pPr>
        <w:ind w:left="850" w:hanging="171"/>
      </w:pPr>
      <w:rPr>
        <w:rFonts w:hint="default"/>
        <w:lang w:val="en-US" w:eastAsia="en-US" w:bidi="en-US"/>
      </w:rPr>
    </w:lvl>
    <w:lvl w:ilvl="2" w:tplc="0DE0C784">
      <w:numFmt w:val="bullet"/>
      <w:lvlText w:val="•"/>
      <w:lvlJc w:val="left"/>
      <w:pPr>
        <w:ind w:left="1420" w:hanging="171"/>
      </w:pPr>
      <w:rPr>
        <w:rFonts w:hint="default"/>
        <w:lang w:val="en-US" w:eastAsia="en-US" w:bidi="en-US"/>
      </w:rPr>
    </w:lvl>
    <w:lvl w:ilvl="3" w:tplc="B41297D2">
      <w:numFmt w:val="bullet"/>
      <w:lvlText w:val="•"/>
      <w:lvlJc w:val="left"/>
      <w:pPr>
        <w:ind w:left="1990" w:hanging="171"/>
      </w:pPr>
      <w:rPr>
        <w:rFonts w:hint="default"/>
        <w:lang w:val="en-US" w:eastAsia="en-US" w:bidi="en-US"/>
      </w:rPr>
    </w:lvl>
    <w:lvl w:ilvl="4" w:tplc="DEC0104C">
      <w:numFmt w:val="bullet"/>
      <w:lvlText w:val="•"/>
      <w:lvlJc w:val="left"/>
      <w:pPr>
        <w:ind w:left="2560" w:hanging="171"/>
      </w:pPr>
      <w:rPr>
        <w:rFonts w:hint="default"/>
        <w:lang w:val="en-US" w:eastAsia="en-US" w:bidi="en-US"/>
      </w:rPr>
    </w:lvl>
    <w:lvl w:ilvl="5" w:tplc="92402850">
      <w:numFmt w:val="bullet"/>
      <w:lvlText w:val="•"/>
      <w:lvlJc w:val="left"/>
      <w:pPr>
        <w:ind w:left="3130" w:hanging="171"/>
      </w:pPr>
      <w:rPr>
        <w:rFonts w:hint="default"/>
        <w:lang w:val="en-US" w:eastAsia="en-US" w:bidi="en-US"/>
      </w:rPr>
    </w:lvl>
    <w:lvl w:ilvl="6" w:tplc="FC82B294">
      <w:numFmt w:val="bullet"/>
      <w:lvlText w:val="•"/>
      <w:lvlJc w:val="left"/>
      <w:pPr>
        <w:ind w:left="3700" w:hanging="171"/>
      </w:pPr>
      <w:rPr>
        <w:rFonts w:hint="default"/>
        <w:lang w:val="en-US" w:eastAsia="en-US" w:bidi="en-US"/>
      </w:rPr>
    </w:lvl>
    <w:lvl w:ilvl="7" w:tplc="476ED990">
      <w:numFmt w:val="bullet"/>
      <w:lvlText w:val="•"/>
      <w:lvlJc w:val="left"/>
      <w:pPr>
        <w:ind w:left="4270" w:hanging="171"/>
      </w:pPr>
      <w:rPr>
        <w:rFonts w:hint="default"/>
        <w:lang w:val="en-US" w:eastAsia="en-US" w:bidi="en-US"/>
      </w:rPr>
    </w:lvl>
    <w:lvl w:ilvl="8" w:tplc="E45658F6">
      <w:numFmt w:val="bullet"/>
      <w:lvlText w:val="•"/>
      <w:lvlJc w:val="left"/>
      <w:pPr>
        <w:ind w:left="4840" w:hanging="171"/>
      </w:pPr>
      <w:rPr>
        <w:rFonts w:hint="default"/>
        <w:lang w:val="en-US" w:eastAsia="en-US" w:bidi="en-US"/>
      </w:rPr>
    </w:lvl>
  </w:abstractNum>
  <w:num w:numId="1">
    <w:abstractNumId w:val="20"/>
  </w:num>
  <w:num w:numId="2">
    <w:abstractNumId w:val="31"/>
  </w:num>
  <w:num w:numId="3">
    <w:abstractNumId w:val="10"/>
  </w:num>
  <w:num w:numId="4">
    <w:abstractNumId w:val="3"/>
  </w:num>
  <w:num w:numId="5">
    <w:abstractNumId w:val="19"/>
  </w:num>
  <w:num w:numId="6">
    <w:abstractNumId w:val="18"/>
  </w:num>
  <w:num w:numId="7">
    <w:abstractNumId w:val="17"/>
  </w:num>
  <w:num w:numId="8">
    <w:abstractNumId w:val="12"/>
  </w:num>
  <w:num w:numId="9">
    <w:abstractNumId w:val="2"/>
  </w:num>
  <w:num w:numId="10">
    <w:abstractNumId w:val="23"/>
  </w:num>
  <w:num w:numId="11">
    <w:abstractNumId w:val="11"/>
  </w:num>
  <w:num w:numId="12">
    <w:abstractNumId w:val="21"/>
  </w:num>
  <w:num w:numId="13">
    <w:abstractNumId w:val="30"/>
  </w:num>
  <w:num w:numId="14">
    <w:abstractNumId w:val="15"/>
  </w:num>
  <w:num w:numId="15">
    <w:abstractNumId w:val="6"/>
  </w:num>
  <w:num w:numId="16">
    <w:abstractNumId w:val="13"/>
  </w:num>
  <w:num w:numId="17">
    <w:abstractNumId w:val="28"/>
  </w:num>
  <w:num w:numId="18">
    <w:abstractNumId w:val="22"/>
  </w:num>
  <w:num w:numId="19">
    <w:abstractNumId w:val="25"/>
  </w:num>
  <w:num w:numId="20">
    <w:abstractNumId w:val="9"/>
  </w:num>
  <w:num w:numId="21">
    <w:abstractNumId w:val="24"/>
  </w:num>
  <w:num w:numId="22">
    <w:abstractNumId w:val="7"/>
  </w:num>
  <w:num w:numId="23">
    <w:abstractNumId w:val="16"/>
  </w:num>
  <w:num w:numId="24">
    <w:abstractNumId w:val="0"/>
  </w:num>
  <w:num w:numId="25">
    <w:abstractNumId w:val="4"/>
  </w:num>
  <w:num w:numId="26">
    <w:abstractNumId w:val="5"/>
  </w:num>
  <w:num w:numId="27">
    <w:abstractNumId w:val="14"/>
  </w:num>
  <w:num w:numId="28">
    <w:abstractNumId w:val="27"/>
  </w:num>
  <w:num w:numId="29">
    <w:abstractNumId w:val="26"/>
  </w:num>
  <w:num w:numId="30">
    <w:abstractNumId w:val="1"/>
  </w:num>
  <w:num w:numId="31">
    <w:abstractNumId w:val="8"/>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3E"/>
    <w:rsid w:val="00023B4B"/>
    <w:rsid w:val="0004256E"/>
    <w:rsid w:val="000866EC"/>
    <w:rsid w:val="000927C1"/>
    <w:rsid w:val="000D1FAF"/>
    <w:rsid w:val="000E1D3A"/>
    <w:rsid w:val="000E213E"/>
    <w:rsid w:val="000E2D78"/>
    <w:rsid w:val="000F195D"/>
    <w:rsid w:val="000F1F3E"/>
    <w:rsid w:val="0011106D"/>
    <w:rsid w:val="001125F0"/>
    <w:rsid w:val="00112734"/>
    <w:rsid w:val="001154F2"/>
    <w:rsid w:val="00151A75"/>
    <w:rsid w:val="001603D8"/>
    <w:rsid w:val="00170AED"/>
    <w:rsid w:val="00174EFF"/>
    <w:rsid w:val="00185881"/>
    <w:rsid w:val="001903FB"/>
    <w:rsid w:val="00197E71"/>
    <w:rsid w:val="001A32F8"/>
    <w:rsid w:val="0021464E"/>
    <w:rsid w:val="00250016"/>
    <w:rsid w:val="00250B68"/>
    <w:rsid w:val="002627E2"/>
    <w:rsid w:val="00265A1B"/>
    <w:rsid w:val="0027185D"/>
    <w:rsid w:val="002A7DE5"/>
    <w:rsid w:val="002D3E19"/>
    <w:rsid w:val="002F21CB"/>
    <w:rsid w:val="0030429E"/>
    <w:rsid w:val="003526BB"/>
    <w:rsid w:val="00373DAF"/>
    <w:rsid w:val="00380E15"/>
    <w:rsid w:val="0038227C"/>
    <w:rsid w:val="0039675B"/>
    <w:rsid w:val="003A3BEF"/>
    <w:rsid w:val="003A4B19"/>
    <w:rsid w:val="003B1E41"/>
    <w:rsid w:val="003B1E9A"/>
    <w:rsid w:val="003D3CB1"/>
    <w:rsid w:val="003D52B9"/>
    <w:rsid w:val="003E1303"/>
    <w:rsid w:val="003E448F"/>
    <w:rsid w:val="003F04D6"/>
    <w:rsid w:val="004151B8"/>
    <w:rsid w:val="0041550E"/>
    <w:rsid w:val="00417327"/>
    <w:rsid w:val="00421842"/>
    <w:rsid w:val="00422512"/>
    <w:rsid w:val="00431F13"/>
    <w:rsid w:val="004358AD"/>
    <w:rsid w:val="004564CC"/>
    <w:rsid w:val="00474516"/>
    <w:rsid w:val="00475DD0"/>
    <w:rsid w:val="00484092"/>
    <w:rsid w:val="004E3C25"/>
    <w:rsid w:val="004E7518"/>
    <w:rsid w:val="00504FE5"/>
    <w:rsid w:val="00525C91"/>
    <w:rsid w:val="00534083"/>
    <w:rsid w:val="0054212C"/>
    <w:rsid w:val="00545FAA"/>
    <w:rsid w:val="005F5CA8"/>
    <w:rsid w:val="00600A68"/>
    <w:rsid w:val="00636A52"/>
    <w:rsid w:val="00644C8E"/>
    <w:rsid w:val="006513E2"/>
    <w:rsid w:val="006604EC"/>
    <w:rsid w:val="00666078"/>
    <w:rsid w:val="006678CF"/>
    <w:rsid w:val="006A1C92"/>
    <w:rsid w:val="006C3868"/>
    <w:rsid w:val="006D66B9"/>
    <w:rsid w:val="006E4546"/>
    <w:rsid w:val="006E62E4"/>
    <w:rsid w:val="00706B52"/>
    <w:rsid w:val="007364B2"/>
    <w:rsid w:val="00740C7C"/>
    <w:rsid w:val="00741770"/>
    <w:rsid w:val="00746C90"/>
    <w:rsid w:val="007609FA"/>
    <w:rsid w:val="0076188E"/>
    <w:rsid w:val="007659FD"/>
    <w:rsid w:val="00767ADA"/>
    <w:rsid w:val="00773220"/>
    <w:rsid w:val="007B2AB2"/>
    <w:rsid w:val="007C621D"/>
    <w:rsid w:val="007C75AB"/>
    <w:rsid w:val="007E7F6B"/>
    <w:rsid w:val="007F276A"/>
    <w:rsid w:val="007F6977"/>
    <w:rsid w:val="00801401"/>
    <w:rsid w:val="00811478"/>
    <w:rsid w:val="0082597B"/>
    <w:rsid w:val="00830D94"/>
    <w:rsid w:val="008340F2"/>
    <w:rsid w:val="00841F49"/>
    <w:rsid w:val="0084503C"/>
    <w:rsid w:val="00850944"/>
    <w:rsid w:val="008E23C2"/>
    <w:rsid w:val="008F7163"/>
    <w:rsid w:val="00921714"/>
    <w:rsid w:val="00927EE4"/>
    <w:rsid w:val="009352BE"/>
    <w:rsid w:val="00943E18"/>
    <w:rsid w:val="0096717E"/>
    <w:rsid w:val="00987493"/>
    <w:rsid w:val="009F4C3E"/>
    <w:rsid w:val="00A00AA5"/>
    <w:rsid w:val="00A1463E"/>
    <w:rsid w:val="00A47797"/>
    <w:rsid w:val="00A5215D"/>
    <w:rsid w:val="00A63AD0"/>
    <w:rsid w:val="00A91FD4"/>
    <w:rsid w:val="00AD6184"/>
    <w:rsid w:val="00AE0087"/>
    <w:rsid w:val="00B14B3A"/>
    <w:rsid w:val="00B26124"/>
    <w:rsid w:val="00B30C9E"/>
    <w:rsid w:val="00B631B7"/>
    <w:rsid w:val="00B71365"/>
    <w:rsid w:val="00B73196"/>
    <w:rsid w:val="00B75B2E"/>
    <w:rsid w:val="00B77D79"/>
    <w:rsid w:val="00BA0DE0"/>
    <w:rsid w:val="00BB07C0"/>
    <w:rsid w:val="00BD0E28"/>
    <w:rsid w:val="00BD7FF8"/>
    <w:rsid w:val="00BF7649"/>
    <w:rsid w:val="00C0547C"/>
    <w:rsid w:val="00C37450"/>
    <w:rsid w:val="00C4346D"/>
    <w:rsid w:val="00C56423"/>
    <w:rsid w:val="00C678CB"/>
    <w:rsid w:val="00C71473"/>
    <w:rsid w:val="00C72E15"/>
    <w:rsid w:val="00C83202"/>
    <w:rsid w:val="00C86A99"/>
    <w:rsid w:val="00CA624A"/>
    <w:rsid w:val="00CB0994"/>
    <w:rsid w:val="00CB1A47"/>
    <w:rsid w:val="00CB598C"/>
    <w:rsid w:val="00CC6D1F"/>
    <w:rsid w:val="00CF025C"/>
    <w:rsid w:val="00CF7E26"/>
    <w:rsid w:val="00D001E6"/>
    <w:rsid w:val="00D138C6"/>
    <w:rsid w:val="00D2471E"/>
    <w:rsid w:val="00D26A3D"/>
    <w:rsid w:val="00D346D9"/>
    <w:rsid w:val="00D40680"/>
    <w:rsid w:val="00D432D3"/>
    <w:rsid w:val="00D67DAF"/>
    <w:rsid w:val="00D919F7"/>
    <w:rsid w:val="00D965C0"/>
    <w:rsid w:val="00DB0305"/>
    <w:rsid w:val="00DC257D"/>
    <w:rsid w:val="00DC3AEB"/>
    <w:rsid w:val="00DD414C"/>
    <w:rsid w:val="00DE6FA7"/>
    <w:rsid w:val="00E04659"/>
    <w:rsid w:val="00E061CF"/>
    <w:rsid w:val="00E36582"/>
    <w:rsid w:val="00E41A93"/>
    <w:rsid w:val="00E661A5"/>
    <w:rsid w:val="00E7246D"/>
    <w:rsid w:val="00E73CDE"/>
    <w:rsid w:val="00E9336D"/>
    <w:rsid w:val="00EA2A32"/>
    <w:rsid w:val="00ED09D4"/>
    <w:rsid w:val="00EE4155"/>
    <w:rsid w:val="00F12DD0"/>
    <w:rsid w:val="00F519BA"/>
    <w:rsid w:val="00F52429"/>
    <w:rsid w:val="00F6171F"/>
    <w:rsid w:val="00F940E6"/>
    <w:rsid w:val="00FA50A9"/>
    <w:rsid w:val="00FB2E99"/>
    <w:rsid w:val="00FB7A6A"/>
    <w:rsid w:val="00FD4C1E"/>
    <w:rsid w:val="00FD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8503CEC-E155-460D-A346-C93A7DE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7"/>
      <w:ind w:left="680"/>
      <w:outlineLvl w:val="0"/>
    </w:pPr>
    <w:rPr>
      <w:sz w:val="36"/>
      <w:szCs w:val="36"/>
    </w:rPr>
  </w:style>
  <w:style w:type="paragraph" w:styleId="Heading2">
    <w:name w:val="heading 2"/>
    <w:basedOn w:val="Normal"/>
    <w:uiPriority w:val="1"/>
    <w:qFormat/>
    <w:pPr>
      <w:spacing w:before="36"/>
      <w:ind w:left="680"/>
      <w:outlineLvl w:val="1"/>
    </w:pPr>
    <w:rPr>
      <w:sz w:val="32"/>
      <w:szCs w:val="32"/>
    </w:rPr>
  </w:style>
  <w:style w:type="paragraph" w:styleId="Heading3">
    <w:name w:val="heading 3"/>
    <w:basedOn w:val="Normal"/>
    <w:uiPriority w:val="1"/>
    <w:qFormat/>
    <w:pPr>
      <w:spacing w:before="146"/>
      <w:ind w:left="207"/>
      <w:outlineLvl w:val="2"/>
    </w:pPr>
    <w:rPr>
      <w:sz w:val="28"/>
      <w:szCs w:val="28"/>
    </w:rPr>
  </w:style>
  <w:style w:type="paragraph" w:styleId="Heading4">
    <w:name w:val="heading 4"/>
    <w:basedOn w:val="Normal"/>
    <w:uiPriority w:val="1"/>
    <w:qFormat/>
    <w:pPr>
      <w:ind w:left="680"/>
      <w:outlineLvl w:val="3"/>
    </w:pPr>
    <w:rPr>
      <w:b/>
      <w:bCs/>
      <w:sz w:val="24"/>
      <w:szCs w:val="24"/>
    </w:rPr>
  </w:style>
  <w:style w:type="paragraph" w:styleId="Heading5">
    <w:name w:val="heading 5"/>
    <w:basedOn w:val="Normal"/>
    <w:next w:val="Normal"/>
    <w:link w:val="Heading5Char"/>
    <w:uiPriority w:val="9"/>
    <w:semiHidden/>
    <w:unhideWhenUsed/>
    <w:qFormat/>
    <w:rsid w:val="004564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7A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8"/>
      <w:ind w:left="680"/>
    </w:pPr>
    <w:rPr>
      <w:sz w:val="32"/>
      <w:szCs w:val="32"/>
    </w:rPr>
  </w:style>
  <w:style w:type="paragraph" w:styleId="TOC2">
    <w:name w:val="toc 2"/>
    <w:basedOn w:val="Normal"/>
    <w:uiPriority w:val="1"/>
    <w:qFormat/>
    <w:pPr>
      <w:spacing w:before="51"/>
      <w:ind w:left="680"/>
    </w:pPr>
    <w:rPr>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rsid w:val="00ED09D4"/>
    <w:pPr>
      <w:ind w:left="880" w:hanging="170"/>
    </w:pPr>
    <w:rPr>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6FA7"/>
    <w:pPr>
      <w:tabs>
        <w:tab w:val="center" w:pos="4513"/>
        <w:tab w:val="right" w:pos="9026"/>
      </w:tabs>
    </w:pPr>
  </w:style>
  <w:style w:type="character" w:customStyle="1" w:styleId="HeaderChar">
    <w:name w:val="Header Char"/>
    <w:basedOn w:val="DefaultParagraphFont"/>
    <w:link w:val="Header"/>
    <w:uiPriority w:val="99"/>
    <w:rsid w:val="00DE6FA7"/>
    <w:rPr>
      <w:rFonts w:ascii="Calibri" w:eastAsia="Calibri" w:hAnsi="Calibri" w:cs="Calibri"/>
      <w:lang w:bidi="en-US"/>
    </w:rPr>
  </w:style>
  <w:style w:type="paragraph" w:styleId="Footer">
    <w:name w:val="footer"/>
    <w:basedOn w:val="Normal"/>
    <w:link w:val="FooterChar"/>
    <w:uiPriority w:val="99"/>
    <w:unhideWhenUsed/>
    <w:rsid w:val="00DE6FA7"/>
    <w:pPr>
      <w:tabs>
        <w:tab w:val="center" w:pos="4513"/>
        <w:tab w:val="right" w:pos="9026"/>
      </w:tabs>
    </w:pPr>
  </w:style>
  <w:style w:type="character" w:customStyle="1" w:styleId="FooterChar">
    <w:name w:val="Footer Char"/>
    <w:basedOn w:val="DefaultParagraphFont"/>
    <w:link w:val="Footer"/>
    <w:uiPriority w:val="99"/>
    <w:rsid w:val="00DE6FA7"/>
    <w:rPr>
      <w:rFonts w:ascii="Calibri" w:eastAsia="Calibri" w:hAnsi="Calibri" w:cs="Calibri"/>
      <w:lang w:bidi="en-US"/>
    </w:rPr>
  </w:style>
  <w:style w:type="table" w:styleId="TableGrid">
    <w:name w:val="Table Grid"/>
    <w:basedOn w:val="TableNormal"/>
    <w:uiPriority w:val="39"/>
    <w:rsid w:val="00D2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1E"/>
    <w:pPr>
      <w:widowControl/>
      <w:adjustRightInd w:val="0"/>
    </w:pPr>
    <w:rPr>
      <w:rFonts w:ascii="Calibri" w:hAnsi="Calibri" w:cs="Calibri"/>
      <w:color w:val="000000"/>
      <w:sz w:val="24"/>
      <w:szCs w:val="24"/>
      <w:lang w:val="en-AU"/>
    </w:rPr>
  </w:style>
  <w:style w:type="paragraph" w:customStyle="1" w:styleId="CM34">
    <w:name w:val="CM34"/>
    <w:basedOn w:val="Default"/>
    <w:next w:val="Default"/>
    <w:uiPriority w:val="99"/>
    <w:rsid w:val="00D67DAF"/>
    <w:rPr>
      <w:color w:val="auto"/>
    </w:rPr>
  </w:style>
  <w:style w:type="paragraph" w:customStyle="1" w:styleId="CM72">
    <w:name w:val="CM72"/>
    <w:basedOn w:val="Default"/>
    <w:next w:val="Default"/>
    <w:uiPriority w:val="99"/>
    <w:rsid w:val="00D67DAF"/>
    <w:rPr>
      <w:color w:val="auto"/>
    </w:rPr>
  </w:style>
  <w:style w:type="paragraph" w:customStyle="1" w:styleId="CM78">
    <w:name w:val="CM78"/>
    <w:basedOn w:val="Default"/>
    <w:next w:val="Default"/>
    <w:uiPriority w:val="99"/>
    <w:rsid w:val="00FB2E99"/>
    <w:rPr>
      <w:color w:val="auto"/>
    </w:rPr>
  </w:style>
  <w:style w:type="paragraph" w:customStyle="1" w:styleId="CM12">
    <w:name w:val="CM12"/>
    <w:basedOn w:val="Default"/>
    <w:next w:val="Default"/>
    <w:uiPriority w:val="99"/>
    <w:rsid w:val="00FB2E99"/>
    <w:pPr>
      <w:spacing w:line="291" w:lineRule="atLeast"/>
    </w:pPr>
    <w:rPr>
      <w:color w:val="auto"/>
    </w:rPr>
  </w:style>
  <w:style w:type="paragraph" w:customStyle="1" w:styleId="CM87">
    <w:name w:val="CM87"/>
    <w:basedOn w:val="Default"/>
    <w:next w:val="Default"/>
    <w:uiPriority w:val="99"/>
    <w:rsid w:val="00FB2E99"/>
    <w:rPr>
      <w:color w:val="auto"/>
    </w:rPr>
  </w:style>
  <w:style w:type="paragraph" w:customStyle="1" w:styleId="CM39">
    <w:name w:val="CM39"/>
    <w:basedOn w:val="Default"/>
    <w:next w:val="Default"/>
    <w:uiPriority w:val="99"/>
    <w:rsid w:val="00FB2E99"/>
    <w:pPr>
      <w:spacing w:line="283" w:lineRule="atLeast"/>
    </w:pPr>
    <w:rPr>
      <w:color w:val="auto"/>
    </w:rPr>
  </w:style>
  <w:style w:type="paragraph" w:customStyle="1" w:styleId="CM46">
    <w:name w:val="CM46"/>
    <w:basedOn w:val="Default"/>
    <w:next w:val="Default"/>
    <w:uiPriority w:val="99"/>
    <w:rsid w:val="00FB2E99"/>
    <w:pPr>
      <w:spacing w:line="283" w:lineRule="atLeast"/>
    </w:pPr>
    <w:rPr>
      <w:color w:val="auto"/>
    </w:rPr>
  </w:style>
  <w:style w:type="paragraph" w:customStyle="1" w:styleId="CM2">
    <w:name w:val="CM2"/>
    <w:basedOn w:val="Default"/>
    <w:next w:val="Default"/>
    <w:uiPriority w:val="99"/>
    <w:rsid w:val="00FB2E99"/>
    <w:pPr>
      <w:spacing w:line="288" w:lineRule="atLeast"/>
    </w:pPr>
    <w:rPr>
      <w:color w:val="auto"/>
    </w:rPr>
  </w:style>
  <w:style w:type="paragraph" w:customStyle="1" w:styleId="CM56">
    <w:name w:val="CM56"/>
    <w:basedOn w:val="Default"/>
    <w:next w:val="Default"/>
    <w:uiPriority w:val="99"/>
    <w:rsid w:val="00FB2E99"/>
    <w:pPr>
      <w:spacing w:line="280" w:lineRule="atLeast"/>
    </w:pPr>
    <w:rPr>
      <w:color w:val="auto"/>
    </w:rPr>
  </w:style>
  <w:style w:type="paragraph" w:customStyle="1" w:styleId="CM50">
    <w:name w:val="CM50"/>
    <w:basedOn w:val="Default"/>
    <w:next w:val="Default"/>
    <w:uiPriority w:val="99"/>
    <w:rsid w:val="00FB2E99"/>
    <w:pPr>
      <w:spacing w:line="286" w:lineRule="atLeast"/>
    </w:pPr>
    <w:rPr>
      <w:color w:val="auto"/>
    </w:rPr>
  </w:style>
  <w:style w:type="paragraph" w:customStyle="1" w:styleId="CM74">
    <w:name w:val="CM74"/>
    <w:basedOn w:val="Default"/>
    <w:next w:val="Default"/>
    <w:uiPriority w:val="99"/>
    <w:rsid w:val="00FB2E99"/>
    <w:rPr>
      <w:color w:val="auto"/>
    </w:rPr>
  </w:style>
  <w:style w:type="character" w:styleId="Hyperlink">
    <w:name w:val="Hyperlink"/>
    <w:basedOn w:val="DefaultParagraphFont"/>
    <w:uiPriority w:val="99"/>
    <w:unhideWhenUsed/>
    <w:rsid w:val="00DB0305"/>
    <w:rPr>
      <w:color w:val="0000FF" w:themeColor="hyperlink"/>
      <w:u w:val="single"/>
    </w:rPr>
  </w:style>
  <w:style w:type="paragraph" w:customStyle="1" w:styleId="Heading1-AgencyPerformance">
    <w:name w:val="Heading 1 - Agency Performance"/>
    <w:next w:val="BodyText"/>
    <w:link w:val="Heading1-AgencyPerformanceChar"/>
    <w:uiPriority w:val="1"/>
    <w:rsid w:val="004564CC"/>
    <w:pPr>
      <w:widowControl/>
      <w:tabs>
        <w:tab w:val="left" w:pos="3217"/>
      </w:tabs>
      <w:kinsoku w:val="0"/>
      <w:overflowPunct w:val="0"/>
      <w:autoSpaceDE/>
      <w:autoSpaceDN/>
      <w:spacing w:after="200" w:line="829" w:lineRule="exact"/>
      <w:ind w:left="119"/>
      <w:outlineLvl w:val="0"/>
    </w:pPr>
    <w:rPr>
      <w:rFonts w:ascii="Myriad Pro" w:eastAsia="Times New Roman" w:hAnsi="Myriad Pro" w:cs="Times New Roman"/>
      <w:spacing w:val="59"/>
      <w:sz w:val="70"/>
      <w:szCs w:val="70"/>
      <w:lang w:val="en-AU" w:eastAsia="en-AU"/>
    </w:rPr>
  </w:style>
  <w:style w:type="character" w:customStyle="1" w:styleId="Heading1-AgencyPerformanceChar">
    <w:name w:val="Heading 1 - Agency Performance Char"/>
    <w:link w:val="Heading1-AgencyPerformance"/>
    <w:uiPriority w:val="1"/>
    <w:rsid w:val="004564CC"/>
    <w:rPr>
      <w:rFonts w:ascii="Myriad Pro" w:eastAsia="Times New Roman" w:hAnsi="Myriad Pro" w:cs="Times New Roman"/>
      <w:spacing w:val="59"/>
      <w:sz w:val="70"/>
      <w:szCs w:val="70"/>
      <w:lang w:val="en-AU" w:eastAsia="en-AU"/>
    </w:rPr>
  </w:style>
  <w:style w:type="character" w:customStyle="1" w:styleId="Heading5Char">
    <w:name w:val="Heading 5 Char"/>
    <w:basedOn w:val="DefaultParagraphFont"/>
    <w:link w:val="Heading5"/>
    <w:uiPriority w:val="9"/>
    <w:semiHidden/>
    <w:rsid w:val="004564CC"/>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767ADA"/>
    <w:rPr>
      <w:rFonts w:asciiTheme="majorHAnsi" w:eastAsiaTheme="majorEastAsia" w:hAnsiTheme="majorHAnsi" w:cstheme="majorBidi"/>
      <w:color w:val="243F60" w:themeColor="accent1" w:themeShade="7F"/>
      <w:lang w:bidi="en-US"/>
    </w:rPr>
  </w:style>
  <w:style w:type="paragraph" w:customStyle="1" w:styleId="ModelBody">
    <w:name w:val="Model Body"/>
    <w:basedOn w:val="Normal"/>
    <w:link w:val="ModelBodyChar"/>
    <w:qFormat/>
    <w:rsid w:val="00E36582"/>
    <w:pPr>
      <w:keepLines/>
      <w:widowControl/>
      <w:autoSpaceDE/>
      <w:autoSpaceDN/>
      <w:spacing w:before="120" w:after="120"/>
      <w:jc w:val="both"/>
    </w:pPr>
    <w:rPr>
      <w:rFonts w:ascii="Arial" w:eastAsia="Times New Roman" w:hAnsi="Arial" w:cs="Times New Roman"/>
      <w:sz w:val="20"/>
      <w:szCs w:val="24"/>
      <w:lang w:val="en-AU" w:bidi="ar-SA"/>
    </w:rPr>
  </w:style>
  <w:style w:type="character" w:customStyle="1" w:styleId="ModelBodyChar">
    <w:name w:val="Model Body Char"/>
    <w:link w:val="ModelBody"/>
    <w:rsid w:val="00E36582"/>
    <w:rPr>
      <w:rFonts w:ascii="Arial" w:eastAsia="Times New Roman" w:hAnsi="Arial" w:cs="Times New Roman"/>
      <w:sz w:val="20"/>
      <w:szCs w:val="24"/>
      <w:lang w:val="en-AU"/>
    </w:rPr>
  </w:style>
  <w:style w:type="character" w:styleId="Strong">
    <w:name w:val="Strong"/>
    <w:basedOn w:val="DefaultParagraphFont"/>
    <w:uiPriority w:val="22"/>
    <w:qFormat/>
    <w:rsid w:val="003D52B9"/>
    <w:rPr>
      <w:b/>
      <w:bCs/>
    </w:rPr>
  </w:style>
  <w:style w:type="paragraph" w:customStyle="1" w:styleId="Pa1">
    <w:name w:val="Pa1"/>
    <w:basedOn w:val="Default"/>
    <w:next w:val="Default"/>
    <w:uiPriority w:val="99"/>
    <w:rsid w:val="0041550E"/>
    <w:pPr>
      <w:spacing w:line="241" w:lineRule="atLeast"/>
    </w:pPr>
    <w:rPr>
      <w:rFonts w:cstheme="minorBidi"/>
      <w:color w:val="auto"/>
    </w:rPr>
  </w:style>
  <w:style w:type="character" w:customStyle="1" w:styleId="A7">
    <w:name w:val="A7"/>
    <w:uiPriority w:val="99"/>
    <w:rsid w:val="00197E71"/>
    <w:rPr>
      <w:rFonts w:cs="Calibri"/>
      <w:color w:val="000000"/>
      <w:sz w:val="20"/>
      <w:szCs w:val="20"/>
    </w:rPr>
  </w:style>
  <w:style w:type="paragraph" w:customStyle="1" w:styleId="Pa9">
    <w:name w:val="Pa9"/>
    <w:basedOn w:val="Default"/>
    <w:next w:val="Default"/>
    <w:uiPriority w:val="99"/>
    <w:rsid w:val="0021464E"/>
    <w:pPr>
      <w:spacing w:line="241" w:lineRule="atLeast"/>
    </w:pPr>
    <w:rPr>
      <w:rFonts w:cstheme="minorBidi"/>
      <w:color w:val="auto"/>
    </w:rPr>
  </w:style>
  <w:style w:type="paragraph" w:customStyle="1" w:styleId="Pa31">
    <w:name w:val="Pa31"/>
    <w:basedOn w:val="Default"/>
    <w:next w:val="Default"/>
    <w:uiPriority w:val="99"/>
    <w:rsid w:val="00841F49"/>
    <w:pPr>
      <w:spacing w:line="241" w:lineRule="atLeast"/>
    </w:pPr>
    <w:rPr>
      <w:color w:val="auto"/>
    </w:rPr>
  </w:style>
  <w:style w:type="character" w:customStyle="1" w:styleId="BodyTextChar">
    <w:name w:val="Body Text Char"/>
    <w:basedOn w:val="DefaultParagraphFont"/>
    <w:link w:val="BodyText"/>
    <w:uiPriority w:val="1"/>
    <w:rsid w:val="00C0547C"/>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595">
      <w:bodyDiv w:val="1"/>
      <w:marLeft w:val="0"/>
      <w:marRight w:val="0"/>
      <w:marTop w:val="0"/>
      <w:marBottom w:val="0"/>
      <w:divBdr>
        <w:top w:val="none" w:sz="0" w:space="0" w:color="auto"/>
        <w:left w:val="none" w:sz="0" w:space="0" w:color="auto"/>
        <w:bottom w:val="none" w:sz="0" w:space="0" w:color="auto"/>
        <w:right w:val="none" w:sz="0" w:space="0" w:color="auto"/>
      </w:divBdr>
    </w:div>
    <w:div w:id="118770621">
      <w:bodyDiv w:val="1"/>
      <w:marLeft w:val="0"/>
      <w:marRight w:val="0"/>
      <w:marTop w:val="0"/>
      <w:marBottom w:val="0"/>
      <w:divBdr>
        <w:top w:val="none" w:sz="0" w:space="0" w:color="auto"/>
        <w:left w:val="none" w:sz="0" w:space="0" w:color="auto"/>
        <w:bottom w:val="none" w:sz="0" w:space="0" w:color="auto"/>
        <w:right w:val="none" w:sz="0" w:space="0" w:color="auto"/>
      </w:divBdr>
    </w:div>
    <w:div w:id="257687828">
      <w:bodyDiv w:val="1"/>
      <w:marLeft w:val="0"/>
      <w:marRight w:val="0"/>
      <w:marTop w:val="0"/>
      <w:marBottom w:val="0"/>
      <w:divBdr>
        <w:top w:val="none" w:sz="0" w:space="0" w:color="auto"/>
        <w:left w:val="none" w:sz="0" w:space="0" w:color="auto"/>
        <w:bottom w:val="none" w:sz="0" w:space="0" w:color="auto"/>
        <w:right w:val="none" w:sz="0" w:space="0" w:color="auto"/>
      </w:divBdr>
    </w:div>
    <w:div w:id="368074487">
      <w:bodyDiv w:val="1"/>
      <w:marLeft w:val="0"/>
      <w:marRight w:val="0"/>
      <w:marTop w:val="0"/>
      <w:marBottom w:val="0"/>
      <w:divBdr>
        <w:top w:val="none" w:sz="0" w:space="0" w:color="auto"/>
        <w:left w:val="none" w:sz="0" w:space="0" w:color="auto"/>
        <w:bottom w:val="none" w:sz="0" w:space="0" w:color="auto"/>
        <w:right w:val="none" w:sz="0" w:space="0" w:color="auto"/>
      </w:divBdr>
    </w:div>
    <w:div w:id="387606062">
      <w:bodyDiv w:val="1"/>
      <w:marLeft w:val="0"/>
      <w:marRight w:val="0"/>
      <w:marTop w:val="0"/>
      <w:marBottom w:val="0"/>
      <w:divBdr>
        <w:top w:val="none" w:sz="0" w:space="0" w:color="auto"/>
        <w:left w:val="none" w:sz="0" w:space="0" w:color="auto"/>
        <w:bottom w:val="none" w:sz="0" w:space="0" w:color="auto"/>
        <w:right w:val="none" w:sz="0" w:space="0" w:color="auto"/>
      </w:divBdr>
    </w:div>
    <w:div w:id="391346619">
      <w:bodyDiv w:val="1"/>
      <w:marLeft w:val="0"/>
      <w:marRight w:val="0"/>
      <w:marTop w:val="0"/>
      <w:marBottom w:val="0"/>
      <w:divBdr>
        <w:top w:val="none" w:sz="0" w:space="0" w:color="auto"/>
        <w:left w:val="none" w:sz="0" w:space="0" w:color="auto"/>
        <w:bottom w:val="none" w:sz="0" w:space="0" w:color="auto"/>
        <w:right w:val="none" w:sz="0" w:space="0" w:color="auto"/>
      </w:divBdr>
    </w:div>
    <w:div w:id="486753789">
      <w:bodyDiv w:val="1"/>
      <w:marLeft w:val="0"/>
      <w:marRight w:val="0"/>
      <w:marTop w:val="0"/>
      <w:marBottom w:val="0"/>
      <w:divBdr>
        <w:top w:val="none" w:sz="0" w:space="0" w:color="auto"/>
        <w:left w:val="none" w:sz="0" w:space="0" w:color="auto"/>
        <w:bottom w:val="none" w:sz="0" w:space="0" w:color="auto"/>
        <w:right w:val="none" w:sz="0" w:space="0" w:color="auto"/>
      </w:divBdr>
    </w:div>
    <w:div w:id="602106888">
      <w:bodyDiv w:val="1"/>
      <w:marLeft w:val="0"/>
      <w:marRight w:val="0"/>
      <w:marTop w:val="0"/>
      <w:marBottom w:val="0"/>
      <w:divBdr>
        <w:top w:val="none" w:sz="0" w:space="0" w:color="auto"/>
        <w:left w:val="none" w:sz="0" w:space="0" w:color="auto"/>
        <w:bottom w:val="none" w:sz="0" w:space="0" w:color="auto"/>
        <w:right w:val="none" w:sz="0" w:space="0" w:color="auto"/>
      </w:divBdr>
    </w:div>
    <w:div w:id="688021522">
      <w:bodyDiv w:val="1"/>
      <w:marLeft w:val="0"/>
      <w:marRight w:val="0"/>
      <w:marTop w:val="0"/>
      <w:marBottom w:val="0"/>
      <w:divBdr>
        <w:top w:val="none" w:sz="0" w:space="0" w:color="auto"/>
        <w:left w:val="none" w:sz="0" w:space="0" w:color="auto"/>
        <w:bottom w:val="none" w:sz="0" w:space="0" w:color="auto"/>
        <w:right w:val="none" w:sz="0" w:space="0" w:color="auto"/>
      </w:divBdr>
    </w:div>
    <w:div w:id="717510771">
      <w:bodyDiv w:val="1"/>
      <w:marLeft w:val="0"/>
      <w:marRight w:val="0"/>
      <w:marTop w:val="0"/>
      <w:marBottom w:val="0"/>
      <w:divBdr>
        <w:top w:val="none" w:sz="0" w:space="0" w:color="auto"/>
        <w:left w:val="none" w:sz="0" w:space="0" w:color="auto"/>
        <w:bottom w:val="none" w:sz="0" w:space="0" w:color="auto"/>
        <w:right w:val="none" w:sz="0" w:space="0" w:color="auto"/>
      </w:divBdr>
    </w:div>
    <w:div w:id="718627453">
      <w:bodyDiv w:val="1"/>
      <w:marLeft w:val="0"/>
      <w:marRight w:val="0"/>
      <w:marTop w:val="0"/>
      <w:marBottom w:val="0"/>
      <w:divBdr>
        <w:top w:val="none" w:sz="0" w:space="0" w:color="auto"/>
        <w:left w:val="none" w:sz="0" w:space="0" w:color="auto"/>
        <w:bottom w:val="none" w:sz="0" w:space="0" w:color="auto"/>
        <w:right w:val="none" w:sz="0" w:space="0" w:color="auto"/>
      </w:divBdr>
    </w:div>
    <w:div w:id="749890311">
      <w:bodyDiv w:val="1"/>
      <w:marLeft w:val="0"/>
      <w:marRight w:val="0"/>
      <w:marTop w:val="0"/>
      <w:marBottom w:val="0"/>
      <w:divBdr>
        <w:top w:val="none" w:sz="0" w:space="0" w:color="auto"/>
        <w:left w:val="none" w:sz="0" w:space="0" w:color="auto"/>
        <w:bottom w:val="none" w:sz="0" w:space="0" w:color="auto"/>
        <w:right w:val="none" w:sz="0" w:space="0" w:color="auto"/>
      </w:divBdr>
    </w:div>
    <w:div w:id="952904214">
      <w:bodyDiv w:val="1"/>
      <w:marLeft w:val="0"/>
      <w:marRight w:val="0"/>
      <w:marTop w:val="0"/>
      <w:marBottom w:val="0"/>
      <w:divBdr>
        <w:top w:val="none" w:sz="0" w:space="0" w:color="auto"/>
        <w:left w:val="none" w:sz="0" w:space="0" w:color="auto"/>
        <w:bottom w:val="none" w:sz="0" w:space="0" w:color="auto"/>
        <w:right w:val="none" w:sz="0" w:space="0" w:color="auto"/>
      </w:divBdr>
    </w:div>
    <w:div w:id="1022320625">
      <w:bodyDiv w:val="1"/>
      <w:marLeft w:val="0"/>
      <w:marRight w:val="0"/>
      <w:marTop w:val="0"/>
      <w:marBottom w:val="0"/>
      <w:divBdr>
        <w:top w:val="none" w:sz="0" w:space="0" w:color="auto"/>
        <w:left w:val="none" w:sz="0" w:space="0" w:color="auto"/>
        <w:bottom w:val="none" w:sz="0" w:space="0" w:color="auto"/>
        <w:right w:val="none" w:sz="0" w:space="0" w:color="auto"/>
      </w:divBdr>
    </w:div>
    <w:div w:id="1062411025">
      <w:bodyDiv w:val="1"/>
      <w:marLeft w:val="0"/>
      <w:marRight w:val="0"/>
      <w:marTop w:val="0"/>
      <w:marBottom w:val="0"/>
      <w:divBdr>
        <w:top w:val="none" w:sz="0" w:space="0" w:color="auto"/>
        <w:left w:val="none" w:sz="0" w:space="0" w:color="auto"/>
        <w:bottom w:val="none" w:sz="0" w:space="0" w:color="auto"/>
        <w:right w:val="none" w:sz="0" w:space="0" w:color="auto"/>
      </w:divBdr>
    </w:div>
    <w:div w:id="1197811049">
      <w:bodyDiv w:val="1"/>
      <w:marLeft w:val="0"/>
      <w:marRight w:val="0"/>
      <w:marTop w:val="0"/>
      <w:marBottom w:val="0"/>
      <w:divBdr>
        <w:top w:val="none" w:sz="0" w:space="0" w:color="auto"/>
        <w:left w:val="none" w:sz="0" w:space="0" w:color="auto"/>
        <w:bottom w:val="none" w:sz="0" w:space="0" w:color="auto"/>
        <w:right w:val="none" w:sz="0" w:space="0" w:color="auto"/>
      </w:divBdr>
    </w:div>
    <w:div w:id="1219711021">
      <w:bodyDiv w:val="1"/>
      <w:marLeft w:val="0"/>
      <w:marRight w:val="0"/>
      <w:marTop w:val="0"/>
      <w:marBottom w:val="0"/>
      <w:divBdr>
        <w:top w:val="none" w:sz="0" w:space="0" w:color="auto"/>
        <w:left w:val="none" w:sz="0" w:space="0" w:color="auto"/>
        <w:bottom w:val="none" w:sz="0" w:space="0" w:color="auto"/>
        <w:right w:val="none" w:sz="0" w:space="0" w:color="auto"/>
      </w:divBdr>
    </w:div>
    <w:div w:id="1231581672">
      <w:bodyDiv w:val="1"/>
      <w:marLeft w:val="0"/>
      <w:marRight w:val="0"/>
      <w:marTop w:val="0"/>
      <w:marBottom w:val="0"/>
      <w:divBdr>
        <w:top w:val="none" w:sz="0" w:space="0" w:color="auto"/>
        <w:left w:val="none" w:sz="0" w:space="0" w:color="auto"/>
        <w:bottom w:val="none" w:sz="0" w:space="0" w:color="auto"/>
        <w:right w:val="none" w:sz="0" w:space="0" w:color="auto"/>
      </w:divBdr>
    </w:div>
    <w:div w:id="1315060968">
      <w:bodyDiv w:val="1"/>
      <w:marLeft w:val="0"/>
      <w:marRight w:val="0"/>
      <w:marTop w:val="0"/>
      <w:marBottom w:val="0"/>
      <w:divBdr>
        <w:top w:val="none" w:sz="0" w:space="0" w:color="auto"/>
        <w:left w:val="none" w:sz="0" w:space="0" w:color="auto"/>
        <w:bottom w:val="none" w:sz="0" w:space="0" w:color="auto"/>
        <w:right w:val="none" w:sz="0" w:space="0" w:color="auto"/>
      </w:divBdr>
    </w:div>
    <w:div w:id="1395933362">
      <w:bodyDiv w:val="1"/>
      <w:marLeft w:val="0"/>
      <w:marRight w:val="0"/>
      <w:marTop w:val="0"/>
      <w:marBottom w:val="0"/>
      <w:divBdr>
        <w:top w:val="none" w:sz="0" w:space="0" w:color="auto"/>
        <w:left w:val="none" w:sz="0" w:space="0" w:color="auto"/>
        <w:bottom w:val="none" w:sz="0" w:space="0" w:color="auto"/>
        <w:right w:val="none" w:sz="0" w:space="0" w:color="auto"/>
      </w:divBdr>
    </w:div>
    <w:div w:id="1403454280">
      <w:bodyDiv w:val="1"/>
      <w:marLeft w:val="0"/>
      <w:marRight w:val="0"/>
      <w:marTop w:val="0"/>
      <w:marBottom w:val="0"/>
      <w:divBdr>
        <w:top w:val="none" w:sz="0" w:space="0" w:color="auto"/>
        <w:left w:val="none" w:sz="0" w:space="0" w:color="auto"/>
        <w:bottom w:val="none" w:sz="0" w:space="0" w:color="auto"/>
        <w:right w:val="none" w:sz="0" w:space="0" w:color="auto"/>
      </w:divBdr>
    </w:div>
    <w:div w:id="1515652208">
      <w:bodyDiv w:val="1"/>
      <w:marLeft w:val="0"/>
      <w:marRight w:val="0"/>
      <w:marTop w:val="0"/>
      <w:marBottom w:val="0"/>
      <w:divBdr>
        <w:top w:val="none" w:sz="0" w:space="0" w:color="auto"/>
        <w:left w:val="none" w:sz="0" w:space="0" w:color="auto"/>
        <w:bottom w:val="none" w:sz="0" w:space="0" w:color="auto"/>
        <w:right w:val="none" w:sz="0" w:space="0" w:color="auto"/>
      </w:divBdr>
    </w:div>
    <w:div w:id="1542521992">
      <w:bodyDiv w:val="1"/>
      <w:marLeft w:val="0"/>
      <w:marRight w:val="0"/>
      <w:marTop w:val="0"/>
      <w:marBottom w:val="0"/>
      <w:divBdr>
        <w:top w:val="none" w:sz="0" w:space="0" w:color="auto"/>
        <w:left w:val="none" w:sz="0" w:space="0" w:color="auto"/>
        <w:bottom w:val="none" w:sz="0" w:space="0" w:color="auto"/>
        <w:right w:val="none" w:sz="0" w:space="0" w:color="auto"/>
      </w:divBdr>
    </w:div>
    <w:div w:id="1651900859">
      <w:bodyDiv w:val="1"/>
      <w:marLeft w:val="0"/>
      <w:marRight w:val="0"/>
      <w:marTop w:val="0"/>
      <w:marBottom w:val="0"/>
      <w:divBdr>
        <w:top w:val="none" w:sz="0" w:space="0" w:color="auto"/>
        <w:left w:val="none" w:sz="0" w:space="0" w:color="auto"/>
        <w:bottom w:val="none" w:sz="0" w:space="0" w:color="auto"/>
        <w:right w:val="none" w:sz="0" w:space="0" w:color="auto"/>
      </w:divBdr>
    </w:div>
    <w:div w:id="1667244599">
      <w:bodyDiv w:val="1"/>
      <w:marLeft w:val="0"/>
      <w:marRight w:val="0"/>
      <w:marTop w:val="0"/>
      <w:marBottom w:val="0"/>
      <w:divBdr>
        <w:top w:val="none" w:sz="0" w:space="0" w:color="auto"/>
        <w:left w:val="none" w:sz="0" w:space="0" w:color="auto"/>
        <w:bottom w:val="none" w:sz="0" w:space="0" w:color="auto"/>
        <w:right w:val="none" w:sz="0" w:space="0" w:color="auto"/>
      </w:divBdr>
    </w:div>
    <w:div w:id="1667974688">
      <w:bodyDiv w:val="1"/>
      <w:marLeft w:val="0"/>
      <w:marRight w:val="0"/>
      <w:marTop w:val="0"/>
      <w:marBottom w:val="0"/>
      <w:divBdr>
        <w:top w:val="none" w:sz="0" w:space="0" w:color="auto"/>
        <w:left w:val="none" w:sz="0" w:space="0" w:color="auto"/>
        <w:bottom w:val="none" w:sz="0" w:space="0" w:color="auto"/>
        <w:right w:val="none" w:sz="0" w:space="0" w:color="auto"/>
      </w:divBdr>
    </w:div>
    <w:div w:id="1820732871">
      <w:bodyDiv w:val="1"/>
      <w:marLeft w:val="0"/>
      <w:marRight w:val="0"/>
      <w:marTop w:val="0"/>
      <w:marBottom w:val="0"/>
      <w:divBdr>
        <w:top w:val="none" w:sz="0" w:space="0" w:color="auto"/>
        <w:left w:val="none" w:sz="0" w:space="0" w:color="auto"/>
        <w:bottom w:val="none" w:sz="0" w:space="0" w:color="auto"/>
        <w:right w:val="none" w:sz="0" w:space="0" w:color="auto"/>
      </w:divBdr>
    </w:div>
    <w:div w:id="1867983853">
      <w:bodyDiv w:val="1"/>
      <w:marLeft w:val="0"/>
      <w:marRight w:val="0"/>
      <w:marTop w:val="0"/>
      <w:marBottom w:val="0"/>
      <w:divBdr>
        <w:top w:val="none" w:sz="0" w:space="0" w:color="auto"/>
        <w:left w:val="none" w:sz="0" w:space="0" w:color="auto"/>
        <w:bottom w:val="none" w:sz="0" w:space="0" w:color="auto"/>
        <w:right w:val="none" w:sz="0" w:space="0" w:color="auto"/>
      </w:divBdr>
    </w:div>
    <w:div w:id="1954902016">
      <w:bodyDiv w:val="1"/>
      <w:marLeft w:val="0"/>
      <w:marRight w:val="0"/>
      <w:marTop w:val="0"/>
      <w:marBottom w:val="0"/>
      <w:divBdr>
        <w:top w:val="none" w:sz="0" w:space="0" w:color="auto"/>
        <w:left w:val="none" w:sz="0" w:space="0" w:color="auto"/>
        <w:bottom w:val="none" w:sz="0" w:space="0" w:color="auto"/>
        <w:right w:val="none" w:sz="0" w:space="0" w:color="auto"/>
      </w:divBdr>
    </w:div>
    <w:div w:id="1973359636">
      <w:bodyDiv w:val="1"/>
      <w:marLeft w:val="0"/>
      <w:marRight w:val="0"/>
      <w:marTop w:val="0"/>
      <w:marBottom w:val="0"/>
      <w:divBdr>
        <w:top w:val="none" w:sz="0" w:space="0" w:color="auto"/>
        <w:left w:val="none" w:sz="0" w:space="0" w:color="auto"/>
        <w:bottom w:val="none" w:sz="0" w:space="0" w:color="auto"/>
        <w:right w:val="none" w:sz="0" w:space="0" w:color="auto"/>
      </w:divBdr>
    </w:div>
    <w:div w:id="2002542059">
      <w:bodyDiv w:val="1"/>
      <w:marLeft w:val="0"/>
      <w:marRight w:val="0"/>
      <w:marTop w:val="0"/>
      <w:marBottom w:val="0"/>
      <w:divBdr>
        <w:top w:val="none" w:sz="0" w:space="0" w:color="auto"/>
        <w:left w:val="none" w:sz="0" w:space="0" w:color="auto"/>
        <w:bottom w:val="none" w:sz="0" w:space="0" w:color="auto"/>
        <w:right w:val="none" w:sz="0" w:space="0" w:color="auto"/>
      </w:divBdr>
    </w:div>
    <w:div w:id="2036538058">
      <w:bodyDiv w:val="1"/>
      <w:marLeft w:val="0"/>
      <w:marRight w:val="0"/>
      <w:marTop w:val="0"/>
      <w:marBottom w:val="0"/>
      <w:divBdr>
        <w:top w:val="none" w:sz="0" w:space="0" w:color="auto"/>
        <w:left w:val="none" w:sz="0" w:space="0" w:color="auto"/>
        <w:bottom w:val="none" w:sz="0" w:space="0" w:color="auto"/>
        <w:right w:val="none" w:sz="0" w:space="0" w:color="auto"/>
      </w:divBdr>
    </w:div>
    <w:div w:id="211127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aily.com.au/wp-content/uploads/2017/07/INTERMEDIUM_ReadinessReport_2017.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wa.gov.au/agency/office-of-digital-gover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daily.com.au/wp-content/uploads/2017/07/INTERMEDIUM_ReadinessReport_201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C4C6-D2D9-41DB-BA38-8C0B7908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75</Pages>
  <Words>20695</Words>
  <Characters>117968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Office of the Government Chief Information Officer Annual Report 2017-18</vt:lpstr>
    </vt:vector>
  </TitlesOfParts>
  <Company>DPC</Company>
  <LinksUpToDate>false</LinksUpToDate>
  <CharactersWithSpaces>138387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Government Chief Information Officer Annual Report 2017-18</dc:title>
  <dc:subject>2017-18 Annual Report</dc:subject>
  <dc:creator>Office of Digital Government</dc:creator>
  <cp:keywords>Annual report, government, digital</cp:keywords>
  <cp:lastModifiedBy>D'Angelo, Juliette</cp:lastModifiedBy>
  <cp:revision>36</cp:revision>
  <dcterms:created xsi:type="dcterms:W3CDTF">2018-11-02T03:16:00Z</dcterms:created>
  <dcterms:modified xsi:type="dcterms:W3CDTF">2018-11-13T07:31:00Z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CC 13.1 (Windows)</vt:lpwstr>
  </property>
  <property fmtid="{D5CDD505-2E9C-101B-9397-08002B2CF9AE}" pid="4" name="LastSaved">
    <vt:filetime>2018-09-19T00:00:00Z</vt:filetime>
  </property>
  <property fmtid="{D5CDD505-2E9C-101B-9397-08002B2CF9AE}" pid="5" name="_AdHocReviewCycleID">
    <vt:i4>1624128298</vt:i4>
  </property>
  <property fmtid="{D5CDD505-2E9C-101B-9397-08002B2CF9AE}" pid="6" name="_NewReviewCycle">
    <vt:lpwstr/>
  </property>
  <property fmtid="{D5CDD505-2E9C-101B-9397-08002B2CF9AE}" pid="7" name="_EmailSubject">
    <vt:lpwstr>annual report</vt:lpwstr>
  </property>
  <property fmtid="{D5CDD505-2E9C-101B-9397-08002B2CF9AE}" pid="8" name="_AuthorEmail">
    <vt:lpwstr>Joanne.Ng@dpc.wa.gov.au</vt:lpwstr>
  </property>
  <property fmtid="{D5CDD505-2E9C-101B-9397-08002B2CF9AE}" pid="9" name="_AuthorEmailDisplayName">
    <vt:lpwstr>Ng, Joanne</vt:lpwstr>
  </property>
  <property fmtid="{D5CDD505-2E9C-101B-9397-08002B2CF9AE}" pid="10" name="_PreviousAdHocReviewCycleID">
    <vt:i4>329982718</vt:i4>
  </property>
</Properties>
</file>