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4913" w:rsidRDefault="0077611B" w:rsidP="00880709">
      <w:pPr>
        <w:pStyle w:val="BodyText"/>
      </w:pPr>
      <w:bookmarkStart w:id="0" w:name="_GoBack"/>
      <w:bookmarkEnd w:id="0"/>
      <w:r>
        <w:rPr>
          <w:noProof/>
        </w:rPr>
        <mc:AlternateContent>
          <mc:Choice Requires="wps">
            <w:drawing>
              <wp:anchor distT="0" distB="0" distL="114300" distR="114300" simplePos="0" relativeHeight="251657728" behindDoc="1" locked="0" layoutInCell="0" allowOverlap="1">
                <wp:simplePos x="0" y="0"/>
                <wp:positionH relativeFrom="page">
                  <wp:posOffset>1921510</wp:posOffset>
                </wp:positionH>
                <wp:positionV relativeFrom="page">
                  <wp:posOffset>1041400</wp:posOffset>
                </wp:positionV>
                <wp:extent cx="2719705" cy="553085"/>
                <wp:effectExtent l="0" t="0" r="0" b="0"/>
                <wp:wrapNone/>
                <wp:docPr id="5" name="Text Box 5" title="Government of Western Australia Department of Financ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705" cy="55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03B0" w:rsidRPr="00ED4913" w:rsidRDefault="009503B0" w:rsidP="00ED4913">
                            <w:pPr>
                              <w:pStyle w:val="BodyText"/>
                              <w:spacing w:line="279" w:lineRule="exact"/>
                              <w:rPr>
                                <w:sz w:val="27"/>
                                <w:szCs w:val="27"/>
                              </w:rPr>
                            </w:pPr>
                            <w:bookmarkStart w:id="1" w:name="Department_of_Finance_Annual_Report_2013"/>
                            <w:bookmarkEnd w:id="1"/>
                            <w:r w:rsidRPr="00ED4913">
                              <w:rPr>
                                <w:sz w:val="27"/>
                                <w:szCs w:val="27"/>
                              </w:rPr>
                              <w:t>Government</w:t>
                            </w:r>
                            <w:r w:rsidRPr="00ED4913">
                              <w:rPr>
                                <w:spacing w:val="28"/>
                                <w:sz w:val="27"/>
                                <w:szCs w:val="27"/>
                              </w:rPr>
                              <w:t xml:space="preserve"> </w:t>
                            </w:r>
                            <w:r w:rsidRPr="00ED4913">
                              <w:rPr>
                                <w:sz w:val="27"/>
                                <w:szCs w:val="27"/>
                              </w:rPr>
                              <w:t>of</w:t>
                            </w:r>
                            <w:r w:rsidRPr="00ED4913">
                              <w:rPr>
                                <w:spacing w:val="28"/>
                                <w:sz w:val="27"/>
                                <w:szCs w:val="27"/>
                              </w:rPr>
                              <w:t xml:space="preserve"> </w:t>
                            </w:r>
                            <w:r w:rsidRPr="00ED4913">
                              <w:rPr>
                                <w:b/>
                                <w:bCs/>
                                <w:spacing w:val="-1"/>
                                <w:sz w:val="27"/>
                                <w:szCs w:val="27"/>
                              </w:rPr>
                              <w:t>Western</w:t>
                            </w:r>
                            <w:r w:rsidRPr="00ED4913">
                              <w:rPr>
                                <w:b/>
                                <w:bCs/>
                                <w:spacing w:val="15"/>
                                <w:sz w:val="27"/>
                                <w:szCs w:val="27"/>
                              </w:rPr>
                              <w:t xml:space="preserve"> </w:t>
                            </w:r>
                            <w:r w:rsidRPr="00ED4913">
                              <w:rPr>
                                <w:b/>
                                <w:bCs/>
                                <w:sz w:val="27"/>
                                <w:szCs w:val="27"/>
                              </w:rPr>
                              <w:t>Australia</w:t>
                            </w:r>
                          </w:p>
                          <w:p w:rsidR="009503B0" w:rsidRPr="00ED4913" w:rsidRDefault="009503B0" w:rsidP="00ED4913">
                            <w:pPr>
                              <w:pStyle w:val="BodyText"/>
                              <w:spacing w:line="280" w:lineRule="exact"/>
                              <w:rPr>
                                <w:sz w:val="25"/>
                                <w:szCs w:val="25"/>
                              </w:rPr>
                            </w:pPr>
                            <w:r w:rsidRPr="00ED4913">
                              <w:rPr>
                                <w:sz w:val="25"/>
                                <w:szCs w:val="25"/>
                              </w:rPr>
                              <w:t>Department</w:t>
                            </w:r>
                            <w:r w:rsidRPr="00ED4913">
                              <w:rPr>
                                <w:spacing w:val="13"/>
                                <w:sz w:val="25"/>
                                <w:szCs w:val="25"/>
                              </w:rPr>
                              <w:t xml:space="preserve"> </w:t>
                            </w:r>
                            <w:r w:rsidRPr="00ED4913">
                              <w:rPr>
                                <w:sz w:val="25"/>
                                <w:szCs w:val="25"/>
                              </w:rPr>
                              <w:t>of</w:t>
                            </w:r>
                            <w:r w:rsidRPr="00ED4913">
                              <w:rPr>
                                <w:spacing w:val="13"/>
                                <w:sz w:val="25"/>
                                <w:szCs w:val="25"/>
                              </w:rPr>
                              <w:t xml:space="preserve"> </w:t>
                            </w:r>
                            <w:r w:rsidRPr="00ED4913">
                              <w:rPr>
                                <w:b/>
                                <w:bCs/>
                                <w:sz w:val="25"/>
                                <w:szCs w:val="25"/>
                              </w:rPr>
                              <w:t>Finance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Title: Government of Western Australia Department of Finance" style="position:absolute;margin-left:151.3pt;margin-top:82pt;width:214.15pt;height:43.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" o:allowincell="f" filled="f" stroked="f">
                <v:textbox inset="0,0,0,0">
                  <w:txbxContent>
                    <w:p w:rsidR="009503B0" w:rsidRPr="00ED4913" w:rsidRDefault="009503B0" w:rsidP="00ED4913">
                      <w:pPr>
                        <w:pStyle w:val="BodyText"/>
                        <w:spacing w:line="279" w:lineRule="exact"/>
                        <w:rPr>
                          <w:sz w:val="27"/>
                          <w:szCs w:val="27"/>
                        </w:rPr>
                      </w:pPr>
                      <w:bookmarkStart w:id="2" w:name="Department_of_Finance_Annual_Report_2013"/>
                      <w:bookmarkEnd w:id="2"/>
                      <w:r w:rsidRPr="00ED4913">
                        <w:rPr>
                          <w:sz w:val="27"/>
                          <w:szCs w:val="27"/>
                        </w:rPr>
                        <w:t>Government</w:t>
                      </w:r>
                      <w:r w:rsidRPr="00ED4913">
                        <w:rPr>
                          <w:spacing w:val="28"/>
                          <w:sz w:val="27"/>
                          <w:szCs w:val="27"/>
                        </w:rPr>
                        <w:t xml:space="preserve"> </w:t>
                      </w:r>
                      <w:r w:rsidRPr="00ED4913">
                        <w:rPr>
                          <w:sz w:val="27"/>
                          <w:szCs w:val="27"/>
                        </w:rPr>
                        <w:t>of</w:t>
                      </w:r>
                      <w:r w:rsidRPr="00ED4913">
                        <w:rPr>
                          <w:spacing w:val="28"/>
                          <w:sz w:val="27"/>
                          <w:szCs w:val="27"/>
                        </w:rPr>
                        <w:t xml:space="preserve"> </w:t>
                      </w:r>
                      <w:r w:rsidRPr="00ED4913">
                        <w:rPr>
                          <w:b/>
                          <w:bCs/>
                          <w:spacing w:val="-1"/>
                          <w:sz w:val="27"/>
                          <w:szCs w:val="27"/>
                        </w:rPr>
                        <w:t>Western</w:t>
                      </w:r>
                      <w:r w:rsidRPr="00ED4913">
                        <w:rPr>
                          <w:b/>
                          <w:bCs/>
                          <w:spacing w:val="15"/>
                          <w:sz w:val="27"/>
                          <w:szCs w:val="27"/>
                        </w:rPr>
                        <w:t xml:space="preserve"> </w:t>
                      </w:r>
                      <w:r w:rsidRPr="00ED4913">
                        <w:rPr>
                          <w:b/>
                          <w:bCs/>
                          <w:sz w:val="27"/>
                          <w:szCs w:val="27"/>
                        </w:rPr>
                        <w:t>Australia</w:t>
                      </w:r>
                    </w:p>
                    <w:p w:rsidR="009503B0" w:rsidRPr="00ED4913" w:rsidRDefault="009503B0" w:rsidP="00ED4913">
                      <w:pPr>
                        <w:pStyle w:val="BodyText"/>
                        <w:spacing w:line="280" w:lineRule="exact"/>
                        <w:rPr>
                          <w:sz w:val="25"/>
                          <w:szCs w:val="25"/>
                        </w:rPr>
                      </w:pPr>
                      <w:r w:rsidRPr="00ED4913">
                        <w:rPr>
                          <w:sz w:val="25"/>
                          <w:szCs w:val="25"/>
                        </w:rPr>
                        <w:t>Department</w:t>
                      </w:r>
                      <w:r w:rsidRPr="00ED4913">
                        <w:rPr>
                          <w:spacing w:val="13"/>
                          <w:sz w:val="25"/>
                          <w:szCs w:val="25"/>
                        </w:rPr>
                        <w:t xml:space="preserve"> </w:t>
                      </w:r>
                      <w:r w:rsidRPr="00ED4913">
                        <w:rPr>
                          <w:sz w:val="25"/>
                          <w:szCs w:val="25"/>
                        </w:rPr>
                        <w:t>of</w:t>
                      </w:r>
                      <w:r w:rsidRPr="00ED4913">
                        <w:rPr>
                          <w:spacing w:val="13"/>
                          <w:sz w:val="25"/>
                          <w:szCs w:val="25"/>
                        </w:rPr>
                        <w:t xml:space="preserve"> </w:t>
                      </w:r>
                      <w:r w:rsidRPr="00ED4913">
                        <w:rPr>
                          <w:b/>
                          <w:bCs/>
                          <w:sz w:val="25"/>
                          <w:szCs w:val="25"/>
                        </w:rPr>
                        <w:t>Finance</w:t>
                      </w:r>
                    </w:p>
                  </w:txbxContent>
                </v:textbox>
                <w10:wrap anchorx="page" anchory="page"/>
              </v:shape>
            </w:pict>
          </mc:Fallback>
        </mc:AlternateContent>
      </w:r>
      <w:r w:rsidRPr="009C054D">
        <w:rPr>
          <w:noProof/>
        </w:rPr>
        <w:drawing>
          <wp:inline distT="0" distB="0" distL="0" distR="0">
            <wp:extent cx="887985" cy="644773"/>
            <wp:effectExtent l="0" t="0" r="0" b="0"/>
            <wp:docPr id="1" name="Picture 1" descr="Department of Finance Logo" title="Department of Fin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Finance Logo" title="Department of Financ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7730" cy="644525"/>
                    </a:xfrm>
                    <a:prstGeom prst="rect">
                      <a:avLst/>
                    </a:prstGeom>
                    <a:noFill/>
                    <a:ln>
                      <a:noFill/>
                    </a:ln>
                  </pic:spPr>
                </pic:pic>
              </a:graphicData>
            </a:graphic>
          </wp:inline>
        </w:drawing>
      </w:r>
    </w:p>
    <w:p w:rsidR="00ED4913" w:rsidRDefault="00ED4913" w:rsidP="00880709">
      <w:pPr>
        <w:pStyle w:val="BodyText"/>
      </w:pPr>
    </w:p>
    <w:p w:rsidR="00ED4913" w:rsidRDefault="00ED4913" w:rsidP="00880709">
      <w:pPr>
        <w:pStyle w:val="BodyText"/>
      </w:pPr>
    </w:p>
    <w:p w:rsidR="00ED4913" w:rsidRDefault="00ED4913" w:rsidP="00880709">
      <w:pPr>
        <w:pStyle w:val="BodyText"/>
      </w:pPr>
    </w:p>
    <w:p w:rsidR="00ED4913" w:rsidRDefault="00ED4913" w:rsidP="00880709">
      <w:pPr>
        <w:pStyle w:val="BodyText"/>
      </w:pPr>
    </w:p>
    <w:p w:rsidR="00ED4913" w:rsidRDefault="00ED4913" w:rsidP="00880709">
      <w:pPr>
        <w:pStyle w:val="BodyText"/>
      </w:pPr>
    </w:p>
    <w:p w:rsidR="00ED4913" w:rsidRPr="00ED4913" w:rsidRDefault="009E012D" w:rsidP="00ED4913">
      <w:pPr>
        <w:pStyle w:val="Heading1"/>
      </w:pPr>
      <w:r>
        <w:t xml:space="preserve">Department of Finance </w:t>
      </w:r>
    </w:p>
    <w:p w:rsidR="00880709" w:rsidRDefault="00E7362C" w:rsidP="00880709">
      <w:pPr>
        <w:pStyle w:val="Heading2"/>
      </w:pPr>
      <w:r>
        <w:t>ANNUAL REPORT</w:t>
      </w:r>
      <w:r w:rsidR="00ED4913" w:rsidRPr="00ED4913">
        <w:t xml:space="preserve"> 201</w:t>
      </w:r>
      <w:r w:rsidR="009E012D">
        <w:t>5-16</w:t>
      </w:r>
    </w:p>
    <w:p w:rsidR="00880709" w:rsidRDefault="00880709">
      <w:pPr>
        <w:spacing w:after="0" w:line="240" w:lineRule="auto"/>
        <w:rPr>
          <w:rFonts w:ascii="Arial" w:eastAsia="Times New Roman" w:hAnsi="Arial"/>
          <w:b/>
          <w:bCs/>
          <w:sz w:val="40"/>
          <w:szCs w:val="26"/>
        </w:rPr>
      </w:pPr>
      <w:r>
        <w:br w:type="page"/>
      </w:r>
    </w:p>
    <w:p w:rsidR="00ED4913" w:rsidRPr="00880709" w:rsidRDefault="00ED4913" w:rsidP="00880709">
      <w:pPr>
        <w:pStyle w:val="Heading2"/>
      </w:pPr>
    </w:p>
    <w:p w:rsidR="00ED4913" w:rsidRDefault="00ED4913" w:rsidP="00ED4913">
      <w:pPr>
        <w:pStyle w:val="BodyText"/>
        <w:rPr>
          <w:rFonts w:ascii="Times New Roman" w:hAnsi="Times New Roman" w:cs="Times New Roman"/>
          <w:sz w:val="28"/>
          <w:szCs w:val="28"/>
        </w:rPr>
      </w:pPr>
    </w:p>
    <w:p w:rsidR="00ED4913" w:rsidRDefault="00ED4913" w:rsidP="00ED4913">
      <w:pPr>
        <w:pStyle w:val="BodyText"/>
        <w:rPr>
          <w:rFonts w:ascii="Times New Roman" w:hAnsi="Times New Roman" w:cs="Times New Roman"/>
          <w:sz w:val="28"/>
          <w:szCs w:val="28"/>
        </w:rPr>
      </w:pPr>
    </w:p>
    <w:p w:rsidR="00ED4913" w:rsidRDefault="00ED4913" w:rsidP="00ED4913">
      <w:pPr>
        <w:pStyle w:val="BodyText"/>
        <w:rPr>
          <w:rFonts w:ascii="Times New Roman" w:hAnsi="Times New Roman" w:cs="Times New Roman"/>
          <w:sz w:val="28"/>
          <w:szCs w:val="28"/>
        </w:rPr>
      </w:pPr>
    </w:p>
    <w:p w:rsidR="00ED4913" w:rsidRDefault="00ED4913" w:rsidP="00ED4913">
      <w:pPr>
        <w:pStyle w:val="BodyText"/>
        <w:rPr>
          <w:rFonts w:ascii="Times New Roman" w:hAnsi="Times New Roman" w:cs="Times New Roman"/>
          <w:sz w:val="28"/>
          <w:szCs w:val="28"/>
        </w:rPr>
      </w:pPr>
    </w:p>
    <w:p w:rsidR="00ED4913" w:rsidRDefault="00ED4913" w:rsidP="00ED4913">
      <w:pPr>
        <w:pStyle w:val="BodyText"/>
        <w:spacing w:before="7"/>
        <w:rPr>
          <w:rFonts w:ascii="Times New Roman" w:hAnsi="Times New Roman" w:cs="Times New Roman"/>
          <w:sz w:val="41"/>
          <w:szCs w:val="41"/>
        </w:rPr>
      </w:pPr>
    </w:p>
    <w:p w:rsidR="00ED4913" w:rsidRDefault="00ED4913" w:rsidP="00ED4913">
      <w:pPr>
        <w:pStyle w:val="Heading3"/>
        <w:rPr>
          <w:color w:val="000000"/>
        </w:rPr>
      </w:pPr>
      <w:r>
        <w:t>Statement of compliance</w:t>
      </w:r>
    </w:p>
    <w:p w:rsidR="00ED4913" w:rsidRDefault="00ED4913" w:rsidP="0031588F">
      <w:pPr>
        <w:pStyle w:val="Heading4"/>
        <w:spacing w:after="0"/>
      </w:pPr>
      <w:r w:rsidRPr="004F1227">
        <w:rPr>
          <w:spacing w:val="-3"/>
        </w:rPr>
        <w:t>For</w:t>
      </w:r>
      <w:r w:rsidRPr="004F1227">
        <w:t xml:space="preserve"> the </w:t>
      </w:r>
      <w:r w:rsidRPr="004F1227">
        <w:rPr>
          <w:spacing w:val="-1"/>
        </w:rPr>
        <w:t>year</w:t>
      </w:r>
      <w:r w:rsidRPr="004F1227">
        <w:t xml:space="preserve"> ended 30 June 201</w:t>
      </w:r>
      <w:r w:rsidR="0031588F">
        <w:t>6</w:t>
      </w:r>
    </w:p>
    <w:p w:rsidR="0031588F" w:rsidRPr="0031588F" w:rsidRDefault="0031588F" w:rsidP="0031588F">
      <w:pPr>
        <w:spacing w:after="0"/>
      </w:pPr>
    </w:p>
    <w:p w:rsidR="0031588F" w:rsidRPr="0031588F" w:rsidRDefault="0031588F" w:rsidP="0031588F">
      <w:pPr>
        <w:rPr>
          <w:rFonts w:ascii="Arial" w:hAnsi="Arial" w:cs="Arial"/>
          <w:b/>
          <w:sz w:val="24"/>
          <w:szCs w:val="24"/>
        </w:rPr>
      </w:pPr>
      <w:r w:rsidRPr="0031588F">
        <w:rPr>
          <w:rFonts w:ascii="Arial" w:hAnsi="Arial" w:cs="Arial"/>
          <w:b/>
          <w:sz w:val="24"/>
          <w:szCs w:val="24"/>
        </w:rPr>
        <w:t>HON BILL MARMION MLA</w:t>
      </w:r>
    </w:p>
    <w:p w:rsidR="0031588F" w:rsidRPr="0031588F" w:rsidRDefault="0031588F" w:rsidP="0031588F">
      <w:pPr>
        <w:rPr>
          <w:rFonts w:ascii="Arial" w:hAnsi="Arial" w:cs="Arial"/>
          <w:b/>
          <w:sz w:val="24"/>
          <w:szCs w:val="24"/>
        </w:rPr>
      </w:pPr>
      <w:r w:rsidRPr="0031588F">
        <w:rPr>
          <w:rFonts w:ascii="Arial" w:hAnsi="Arial" w:cs="Arial"/>
          <w:b/>
          <w:sz w:val="24"/>
          <w:szCs w:val="24"/>
        </w:rPr>
        <w:t>MINISTER FOR STATE DEVELOPMENT; FINANCE; INNOVATION</w:t>
      </w:r>
    </w:p>
    <w:p w:rsidR="000A721E" w:rsidRDefault="000A721E" w:rsidP="000A721E">
      <w:pPr>
        <w:pStyle w:val="BodyText"/>
      </w:pPr>
      <w:r>
        <w:t xml:space="preserve">In accordance with section 63 of the </w:t>
      </w:r>
      <w:r w:rsidRPr="0009390A">
        <w:rPr>
          <w:i/>
        </w:rPr>
        <w:t>Financial Management Act 2006</w:t>
      </w:r>
      <w:r>
        <w:t>, I hereby submit for your information and presentation to Parliament, the Annual Report of the Department of Finance for the financial year ended 30 June 2016.</w:t>
      </w:r>
    </w:p>
    <w:p w:rsidR="00ED4913" w:rsidRDefault="000A721E" w:rsidP="000A721E">
      <w:pPr>
        <w:pStyle w:val="BodyText"/>
      </w:pPr>
      <w:r>
        <w:t xml:space="preserve">The Annual Report has been prepared in accordance with the provisions of the </w:t>
      </w:r>
      <w:r w:rsidRPr="0009390A">
        <w:rPr>
          <w:i/>
        </w:rPr>
        <w:t>Financial Management Act 2006</w:t>
      </w:r>
      <w:r>
        <w:t>.</w:t>
      </w:r>
    </w:p>
    <w:p w:rsidR="0096170F" w:rsidRDefault="0096170F" w:rsidP="000A721E">
      <w:pPr>
        <w:pStyle w:val="BodyText"/>
        <w:rPr>
          <w:rFonts w:ascii="Times New Roman" w:hAnsi="Times New Roman" w:cs="Times New Roman"/>
        </w:rPr>
      </w:pPr>
    </w:p>
    <w:p w:rsidR="00ED4913" w:rsidRDefault="00ED4913" w:rsidP="00ED4913">
      <w:pPr>
        <w:pStyle w:val="BodyText"/>
        <w:rPr>
          <w:rFonts w:ascii="Times New Roman" w:hAnsi="Times New Roman" w:cs="Times New Roman"/>
        </w:rPr>
      </w:pPr>
    </w:p>
    <w:p w:rsidR="005E363A" w:rsidRDefault="00ED4913" w:rsidP="00ED4913">
      <w:pPr>
        <w:pStyle w:val="BodyText"/>
      </w:pPr>
      <w:r w:rsidRPr="00ED4913">
        <w:t>Anne Nolan</w:t>
      </w:r>
    </w:p>
    <w:p w:rsidR="00ED4913" w:rsidRPr="00ED4913" w:rsidRDefault="00ED4913" w:rsidP="00ED4913">
      <w:pPr>
        <w:pStyle w:val="BodyText"/>
      </w:pPr>
      <w:r w:rsidRPr="00ED4913">
        <w:t>Director General</w:t>
      </w:r>
    </w:p>
    <w:p w:rsidR="00ED4913" w:rsidRPr="00ED4913" w:rsidRDefault="0031588F" w:rsidP="00ED4913">
      <w:pPr>
        <w:pStyle w:val="BodyText"/>
      </w:pPr>
      <w:r>
        <w:t>24 August 2016</w:t>
      </w:r>
    </w:p>
    <w:p w:rsidR="00ED4913" w:rsidRDefault="00ED4913" w:rsidP="00ED4913">
      <w:pPr>
        <w:pStyle w:val="BodyText"/>
      </w:pPr>
    </w:p>
    <w:p w:rsidR="00ED4913" w:rsidRDefault="006A476C" w:rsidP="00ED4913">
      <w:pPr>
        <w:pStyle w:val="Heading3"/>
        <w:rPr>
          <w:color w:val="000000"/>
        </w:rPr>
      </w:pPr>
      <w:r>
        <w:rPr>
          <w:spacing w:val="-1"/>
        </w:rPr>
        <w:br w:type="page"/>
      </w:r>
      <w:r w:rsidR="00ED4913">
        <w:rPr>
          <w:spacing w:val="-1"/>
        </w:rPr>
        <w:lastRenderedPageBreak/>
        <w:t>About</w:t>
      </w:r>
      <w:r w:rsidR="00ED4913">
        <w:t xml:space="preserve"> this report</w:t>
      </w:r>
    </w:p>
    <w:p w:rsidR="00B05D82" w:rsidRDefault="00B05D82" w:rsidP="00B05D82">
      <w:pPr>
        <w:pStyle w:val="BodyText"/>
      </w:pPr>
      <w:r>
        <w:t>Every effort has been made to improve readability and accessibility of this report in print and online.</w:t>
      </w:r>
    </w:p>
    <w:p w:rsidR="00B05D82" w:rsidRDefault="00B05D82" w:rsidP="00B05D82">
      <w:pPr>
        <w:pStyle w:val="BodyText"/>
      </w:pPr>
      <w:r>
        <w:t>The Department of Finance supports sustainability and encourages readers to view the report on the Department's website. Only limited professional printed copies have been produced.</w:t>
      </w:r>
    </w:p>
    <w:p w:rsidR="00B05D82" w:rsidRDefault="00B05D82" w:rsidP="00B05D82">
      <w:pPr>
        <w:pStyle w:val="BodyText"/>
      </w:pPr>
      <w:r>
        <w:t>As part of the Department’s focus on continuous improvement, we encourage your feedback about this document. Email feedback to Corporate.Communications@finance.wa.gov.au. Contact details for the Department are listed on page 1</w:t>
      </w:r>
      <w:r w:rsidR="00F57F79">
        <w:t>45</w:t>
      </w:r>
      <w:r>
        <w:t>.</w:t>
      </w:r>
    </w:p>
    <w:p w:rsidR="00C72FA1" w:rsidRDefault="00C72FA1" w:rsidP="00B05D82">
      <w:pPr>
        <w:pStyle w:val="BodyText"/>
      </w:pPr>
      <w:r>
        <w:t>Department of Finance Annual Report 201</w:t>
      </w:r>
      <w:r w:rsidR="00B05D82">
        <w:t>5</w:t>
      </w:r>
      <w:r>
        <w:t>-1</w:t>
      </w:r>
      <w:r w:rsidR="00B05D82">
        <w:t>6</w:t>
      </w:r>
    </w:p>
    <w:p w:rsidR="00C72FA1" w:rsidRDefault="00C72FA1" w:rsidP="00C72FA1">
      <w:pPr>
        <w:pStyle w:val="BodyText"/>
      </w:pPr>
      <w:r>
        <w:t>© Department of Finance 201</w:t>
      </w:r>
      <w:r w:rsidR="00B05D82">
        <w:t>6</w:t>
      </w:r>
    </w:p>
    <w:p w:rsidR="00C72FA1" w:rsidRDefault="00C72FA1" w:rsidP="00C72FA1">
      <w:pPr>
        <w:pStyle w:val="BodyText"/>
      </w:pPr>
      <w:r>
        <w:t>ISSN 2203-594X (Print)</w:t>
      </w:r>
    </w:p>
    <w:p w:rsidR="006A476C" w:rsidRDefault="00C72FA1" w:rsidP="00C72FA1">
      <w:pPr>
        <w:pStyle w:val="BodyText"/>
      </w:pPr>
      <w:r>
        <w:t>ISSN 2203-5958 (Online)</w:t>
      </w:r>
    </w:p>
    <w:p w:rsidR="00B05D82" w:rsidRDefault="00B05D82" w:rsidP="00DB0C9F">
      <w:pPr>
        <w:pStyle w:val="Heading3"/>
        <w:spacing w:before="141" w:after="0" w:line="240" w:lineRule="auto"/>
      </w:pPr>
    </w:p>
    <w:p w:rsidR="006A476C" w:rsidRPr="006A476C" w:rsidRDefault="006A476C" w:rsidP="006A476C">
      <w:pPr>
        <w:pStyle w:val="Heading3"/>
      </w:pPr>
      <w:r w:rsidRPr="006A476C">
        <w:t>Key legislation</w:t>
      </w:r>
    </w:p>
    <w:p w:rsidR="00B05D82" w:rsidRDefault="00B05D82" w:rsidP="00B05D82">
      <w:pPr>
        <w:pStyle w:val="BodyText"/>
      </w:pPr>
      <w:r>
        <w:t>The Department of Finance complies with all relevant legislation that governs its functions.</w:t>
      </w:r>
    </w:p>
    <w:p w:rsidR="00B05D82" w:rsidRDefault="00B05D82" w:rsidP="00B05D82">
      <w:pPr>
        <w:pStyle w:val="BodyText"/>
      </w:pPr>
      <w:r>
        <w:t xml:space="preserve">The Department also has responsibility for the administration of 34 Acts and collected taxes, duties and fees, and paid subsidies, grants and rebates during </w:t>
      </w:r>
      <w:r>
        <w:br/>
        <w:t>2015-16 in accordance with legislation.</w:t>
      </w:r>
    </w:p>
    <w:p w:rsidR="00ED4913" w:rsidRDefault="00B05D82" w:rsidP="00B05D82">
      <w:pPr>
        <w:pStyle w:val="BodyText"/>
      </w:pPr>
      <w:r>
        <w:t>These are listed in the Appendix on page 1</w:t>
      </w:r>
      <w:r w:rsidR="00F57F79">
        <w:t>43</w:t>
      </w:r>
      <w:r>
        <w:t>.</w:t>
      </w:r>
      <w:r w:rsidR="00ED4913">
        <w:br w:type="page"/>
      </w:r>
    </w:p>
    <w:p w:rsidR="00ED4913" w:rsidRDefault="00ED4913" w:rsidP="00ED4913">
      <w:pPr>
        <w:pStyle w:val="BodyText"/>
      </w:pPr>
    </w:p>
    <w:p w:rsidR="000F1682" w:rsidRPr="00EC67A7" w:rsidRDefault="000F1682" w:rsidP="006A476C">
      <w:pPr>
        <w:pStyle w:val="Heading1"/>
      </w:pPr>
      <w:r w:rsidRPr="009D6F36">
        <w:t>OVERVIEW</w:t>
      </w:r>
      <w:r w:rsidRPr="00EC67A7">
        <w:t xml:space="preserve"> </w:t>
      </w:r>
    </w:p>
    <w:p w:rsidR="00AA1097" w:rsidRPr="00AA1097" w:rsidRDefault="00AA1097" w:rsidP="00286415">
      <w:pPr>
        <w:pStyle w:val="Heading2"/>
        <w:numPr>
          <w:ilvl w:val="0"/>
          <w:numId w:val="5"/>
        </w:numPr>
        <w:rPr>
          <w:rFonts w:cs="Arial"/>
          <w:b w:val="0"/>
          <w:bCs w:val="0"/>
          <w:spacing w:val="1"/>
          <w:sz w:val="36"/>
          <w:szCs w:val="36"/>
          <w:lang w:eastAsia="en-AU"/>
        </w:rPr>
      </w:pPr>
      <w:r>
        <w:rPr>
          <w:rFonts w:cs="Arial"/>
          <w:b w:val="0"/>
          <w:bCs w:val="0"/>
          <w:spacing w:val="1"/>
          <w:sz w:val="36"/>
          <w:szCs w:val="36"/>
          <w:lang w:eastAsia="en-AU"/>
        </w:rPr>
        <w:t xml:space="preserve">Director General's foreword </w:t>
      </w:r>
    </w:p>
    <w:p w:rsidR="00AA1097" w:rsidRPr="00AA1097" w:rsidRDefault="00AA1097" w:rsidP="00286415">
      <w:pPr>
        <w:pStyle w:val="Heading2"/>
        <w:numPr>
          <w:ilvl w:val="0"/>
          <w:numId w:val="5"/>
        </w:numPr>
        <w:rPr>
          <w:rFonts w:cs="Arial"/>
          <w:b w:val="0"/>
          <w:bCs w:val="0"/>
          <w:spacing w:val="1"/>
          <w:sz w:val="36"/>
          <w:szCs w:val="36"/>
          <w:lang w:eastAsia="en-AU"/>
        </w:rPr>
      </w:pPr>
      <w:r>
        <w:rPr>
          <w:rFonts w:cs="Arial"/>
          <w:b w:val="0"/>
          <w:bCs w:val="0"/>
          <w:spacing w:val="1"/>
          <w:sz w:val="36"/>
          <w:szCs w:val="36"/>
          <w:lang w:eastAsia="en-AU"/>
        </w:rPr>
        <w:t xml:space="preserve">Annual Highlights </w:t>
      </w:r>
    </w:p>
    <w:p w:rsidR="004456B0" w:rsidRDefault="00AA1097" w:rsidP="00286415">
      <w:pPr>
        <w:pStyle w:val="Heading2"/>
        <w:numPr>
          <w:ilvl w:val="0"/>
          <w:numId w:val="5"/>
        </w:numPr>
        <w:rPr>
          <w:rFonts w:cs="Arial"/>
          <w:b w:val="0"/>
          <w:bCs w:val="0"/>
          <w:spacing w:val="1"/>
          <w:sz w:val="36"/>
          <w:szCs w:val="36"/>
          <w:lang w:eastAsia="en-AU"/>
        </w:rPr>
      </w:pPr>
      <w:r>
        <w:rPr>
          <w:rFonts w:cs="Arial"/>
          <w:b w:val="0"/>
          <w:bCs w:val="0"/>
          <w:spacing w:val="1"/>
          <w:sz w:val="36"/>
          <w:szCs w:val="36"/>
          <w:lang w:eastAsia="en-AU"/>
        </w:rPr>
        <w:t>Executive summary</w:t>
      </w:r>
    </w:p>
    <w:p w:rsidR="004456B0" w:rsidRDefault="004456B0" w:rsidP="004456B0">
      <w:pPr>
        <w:pStyle w:val="Heading2"/>
        <w:numPr>
          <w:ilvl w:val="0"/>
          <w:numId w:val="5"/>
        </w:numPr>
        <w:rPr>
          <w:rFonts w:cs="Arial"/>
          <w:b w:val="0"/>
          <w:bCs w:val="0"/>
          <w:spacing w:val="1"/>
          <w:sz w:val="36"/>
          <w:szCs w:val="36"/>
          <w:lang w:eastAsia="en-AU"/>
        </w:rPr>
      </w:pPr>
      <w:r w:rsidRPr="00AA1097">
        <w:rPr>
          <w:rFonts w:cs="Arial"/>
          <w:b w:val="0"/>
          <w:bCs w:val="0"/>
          <w:spacing w:val="1"/>
          <w:sz w:val="36"/>
          <w:szCs w:val="36"/>
          <w:lang w:eastAsia="en-AU"/>
        </w:rPr>
        <w:t>Organisational s</w:t>
      </w:r>
      <w:r>
        <w:rPr>
          <w:rFonts w:cs="Arial"/>
          <w:b w:val="0"/>
          <w:bCs w:val="0"/>
          <w:spacing w:val="1"/>
          <w:sz w:val="36"/>
          <w:szCs w:val="36"/>
          <w:lang w:eastAsia="en-AU"/>
        </w:rPr>
        <w:t xml:space="preserve">tructure </w:t>
      </w:r>
    </w:p>
    <w:p w:rsidR="00AA1097" w:rsidRPr="00AA1097" w:rsidRDefault="004456B0" w:rsidP="00286415">
      <w:pPr>
        <w:pStyle w:val="Heading2"/>
        <w:numPr>
          <w:ilvl w:val="0"/>
          <w:numId w:val="5"/>
        </w:numPr>
        <w:rPr>
          <w:rFonts w:cs="Arial"/>
          <w:b w:val="0"/>
          <w:bCs w:val="0"/>
          <w:spacing w:val="1"/>
          <w:sz w:val="36"/>
          <w:szCs w:val="36"/>
          <w:lang w:eastAsia="en-AU"/>
        </w:rPr>
      </w:pPr>
      <w:r>
        <w:rPr>
          <w:rFonts w:cs="Arial"/>
          <w:b w:val="0"/>
          <w:bCs w:val="0"/>
          <w:spacing w:val="1"/>
          <w:sz w:val="36"/>
          <w:szCs w:val="36"/>
          <w:lang w:eastAsia="en-AU"/>
        </w:rPr>
        <w:t>Performance management framework</w:t>
      </w:r>
    </w:p>
    <w:p w:rsidR="00A55723" w:rsidRPr="00BE265A" w:rsidRDefault="004456B0" w:rsidP="004456B0">
      <w:pPr>
        <w:pStyle w:val="Heading2"/>
        <w:rPr>
          <w:rFonts w:cs="Arial"/>
          <w:b w:val="0"/>
          <w:bCs w:val="0"/>
          <w:spacing w:val="1"/>
          <w:sz w:val="36"/>
          <w:szCs w:val="36"/>
          <w:lang w:eastAsia="en-AU"/>
        </w:rPr>
      </w:pPr>
      <w:r>
        <w:br w:type="page"/>
      </w:r>
      <w:r w:rsidR="00A55723">
        <w:lastRenderedPageBreak/>
        <w:t>Director General’s foreword</w:t>
      </w:r>
    </w:p>
    <w:p w:rsidR="00420E06" w:rsidRDefault="00420E06" w:rsidP="00BB45B7">
      <w:pPr>
        <w:pStyle w:val="BodyText"/>
      </w:pPr>
      <w:r>
        <w:t>On behalf of the Department of Finance, I am pleased to present the 2015-16 Annual Report, which outlines the organisation’s activities over the last 12 months.</w:t>
      </w:r>
    </w:p>
    <w:p w:rsidR="00420E06" w:rsidRDefault="00420E06" w:rsidP="00BB45B7">
      <w:pPr>
        <w:pStyle w:val="BodyText"/>
      </w:pPr>
      <w:r>
        <w:t>Our staff can reflect on their work over the last financial year with a strong sense of satisfaction. The Department has helped the Government deliver a number of important initiatives, and laid the groundwork to implement its broader agenda over the coming years.</w:t>
      </w:r>
    </w:p>
    <w:p w:rsidR="00420E06" w:rsidRDefault="00420E06" w:rsidP="00BB45B7">
      <w:pPr>
        <w:pStyle w:val="BodyText"/>
      </w:pPr>
      <w:r>
        <w:t>Many of the Department’s initiatives reflect the Government’s commitment to create a more efficient public sector, one that is performance-driven and able to provide faster services to support the future prosperity of the State. The Department of Finance is central to the achievement of this goal and I am excited to be leading the Department through this period of change.</w:t>
      </w:r>
    </w:p>
    <w:p w:rsidR="00420E06" w:rsidRDefault="00420E06" w:rsidP="00BB45B7">
      <w:pPr>
        <w:pStyle w:val="BodyText"/>
      </w:pPr>
      <w:r>
        <w:t>The breadth of projects achieved over the last 12 months is wide, and this report provides the opportunity for the Department to highlight just how important its advice is in facilitating the efficient operation of government, the delivery of its services, and providing important community building projects.</w:t>
      </w:r>
    </w:p>
    <w:p w:rsidR="00420E06" w:rsidRDefault="00420E06" w:rsidP="00BB45B7">
      <w:pPr>
        <w:pStyle w:val="BodyText"/>
      </w:pPr>
      <w:r>
        <w:t>It has also been a year of dual priorities as we continued to deliver infrastructure programs, quality advice and services whilst embarking on an ambitious internal transformation program. As a result of this program, the Department enters the new financial year a more agile and connected organisation that is better able to perform its key role in enabling a high performing public sector.</w:t>
      </w:r>
    </w:p>
    <w:p w:rsidR="00420E06" w:rsidRDefault="00420E06" w:rsidP="00BB45B7">
      <w:pPr>
        <w:pStyle w:val="BodyText"/>
      </w:pPr>
      <w:r>
        <w:t>All of this work is only possible because of the professional and hard-working individuals who comprise the staff of Finance. The exceptional services they provide, the thoughtful and strategic advice they give, and the highly specialised work they do enable the Department to excel.</w:t>
      </w:r>
    </w:p>
    <w:p w:rsidR="00420E06" w:rsidRDefault="00420E06" w:rsidP="00BB45B7">
      <w:pPr>
        <w:pStyle w:val="BodyText"/>
      </w:pPr>
      <w:r>
        <w:t>I thank my staff for this and for their support for me throughout the year, as well as their dedication and hard work delivering on the Government’s priorities. It is through a culture of hard work, collaboration and ingenuity that Finance has been able to deliver such a vast breadth of projects and services in 2015-16.</w:t>
      </w:r>
    </w:p>
    <w:p w:rsidR="00420E06" w:rsidRDefault="00420E06" w:rsidP="00BB45B7">
      <w:pPr>
        <w:pStyle w:val="BodyText"/>
      </w:pPr>
      <w:r>
        <w:t>I also thank the Minister for Finance, the Hon Bill Marmion MLA, and the Minister for Energy, the Hon Dr Mike Nahan MLA, for their support of the Department over the last year.</w:t>
      </w:r>
    </w:p>
    <w:p w:rsidR="00420E06" w:rsidRDefault="00420E06" w:rsidP="00420E06">
      <w:pPr>
        <w:pStyle w:val="BodyText"/>
      </w:pPr>
    </w:p>
    <w:p w:rsidR="00420E06" w:rsidRDefault="00420E06" w:rsidP="00420E06">
      <w:pPr>
        <w:pStyle w:val="BodyText"/>
      </w:pPr>
    </w:p>
    <w:p w:rsidR="00420E06" w:rsidRDefault="00420E06" w:rsidP="00420E06">
      <w:pPr>
        <w:pStyle w:val="BodyText"/>
      </w:pPr>
      <w:r>
        <w:t>Anne Nolan</w:t>
      </w:r>
    </w:p>
    <w:p w:rsidR="00420E06" w:rsidRDefault="00420E06" w:rsidP="00420E06">
      <w:pPr>
        <w:pStyle w:val="BodyText"/>
      </w:pPr>
      <w:r>
        <w:t>Director General</w:t>
      </w:r>
    </w:p>
    <w:p w:rsidR="00420E06" w:rsidRDefault="00420E06" w:rsidP="00420E06">
      <w:pPr>
        <w:pStyle w:val="BodyText"/>
      </w:pPr>
      <w:r>
        <w:t>Department of Finance</w:t>
      </w:r>
    </w:p>
    <w:p w:rsidR="00420E06" w:rsidRPr="00420E06" w:rsidRDefault="00420E06" w:rsidP="00420E06">
      <w:pPr>
        <w:pStyle w:val="BodyText"/>
        <w:rPr>
          <w:rFonts w:cs="Times New Roman"/>
          <w:b/>
          <w:bCs/>
          <w:sz w:val="40"/>
          <w:szCs w:val="26"/>
          <w:lang w:eastAsia="en-US"/>
        </w:rPr>
      </w:pPr>
      <w:r>
        <w:t> </w:t>
      </w:r>
      <w:r w:rsidR="00A55723">
        <w:br w:type="page"/>
      </w:r>
      <w:r>
        <w:rPr>
          <w:rFonts w:cs="Times New Roman"/>
          <w:b/>
          <w:bCs/>
          <w:sz w:val="40"/>
          <w:szCs w:val="26"/>
          <w:lang w:eastAsia="en-US"/>
        </w:rPr>
        <w:lastRenderedPageBreak/>
        <w:t>Annual highlights</w:t>
      </w:r>
    </w:p>
    <w:p w:rsidR="00420E06" w:rsidRPr="00C72FA1" w:rsidRDefault="00420E06" w:rsidP="00420E06">
      <w:pPr>
        <w:pStyle w:val="BodyText"/>
        <w:rPr>
          <w:b/>
        </w:rPr>
      </w:pPr>
      <w:r w:rsidRPr="00420E06">
        <w:rPr>
          <w:b/>
        </w:rPr>
        <w:t xml:space="preserve">The Department of Finance is committed to providing exceptional services, strategic advice and quality infrastructure programs, facilitating </w:t>
      </w:r>
      <w:r>
        <w:rPr>
          <w:b/>
        </w:rPr>
        <w:br/>
      </w:r>
      <w:r w:rsidRPr="00420E06">
        <w:rPr>
          <w:b/>
        </w:rPr>
        <w:t>whole-of-government performance</w:t>
      </w:r>
      <w:r>
        <w:rPr>
          <w:b/>
        </w:rPr>
        <w:t>.</w:t>
      </w:r>
    </w:p>
    <w:p w:rsidR="00420E06" w:rsidRDefault="00420E06" w:rsidP="00BB45B7">
      <w:pPr>
        <w:pStyle w:val="BodyText"/>
      </w:pPr>
      <w:r>
        <w:t>Public Utilities Office</w:t>
      </w:r>
    </w:p>
    <w:p w:rsidR="00420E06" w:rsidRDefault="00420E06" w:rsidP="00BB45B7">
      <w:pPr>
        <w:pStyle w:val="BodyText"/>
        <w:numPr>
          <w:ilvl w:val="0"/>
          <w:numId w:val="5"/>
        </w:numPr>
      </w:pPr>
      <w:r>
        <w:t>Progressed Phase Two of the Electricity Market Review.</w:t>
      </w:r>
    </w:p>
    <w:p w:rsidR="00420E06" w:rsidRDefault="00420E06" w:rsidP="00BB45B7">
      <w:pPr>
        <w:pStyle w:val="BodyText"/>
      </w:pPr>
      <w:r>
        <w:t>State Revenue</w:t>
      </w:r>
    </w:p>
    <w:p w:rsidR="00420E06" w:rsidRDefault="00420E06" w:rsidP="00BB45B7">
      <w:pPr>
        <w:pStyle w:val="BodyText"/>
        <w:numPr>
          <w:ilvl w:val="0"/>
          <w:numId w:val="5"/>
        </w:numPr>
      </w:pPr>
      <w:r>
        <w:t>Saved taxpayers and grant recipients time and money by implementing innovative online solutions.</w:t>
      </w:r>
    </w:p>
    <w:p w:rsidR="00420E06" w:rsidRDefault="00420E06" w:rsidP="00BB45B7">
      <w:pPr>
        <w:pStyle w:val="BodyText"/>
      </w:pPr>
      <w:r>
        <w:t>Building Management and Works</w:t>
      </w:r>
    </w:p>
    <w:p w:rsidR="00420E06" w:rsidRDefault="00420E06" w:rsidP="00BB45B7">
      <w:pPr>
        <w:pStyle w:val="BodyText"/>
        <w:numPr>
          <w:ilvl w:val="0"/>
          <w:numId w:val="5"/>
        </w:numPr>
      </w:pPr>
      <w:r>
        <w:t>The on-time on-budget delivery of our Statewide infrastructure program.</w:t>
      </w:r>
    </w:p>
    <w:p w:rsidR="00420E06" w:rsidRDefault="00420E06" w:rsidP="00BB45B7">
      <w:pPr>
        <w:pStyle w:val="BodyText"/>
      </w:pPr>
      <w:r>
        <w:t>Economic Reform</w:t>
      </w:r>
    </w:p>
    <w:p w:rsidR="00420E06" w:rsidRDefault="00420E06" w:rsidP="00BB45B7">
      <w:pPr>
        <w:pStyle w:val="BodyText"/>
        <w:numPr>
          <w:ilvl w:val="0"/>
          <w:numId w:val="5"/>
        </w:numPr>
      </w:pPr>
      <w:r>
        <w:t>Advanced microeconomic and regulatory reform across government agencies.</w:t>
      </w:r>
    </w:p>
    <w:p w:rsidR="00420E06" w:rsidRDefault="00420E06" w:rsidP="00BB45B7">
      <w:pPr>
        <w:pStyle w:val="BodyText"/>
      </w:pPr>
      <w:r>
        <w:t>Government Procurement</w:t>
      </w:r>
    </w:p>
    <w:p w:rsidR="00420E06" w:rsidRDefault="00420E06" w:rsidP="00BB45B7">
      <w:pPr>
        <w:pStyle w:val="BodyText"/>
        <w:numPr>
          <w:ilvl w:val="0"/>
          <w:numId w:val="5"/>
        </w:numPr>
      </w:pPr>
      <w:r>
        <w:t>Transformed the delivery of procurement services across government.</w:t>
      </w:r>
    </w:p>
    <w:p w:rsidR="009349CD" w:rsidRPr="00420E06" w:rsidRDefault="00420E06" w:rsidP="00BB45B7">
      <w:pPr>
        <w:pStyle w:val="BodyText"/>
        <w:rPr>
          <w:rFonts w:cs="Times New Roman"/>
          <w:b/>
          <w:bCs/>
          <w:sz w:val="40"/>
          <w:szCs w:val="26"/>
          <w:lang w:eastAsia="en-US"/>
        </w:rPr>
      </w:pPr>
      <w:r>
        <w:br w:type="page"/>
      </w:r>
      <w:r w:rsidR="009349CD" w:rsidRPr="00420E06">
        <w:rPr>
          <w:rFonts w:cs="Times New Roman"/>
          <w:b/>
          <w:bCs/>
          <w:sz w:val="40"/>
          <w:szCs w:val="26"/>
          <w:lang w:eastAsia="en-US"/>
        </w:rPr>
        <w:lastRenderedPageBreak/>
        <w:t>Executive summary</w:t>
      </w:r>
    </w:p>
    <w:p w:rsidR="00C72FA1" w:rsidRPr="00C72FA1" w:rsidRDefault="00D32BC6" w:rsidP="00D32BC6">
      <w:pPr>
        <w:pStyle w:val="BodyText"/>
        <w:rPr>
          <w:b/>
        </w:rPr>
      </w:pPr>
      <w:r w:rsidRPr="00D32BC6">
        <w:rPr>
          <w:b/>
        </w:rPr>
        <w:t>The Department of Finance shape</w:t>
      </w:r>
      <w:r>
        <w:rPr>
          <w:b/>
        </w:rPr>
        <w:t xml:space="preserve">s and leads the development of </w:t>
      </w:r>
      <w:r w:rsidR="00454D74">
        <w:rPr>
          <w:b/>
        </w:rPr>
        <w:br/>
      </w:r>
      <w:r w:rsidRPr="00D32BC6">
        <w:rPr>
          <w:b/>
        </w:rPr>
        <w:t>whole-of-government advice to facilitate the efficient operation of government, enable informed decision-making, and realise value-for-money outcomes for the Western Australian community</w:t>
      </w:r>
      <w:r w:rsidR="00C72FA1" w:rsidRPr="00C72FA1">
        <w:rPr>
          <w:b/>
        </w:rPr>
        <w:t>.</w:t>
      </w:r>
    </w:p>
    <w:p w:rsidR="00C72FA1" w:rsidRDefault="00454D74" w:rsidP="00283A64">
      <w:pPr>
        <w:pStyle w:val="BodyText"/>
      </w:pPr>
      <w:r w:rsidRPr="00454D74">
        <w:t>Over the last year, the Department has successfully</w:t>
      </w:r>
      <w:r w:rsidR="00C72FA1">
        <w:t>:</w:t>
      </w:r>
    </w:p>
    <w:p w:rsidR="00454D74" w:rsidRDefault="00454D74" w:rsidP="004D6EAC">
      <w:pPr>
        <w:pStyle w:val="BodyText"/>
        <w:numPr>
          <w:ilvl w:val="0"/>
          <w:numId w:val="2"/>
        </w:numPr>
        <w:ind w:left="714" w:hanging="357"/>
      </w:pPr>
      <w:r>
        <w:t>Progressed Phase Two of the Electricity Market Review, including the detailed design of proposed reforms and implemented changes to the Wholesale Electricity Market operating in the South West of the State.</w:t>
      </w:r>
    </w:p>
    <w:p w:rsidR="00454D74" w:rsidRDefault="00454D74" w:rsidP="004D6EAC">
      <w:pPr>
        <w:pStyle w:val="BodyText"/>
        <w:numPr>
          <w:ilvl w:val="0"/>
          <w:numId w:val="2"/>
        </w:numPr>
        <w:ind w:left="714" w:hanging="357"/>
      </w:pPr>
      <w:r>
        <w:t>Transformed the delivery of procurement services across government, delivering significant savings and driving enhanced value for government.</w:t>
      </w:r>
    </w:p>
    <w:p w:rsidR="00454D74" w:rsidRDefault="00454D74" w:rsidP="004D6EAC">
      <w:pPr>
        <w:pStyle w:val="BodyText"/>
        <w:numPr>
          <w:ilvl w:val="0"/>
          <w:numId w:val="2"/>
        </w:numPr>
        <w:ind w:left="714" w:hanging="357"/>
      </w:pPr>
      <w:r>
        <w:t>Advanced microeconomic and regulatory reform across government agencies, via implementation of the Government’s Reinvigorated Regulatory Reform Plan. The policy seeks to cut red tape, reduce barriers to investment, improve productivity and modernise the economy.</w:t>
      </w:r>
    </w:p>
    <w:p w:rsidR="00C72FA1" w:rsidRDefault="00454D74" w:rsidP="004D6EAC">
      <w:pPr>
        <w:pStyle w:val="BodyText"/>
        <w:numPr>
          <w:ilvl w:val="0"/>
          <w:numId w:val="2"/>
        </w:numPr>
        <w:ind w:left="714" w:hanging="357"/>
      </w:pPr>
      <w:r>
        <w:t>Delivered State grants and subsidies worth over $210 million and collected State taxes and duties of over $7.3 billion</w:t>
      </w:r>
      <w:r w:rsidR="00C72FA1">
        <w:t>.</w:t>
      </w:r>
    </w:p>
    <w:p w:rsidR="002B2770" w:rsidRDefault="002B2770" w:rsidP="004D6EAC">
      <w:pPr>
        <w:pStyle w:val="BodyText"/>
        <w:numPr>
          <w:ilvl w:val="0"/>
          <w:numId w:val="2"/>
        </w:numPr>
        <w:ind w:left="714" w:hanging="357"/>
      </w:pPr>
      <w:r>
        <w:t>Delivered the Government's non-residential capital works program on time and on budget, including four new primary schools, completed in time for the commencement of the 2016 school year.</w:t>
      </w:r>
    </w:p>
    <w:p w:rsidR="002B2770" w:rsidRDefault="002B2770" w:rsidP="004D6EAC">
      <w:pPr>
        <w:pStyle w:val="BodyText"/>
        <w:numPr>
          <w:ilvl w:val="0"/>
          <w:numId w:val="2"/>
        </w:numPr>
        <w:ind w:left="714" w:hanging="357"/>
      </w:pPr>
      <w:r>
        <w:t>Assisted around 120 State Government entities in the planning, procurement and management of approximately 580,000 square metres of office accommodation.</w:t>
      </w:r>
    </w:p>
    <w:p w:rsidR="002B2770" w:rsidRDefault="002B2770" w:rsidP="004D6EAC">
      <w:pPr>
        <w:pStyle w:val="BodyText"/>
        <w:numPr>
          <w:ilvl w:val="0"/>
          <w:numId w:val="2"/>
        </w:numPr>
        <w:ind w:left="714" w:hanging="357"/>
      </w:pPr>
      <w:r>
        <w:t>Managed and provided strategic oversight of the Government’s Common Use Arrangement framework, with an estimated annual procurement turnover of approximately $1.2 billion across government.</w:t>
      </w:r>
    </w:p>
    <w:p w:rsidR="002B2770" w:rsidRDefault="002B2770" w:rsidP="004D6EAC">
      <w:pPr>
        <w:pStyle w:val="BodyText"/>
        <w:numPr>
          <w:ilvl w:val="0"/>
          <w:numId w:val="2"/>
        </w:numPr>
        <w:ind w:left="714" w:hanging="357"/>
      </w:pPr>
      <w:r>
        <w:t xml:space="preserve">Led the identification of $85 million in savings across the agency over four years. </w:t>
      </w:r>
    </w:p>
    <w:p w:rsidR="002B2770" w:rsidRDefault="002B2770" w:rsidP="004D6EAC">
      <w:pPr>
        <w:pStyle w:val="BodyText"/>
        <w:numPr>
          <w:ilvl w:val="0"/>
          <w:numId w:val="2"/>
        </w:numPr>
        <w:ind w:left="714" w:hanging="357"/>
      </w:pPr>
      <w:r>
        <w:t>Created the Office of the Government Chief Information Officer (OGCIO) as a sub-department of Finance on 1 July 2015.</w:t>
      </w:r>
    </w:p>
    <w:p w:rsidR="00C72FA1" w:rsidRDefault="002B2770" w:rsidP="00283A64">
      <w:pPr>
        <w:pStyle w:val="BodyText"/>
      </w:pPr>
      <w:r w:rsidRPr="002B2770">
        <w:t xml:space="preserve">The </w:t>
      </w:r>
      <w:r w:rsidRPr="002B2770">
        <w:rPr>
          <w:b/>
        </w:rPr>
        <w:t>Public Utilities Office</w:t>
      </w:r>
      <w:r w:rsidRPr="002B2770">
        <w:t xml:space="preserve"> continues to lead the review of the electricity market in the South West Interconnected System. Substantial progress was made in implementing the agenda of Phase Two of the Electricity Market Review, with the Minister for Energy announcing reforms in April 2016 to address the oversupply of power and demand side management services in the Wholesale Electricity Market. It is expected these reforms will reduce the cost of supplying electricity by up to $130 million each year. Meanwhile, work continues to progress on other work stream initiatives including the regulation of electricity networks, development of competition in the electricity market and changes to institutional arrangements governing the electricity sector. Decisions with respect to what reforms will progress from detailed design to implementation are expected to occur progressively into 2016-17</w:t>
      </w:r>
      <w:r w:rsidR="00C72FA1">
        <w:t>.</w:t>
      </w:r>
    </w:p>
    <w:p w:rsidR="002B2770" w:rsidRPr="002B2770" w:rsidRDefault="002B2770" w:rsidP="00283A64">
      <w:pPr>
        <w:pStyle w:val="Heading2"/>
        <w:spacing w:before="141" w:line="240" w:lineRule="auto"/>
        <w:rPr>
          <w:rFonts w:cs="Arial"/>
          <w:b w:val="0"/>
          <w:bCs w:val="0"/>
          <w:sz w:val="24"/>
          <w:szCs w:val="24"/>
          <w:lang w:eastAsia="en-AU"/>
        </w:rPr>
      </w:pPr>
      <w:r w:rsidRPr="002B2770">
        <w:rPr>
          <w:rFonts w:cs="Arial"/>
          <w:bCs w:val="0"/>
          <w:sz w:val="24"/>
          <w:szCs w:val="24"/>
          <w:lang w:eastAsia="en-AU"/>
        </w:rPr>
        <w:lastRenderedPageBreak/>
        <w:t>Government Procurement</w:t>
      </w:r>
      <w:r w:rsidRPr="002B2770">
        <w:rPr>
          <w:rFonts w:cs="Arial"/>
          <w:b w:val="0"/>
          <w:bCs w:val="0"/>
          <w:sz w:val="24"/>
          <w:szCs w:val="24"/>
          <w:lang w:eastAsia="en-AU"/>
        </w:rPr>
        <w:t xml:space="preserve"> has implemented significant public sector reform allowing for greater agency autonomy when using the whole-of-government procurement framework. The change will deliver greater value across government and offer improved services to agencies. From an internal perspective, the reforms will enhance system and data analysis capabilities and allow Government Procurement to be more focused on high value, complex and high risk procurement.</w:t>
      </w:r>
    </w:p>
    <w:p w:rsidR="002B2770" w:rsidRPr="002B2770" w:rsidRDefault="002B2770" w:rsidP="00283A64">
      <w:pPr>
        <w:pStyle w:val="Heading2"/>
        <w:spacing w:before="141" w:line="240" w:lineRule="auto"/>
        <w:rPr>
          <w:rFonts w:cs="Arial"/>
          <w:b w:val="0"/>
          <w:bCs w:val="0"/>
          <w:sz w:val="24"/>
          <w:szCs w:val="24"/>
          <w:lang w:eastAsia="en-AU"/>
        </w:rPr>
      </w:pPr>
      <w:r w:rsidRPr="002B2770">
        <w:rPr>
          <w:rFonts w:cs="Arial"/>
          <w:b w:val="0"/>
          <w:bCs w:val="0"/>
          <w:sz w:val="24"/>
          <w:szCs w:val="24"/>
          <w:lang w:eastAsia="en-AU"/>
        </w:rPr>
        <w:t>An example of the Department’s commitment to enhancing the efficient operation of government this year is Economic Reform</w:t>
      </w:r>
      <w:r>
        <w:rPr>
          <w:rFonts w:cs="Arial"/>
          <w:b w:val="0"/>
          <w:bCs w:val="0"/>
          <w:sz w:val="24"/>
          <w:szCs w:val="24"/>
          <w:lang w:eastAsia="en-AU"/>
        </w:rPr>
        <w:t xml:space="preserve">’s successful advancement of a </w:t>
      </w:r>
      <w:r w:rsidRPr="002B2770">
        <w:rPr>
          <w:rFonts w:cs="Arial"/>
          <w:b w:val="0"/>
          <w:bCs w:val="0"/>
          <w:sz w:val="24"/>
          <w:szCs w:val="24"/>
          <w:lang w:eastAsia="en-AU"/>
        </w:rPr>
        <w:t>whole-of-government regulatory reform agenda, gaining cross-government agreement to a new Plan to Reinvigorate Regulatory Reform. The Plan's purpose is to cut red tape, reduce barriers to investment and make working with government easier. This Plan, backed by the Regulatory Reform Policy Statement announced in September 2015, has continued to gain momentum following the successful release of the Government’s first Red Tape Reduction Report Card during Repeal Week.</w:t>
      </w:r>
    </w:p>
    <w:p w:rsidR="002B2770" w:rsidRPr="002B2770" w:rsidRDefault="002B2770" w:rsidP="00283A64">
      <w:pPr>
        <w:pStyle w:val="Heading2"/>
        <w:spacing w:before="141" w:line="240" w:lineRule="auto"/>
        <w:rPr>
          <w:rFonts w:cs="Arial"/>
          <w:b w:val="0"/>
          <w:bCs w:val="0"/>
          <w:sz w:val="24"/>
          <w:szCs w:val="24"/>
          <w:lang w:eastAsia="en-AU"/>
        </w:rPr>
      </w:pPr>
      <w:r w:rsidRPr="002B2770">
        <w:rPr>
          <w:rFonts w:cs="Arial"/>
          <w:b w:val="0"/>
          <w:bCs w:val="0"/>
          <w:sz w:val="24"/>
          <w:szCs w:val="24"/>
          <w:lang w:eastAsia="en-AU"/>
        </w:rPr>
        <w:t xml:space="preserve">Government agencies can lose sight of their responsibility to provide and constantly review customer service standards, whilst minimising the regulatory burden placed on the community. </w:t>
      </w:r>
      <w:r w:rsidRPr="003545D6">
        <w:rPr>
          <w:rFonts w:cs="Arial"/>
          <w:bCs w:val="0"/>
          <w:sz w:val="24"/>
          <w:szCs w:val="24"/>
          <w:lang w:eastAsia="en-AU"/>
        </w:rPr>
        <w:t>State Revenue</w:t>
      </w:r>
      <w:r w:rsidRPr="002B2770">
        <w:rPr>
          <w:rFonts w:cs="Arial"/>
          <w:b w:val="0"/>
          <w:bCs w:val="0"/>
          <w:sz w:val="24"/>
          <w:szCs w:val="24"/>
          <w:lang w:eastAsia="en-AU"/>
        </w:rPr>
        <w:t xml:space="preserve"> places considerable emphasis on streamlining the customer experience to assist customers pay tax and apply for grants. Over the last year, customer education initiatives have been identified and implemented both in the classroom and virtually via Finance’s YouTube channel, to enhance the reach of State Revenue's programs. Analysis is then undertaken to determine the effectiveness of programs, creating a positive virtuous cycle to continuously improve training packages.</w:t>
      </w:r>
    </w:p>
    <w:p w:rsidR="002B2770" w:rsidRPr="002B2770" w:rsidRDefault="002B2770" w:rsidP="00283A64">
      <w:pPr>
        <w:pStyle w:val="Heading2"/>
        <w:spacing w:before="141" w:line="240" w:lineRule="auto"/>
        <w:rPr>
          <w:rFonts w:cs="Arial"/>
          <w:b w:val="0"/>
          <w:bCs w:val="0"/>
          <w:sz w:val="24"/>
          <w:szCs w:val="24"/>
          <w:lang w:eastAsia="en-AU"/>
        </w:rPr>
      </w:pPr>
      <w:r w:rsidRPr="002B2770">
        <w:rPr>
          <w:rFonts w:cs="Arial"/>
          <w:b w:val="0"/>
          <w:bCs w:val="0"/>
          <w:sz w:val="24"/>
          <w:szCs w:val="24"/>
          <w:lang w:eastAsia="en-AU"/>
        </w:rPr>
        <w:t xml:space="preserve">In 2015-16, </w:t>
      </w:r>
      <w:r w:rsidRPr="00F254A4">
        <w:rPr>
          <w:rFonts w:cs="Arial"/>
          <w:bCs w:val="0"/>
          <w:sz w:val="24"/>
          <w:szCs w:val="24"/>
          <w:lang w:eastAsia="en-AU"/>
        </w:rPr>
        <w:t>Building Management and Works</w:t>
      </w:r>
      <w:r w:rsidRPr="002B2770">
        <w:rPr>
          <w:rFonts w:cs="Arial"/>
          <w:b w:val="0"/>
          <w:bCs w:val="0"/>
          <w:sz w:val="24"/>
          <w:szCs w:val="24"/>
          <w:lang w:eastAsia="en-AU"/>
        </w:rPr>
        <w:t xml:space="preserve"> has overseen a works program worth more than $1 billion, comprising new building design and construction, building repairs, maintenance and refurbishment and the leasing of government office accommodation. Construction projects are delivered in partnership with State Government agencies, and include works for the Departments of Education, Training and Workforce Development, Corrective Services, Health and WA Police.</w:t>
      </w:r>
    </w:p>
    <w:p w:rsidR="002B2770" w:rsidRPr="002B2770" w:rsidRDefault="002B2770" w:rsidP="00283A64">
      <w:pPr>
        <w:pStyle w:val="Heading2"/>
        <w:spacing w:before="141" w:line="240" w:lineRule="auto"/>
        <w:rPr>
          <w:rFonts w:cs="Arial"/>
          <w:b w:val="0"/>
          <w:bCs w:val="0"/>
          <w:sz w:val="24"/>
          <w:szCs w:val="24"/>
          <w:lang w:eastAsia="en-AU"/>
        </w:rPr>
      </w:pPr>
      <w:r w:rsidRPr="002B2770">
        <w:rPr>
          <w:rFonts w:cs="Arial"/>
          <w:b w:val="0"/>
          <w:bCs w:val="0"/>
          <w:sz w:val="24"/>
          <w:szCs w:val="24"/>
          <w:lang w:eastAsia="en-AU"/>
        </w:rPr>
        <w:t xml:space="preserve">Significant projects this year have included oversight and project management of the construction and fitout of government office accommodation at Cathedral Square; the continued oversight of the former Sunset Hospital site in Dalkeith into a heritage precinct for the arts and community; and the commencement of works to restore the façade and podium of heritage listed Dumas House. </w:t>
      </w:r>
    </w:p>
    <w:p w:rsidR="002B2770" w:rsidRPr="002B2770" w:rsidRDefault="002B2770" w:rsidP="00283A64">
      <w:pPr>
        <w:pStyle w:val="Heading2"/>
        <w:spacing w:before="141" w:line="240" w:lineRule="auto"/>
        <w:rPr>
          <w:rFonts w:cs="Arial"/>
          <w:b w:val="0"/>
          <w:bCs w:val="0"/>
          <w:sz w:val="24"/>
          <w:szCs w:val="24"/>
          <w:lang w:eastAsia="en-AU"/>
        </w:rPr>
      </w:pPr>
      <w:r w:rsidRPr="002B2770">
        <w:rPr>
          <w:rFonts w:cs="Arial"/>
          <w:b w:val="0"/>
          <w:bCs w:val="0"/>
          <w:sz w:val="24"/>
          <w:szCs w:val="24"/>
          <w:lang w:eastAsia="en-AU"/>
        </w:rPr>
        <w:t>A key focus in strategically planning for the delivery of value-for-money government office accommodation has involved avoiding increased lease costs through better cost control. This included consolidating leased accommodation through a reduction in the number of buildings, increasing workspace density (targeting 13 square metres per workpoint for new fitouts and major refurbishment works), and where cost-effective, progressing the decentralisation of government offices from the Perth central business district.</w:t>
      </w:r>
    </w:p>
    <w:p w:rsidR="002B2770" w:rsidRPr="002B2770" w:rsidRDefault="002B2770" w:rsidP="00283A64">
      <w:pPr>
        <w:pStyle w:val="Heading2"/>
        <w:spacing w:before="141" w:line="240" w:lineRule="auto"/>
        <w:rPr>
          <w:rFonts w:cs="Arial"/>
          <w:b w:val="0"/>
          <w:bCs w:val="0"/>
          <w:sz w:val="24"/>
          <w:szCs w:val="24"/>
          <w:lang w:eastAsia="en-AU"/>
        </w:rPr>
      </w:pPr>
      <w:r w:rsidRPr="002B2770">
        <w:rPr>
          <w:rFonts w:cs="Arial"/>
          <w:b w:val="0"/>
          <w:bCs w:val="0"/>
          <w:sz w:val="24"/>
          <w:szCs w:val="24"/>
          <w:lang w:eastAsia="en-AU"/>
        </w:rPr>
        <w:lastRenderedPageBreak/>
        <w:t>Over the year, Building Management and Works has continued to reform its delivery of maintenance services State-wide, with the appointment of a single service provider to deliver maintenance services for seven government agencies within the Perth metropolitan area and Peel region, effective 1 July 2016. The new framework will deliver improved outcomes for government by placing an increased focus on quality and contractor performance, along with collecting information on building assets to enable improved decision-making.</w:t>
      </w:r>
    </w:p>
    <w:p w:rsidR="002B2770" w:rsidRPr="002B2770" w:rsidRDefault="002B2770" w:rsidP="00283A64">
      <w:pPr>
        <w:pStyle w:val="Heading2"/>
        <w:spacing w:before="141" w:line="240" w:lineRule="auto"/>
        <w:rPr>
          <w:rFonts w:cs="Arial"/>
          <w:b w:val="0"/>
          <w:bCs w:val="0"/>
          <w:sz w:val="24"/>
          <w:szCs w:val="24"/>
          <w:lang w:eastAsia="en-AU"/>
        </w:rPr>
      </w:pPr>
      <w:r w:rsidRPr="002B2770">
        <w:rPr>
          <w:rFonts w:cs="Arial"/>
          <w:b w:val="0"/>
          <w:bCs w:val="0"/>
          <w:sz w:val="24"/>
          <w:szCs w:val="24"/>
          <w:lang w:eastAsia="en-AU"/>
        </w:rPr>
        <w:t>Fremantle Prison was successfully transferred to the Minister for Heritage on 1 July 2015. This move to the State Heritage Office now sees all the World Heritage-listed sites in Western Australia in a single ministerial portfolio.</w:t>
      </w:r>
    </w:p>
    <w:p w:rsidR="002B2770" w:rsidRPr="002B2770" w:rsidRDefault="002B2770" w:rsidP="00283A64">
      <w:pPr>
        <w:pStyle w:val="Heading2"/>
        <w:spacing w:before="141" w:line="240" w:lineRule="auto"/>
        <w:rPr>
          <w:rFonts w:cs="Arial"/>
          <w:b w:val="0"/>
          <w:bCs w:val="0"/>
          <w:sz w:val="24"/>
          <w:szCs w:val="24"/>
          <w:lang w:eastAsia="en-AU"/>
        </w:rPr>
      </w:pPr>
      <w:r w:rsidRPr="002B2770">
        <w:rPr>
          <w:rFonts w:cs="Arial"/>
          <w:b w:val="0"/>
          <w:bCs w:val="0"/>
          <w:sz w:val="24"/>
          <w:szCs w:val="24"/>
          <w:lang w:eastAsia="en-AU"/>
        </w:rPr>
        <w:t xml:space="preserve">On 1 July 2015, the </w:t>
      </w:r>
      <w:r w:rsidRPr="003545D6">
        <w:rPr>
          <w:rFonts w:cs="Arial"/>
          <w:bCs w:val="0"/>
          <w:sz w:val="24"/>
          <w:szCs w:val="24"/>
          <w:lang w:eastAsia="en-AU"/>
        </w:rPr>
        <w:t>Office of the Government Chief Information Officer</w:t>
      </w:r>
      <w:r w:rsidRPr="002B2770">
        <w:rPr>
          <w:rFonts w:cs="Arial"/>
          <w:b w:val="0"/>
          <w:bCs w:val="0"/>
          <w:sz w:val="24"/>
          <w:szCs w:val="24"/>
          <w:lang w:eastAsia="en-AU"/>
        </w:rPr>
        <w:t xml:space="preserve"> (OGCIO) was created as a sub-department of Finance. This was a result of the Department’s insight in highlighting the opportunity to realise savings and enhance service delivery through taking a coordinated and collaborative approach to the use of information and communication technology (ICT) across the public sector.</w:t>
      </w:r>
    </w:p>
    <w:p w:rsidR="00911400" w:rsidRPr="00911400" w:rsidRDefault="002B2770" w:rsidP="00283A64">
      <w:pPr>
        <w:pStyle w:val="Heading2"/>
        <w:spacing w:before="141" w:line="240" w:lineRule="auto"/>
      </w:pPr>
      <w:r w:rsidRPr="002B2770">
        <w:rPr>
          <w:rFonts w:cs="Arial"/>
          <w:b w:val="0"/>
          <w:bCs w:val="0"/>
          <w:sz w:val="24"/>
          <w:szCs w:val="24"/>
          <w:lang w:eastAsia="en-AU"/>
        </w:rPr>
        <w:t xml:space="preserve">Finance’s </w:t>
      </w:r>
      <w:r w:rsidRPr="003545D6">
        <w:rPr>
          <w:rFonts w:cs="Arial"/>
          <w:bCs w:val="0"/>
          <w:sz w:val="24"/>
          <w:szCs w:val="24"/>
          <w:lang w:eastAsia="en-AU"/>
        </w:rPr>
        <w:t>Government Procurement and Corporate Services</w:t>
      </w:r>
      <w:r w:rsidRPr="002B2770">
        <w:rPr>
          <w:rFonts w:cs="Arial"/>
          <w:b w:val="0"/>
          <w:bCs w:val="0"/>
          <w:sz w:val="24"/>
          <w:szCs w:val="24"/>
          <w:lang w:eastAsia="en-AU"/>
        </w:rPr>
        <w:t xml:space="preserve"> business units continue to offer advice and support to the OGCIO as the significant GovNext-ICT program progresses through the tendering process, from both a procurement and a technical specification perspective. This is reflected in the strong representation of Finance on the GovNext-ICT Program Board, and the role Corporate Services will play overseeing the financial modeling and technical appraisal of consortium submissions tendered for the program.</w:t>
      </w:r>
      <w:r w:rsidR="00911400">
        <w:br w:type="page"/>
      </w:r>
      <w:r w:rsidR="00911400" w:rsidRPr="00911400">
        <w:lastRenderedPageBreak/>
        <w:t>Organisational structure</w:t>
      </w:r>
    </w:p>
    <w:p w:rsidR="00C41A95" w:rsidRPr="004A39B4" w:rsidRDefault="003545D6" w:rsidP="003545D6">
      <w:pPr>
        <w:pStyle w:val="BodyText"/>
        <w:rPr>
          <w:b/>
        </w:rPr>
      </w:pPr>
      <w:r w:rsidRPr="003545D6">
        <w:rPr>
          <w:b/>
        </w:rPr>
        <w:t>The Department of Finance seeks to empower the public sector with its trusted advice and services, facilitating whole-of-government performance</w:t>
      </w:r>
      <w:r w:rsidR="00C41A95" w:rsidRPr="004A39B4">
        <w:rPr>
          <w:b/>
        </w:rPr>
        <w:t>.</w:t>
      </w:r>
    </w:p>
    <w:p w:rsidR="003545D6" w:rsidRPr="003545D6" w:rsidRDefault="003545D6" w:rsidP="009E7D46">
      <w:pPr>
        <w:spacing w:before="141" w:after="0" w:line="240" w:lineRule="auto"/>
        <w:rPr>
          <w:rFonts w:ascii="Arial" w:eastAsia="Times New Roman" w:hAnsi="Arial" w:cs="Arial"/>
          <w:sz w:val="24"/>
          <w:szCs w:val="24"/>
          <w:lang w:eastAsia="en-AU"/>
        </w:rPr>
      </w:pPr>
      <w:r w:rsidRPr="003545D6">
        <w:rPr>
          <w:rFonts w:ascii="Arial" w:eastAsia="Times New Roman" w:hAnsi="Arial" w:cs="Arial"/>
          <w:sz w:val="24"/>
          <w:szCs w:val="24"/>
          <w:lang w:eastAsia="en-AU"/>
        </w:rPr>
        <w:t>The Department of Finance reports to the Minister for Finance and the Minister for Energy. Throughout the last year, the Hon Bill Marmion MLA and the Hon Dr Mike Nahan MLA have been the respective Ministers for the Finance and Energy portfolios.</w:t>
      </w:r>
    </w:p>
    <w:p w:rsidR="003545D6" w:rsidRDefault="003545D6" w:rsidP="009E7D46">
      <w:pPr>
        <w:pStyle w:val="BodyText"/>
      </w:pPr>
      <w:r w:rsidRPr="003545D6">
        <w:t xml:space="preserve">The Department of Finance was established as a department on 1 July 2011, under section 35 of the </w:t>
      </w:r>
      <w:r w:rsidRPr="0009390A">
        <w:rPr>
          <w:i/>
        </w:rPr>
        <w:t>Public Sector Management Act 1994</w:t>
      </w:r>
      <w:r w:rsidRPr="003545D6">
        <w:t>. Its role is to:</w:t>
      </w:r>
    </w:p>
    <w:p w:rsidR="003545D6" w:rsidRDefault="003545D6" w:rsidP="009E7D46">
      <w:pPr>
        <w:pStyle w:val="BodyText"/>
        <w:numPr>
          <w:ilvl w:val="0"/>
          <w:numId w:val="3"/>
        </w:numPr>
      </w:pPr>
      <w:r>
        <w:t>Lead the provision of strategic advice and policy development for government on economic reform and the energy sector.</w:t>
      </w:r>
    </w:p>
    <w:p w:rsidR="003545D6" w:rsidRDefault="003545D6" w:rsidP="009E7D46">
      <w:pPr>
        <w:pStyle w:val="BodyText"/>
        <w:numPr>
          <w:ilvl w:val="0"/>
          <w:numId w:val="3"/>
        </w:numPr>
      </w:pPr>
      <w:r>
        <w:t>Provide leadership and strategic advice to the Government on initiatives to improve the operations and management of services in the public sector.</w:t>
      </w:r>
    </w:p>
    <w:p w:rsidR="003545D6" w:rsidRDefault="003545D6" w:rsidP="009E7D46">
      <w:pPr>
        <w:pStyle w:val="BodyText"/>
        <w:numPr>
          <w:ilvl w:val="0"/>
          <w:numId w:val="3"/>
        </w:numPr>
      </w:pPr>
      <w:r>
        <w:t>Continuously improve the provision of efficient and effective corporate, procurement and non-residential building services to government agencies.</w:t>
      </w:r>
    </w:p>
    <w:p w:rsidR="00C41A95" w:rsidRDefault="003545D6" w:rsidP="009E7D46">
      <w:pPr>
        <w:pStyle w:val="BodyText"/>
        <w:numPr>
          <w:ilvl w:val="0"/>
          <w:numId w:val="3"/>
        </w:numPr>
      </w:pPr>
      <w:r>
        <w:t>Manage the fair and efficient administration of revenue laws and the payment of grants and subsidies to the community</w:t>
      </w:r>
      <w:r w:rsidR="00C41A95">
        <w:t>.</w:t>
      </w:r>
    </w:p>
    <w:p w:rsidR="00C41A95" w:rsidRDefault="000D336D" w:rsidP="009E7D46">
      <w:pPr>
        <w:pStyle w:val="BodyText"/>
      </w:pPr>
      <w:r w:rsidRPr="000D336D">
        <w:t>The Department’s Strategic Directions 2015-18 guides employees in striving to achieve Finance’s vision. This provides a framework that challenges staff to continue to innovate to do things better, delivering more efficient outcomes for our stakeholders and the community. The vision also enables the Department’s business units to share a common focus to provide insightful, quality information and timely, reliable and innovative advice</w:t>
      </w:r>
      <w:r w:rsidR="00C41A95">
        <w:t>.</w:t>
      </w:r>
    </w:p>
    <w:p w:rsidR="00010FA0" w:rsidRDefault="00010FA0" w:rsidP="009E7D46">
      <w:pPr>
        <w:pStyle w:val="BodyText"/>
      </w:pPr>
      <w:r w:rsidRPr="00010FA0">
        <w:t>Our strategic priorities are</w:t>
      </w:r>
      <w:r w:rsidRPr="003545D6">
        <w:t>:</w:t>
      </w:r>
    </w:p>
    <w:p w:rsidR="00010FA0" w:rsidRDefault="00010FA0" w:rsidP="009E7D46">
      <w:pPr>
        <w:pStyle w:val="BodyText"/>
        <w:numPr>
          <w:ilvl w:val="0"/>
          <w:numId w:val="3"/>
        </w:numPr>
      </w:pPr>
      <w:r>
        <w:t>Providing quality services for our customers</w:t>
      </w:r>
    </w:p>
    <w:p w:rsidR="00010FA0" w:rsidRDefault="00010FA0" w:rsidP="009E7D46">
      <w:pPr>
        <w:pStyle w:val="BodyText"/>
        <w:numPr>
          <w:ilvl w:val="0"/>
          <w:numId w:val="3"/>
        </w:numPr>
      </w:pPr>
      <w:r>
        <w:t>Shaping and leading the development of influential advice</w:t>
      </w:r>
    </w:p>
    <w:p w:rsidR="00010FA0" w:rsidRDefault="00010FA0" w:rsidP="009E7D46">
      <w:pPr>
        <w:pStyle w:val="BodyText"/>
        <w:numPr>
          <w:ilvl w:val="0"/>
          <w:numId w:val="3"/>
        </w:numPr>
      </w:pPr>
      <w:r>
        <w:t>Building excellent relationships</w:t>
      </w:r>
    </w:p>
    <w:p w:rsidR="00010FA0" w:rsidRDefault="00010FA0" w:rsidP="009E7D46">
      <w:pPr>
        <w:pStyle w:val="BodyText"/>
        <w:numPr>
          <w:ilvl w:val="0"/>
          <w:numId w:val="3"/>
        </w:numPr>
      </w:pPr>
      <w:r>
        <w:t>Ensuring the efficiency and effectiveness in our systems and processes</w:t>
      </w:r>
    </w:p>
    <w:p w:rsidR="00010FA0" w:rsidRDefault="00010FA0" w:rsidP="009E7D46">
      <w:pPr>
        <w:pStyle w:val="BodyText"/>
        <w:numPr>
          <w:ilvl w:val="0"/>
          <w:numId w:val="3"/>
        </w:numPr>
      </w:pPr>
      <w:r>
        <w:t>Investing in our people and our workplace.</w:t>
      </w:r>
    </w:p>
    <w:p w:rsidR="00010FA0" w:rsidRDefault="00010FA0" w:rsidP="009E7D46">
      <w:pPr>
        <w:pStyle w:val="BodyText"/>
      </w:pPr>
      <w:r>
        <w:t>The values guiding Finance employees in achieving our strategic priorities are Commitment, Listening and Caring, Leadership, Accountability and People Matter.</w:t>
      </w:r>
    </w:p>
    <w:p w:rsidR="00010FA0" w:rsidRDefault="00010FA0" w:rsidP="009E7D46">
      <w:pPr>
        <w:pStyle w:val="BodyText"/>
      </w:pPr>
      <w:r>
        <w:t>The Department’s Strategic Directions 2015-18 challenges staff to examine what the Department does, why it is done and where new value can be added by building and consolidating on its core strengths, its people, businesses, relationships, systems and processes.</w:t>
      </w:r>
    </w:p>
    <w:p w:rsidR="00911400" w:rsidRPr="00C41A95" w:rsidRDefault="00010FA0" w:rsidP="009E7D46">
      <w:pPr>
        <w:pStyle w:val="BodyText"/>
        <w:rPr>
          <w:rStyle w:val="Heading2Char"/>
        </w:rPr>
      </w:pPr>
      <w:r>
        <w:rPr>
          <w:rStyle w:val="Heading2Char"/>
        </w:rPr>
        <w:br w:type="page"/>
      </w:r>
      <w:r w:rsidR="00911400" w:rsidRPr="00C41A95">
        <w:rPr>
          <w:rStyle w:val="Heading2Char"/>
        </w:rPr>
        <w:lastRenderedPageBreak/>
        <w:t>Performance management framework</w:t>
      </w:r>
    </w:p>
    <w:p w:rsidR="00010FA0" w:rsidRDefault="00010FA0" w:rsidP="00010FA0">
      <w:pPr>
        <w:pStyle w:val="Heading3"/>
      </w:pPr>
      <w:r w:rsidRPr="00010FA0">
        <w:t>Relationship to government goals</w:t>
      </w:r>
    </w:p>
    <w:p w:rsidR="00010FA0" w:rsidRPr="00010FA0" w:rsidRDefault="00010FA0" w:rsidP="00390ACB">
      <w:pPr>
        <w:pStyle w:val="Heading3"/>
        <w:spacing w:before="141" w:after="0" w:line="240" w:lineRule="auto"/>
        <w:rPr>
          <w:rFonts w:cs="Arial"/>
          <w:b w:val="0"/>
          <w:bCs w:val="0"/>
          <w:sz w:val="24"/>
          <w:szCs w:val="24"/>
          <w:lang w:eastAsia="en-AU"/>
        </w:rPr>
      </w:pPr>
      <w:r w:rsidRPr="00010FA0">
        <w:rPr>
          <w:rFonts w:cs="Arial"/>
          <w:b w:val="0"/>
          <w:bCs w:val="0"/>
          <w:sz w:val="24"/>
          <w:szCs w:val="24"/>
          <w:lang w:eastAsia="en-AU"/>
        </w:rPr>
        <w:t>Broad government goals are supported at agency level by specific outcomes. Agencies deliver services to achieve these outcomes. The following table illustrates the relationship between the agency’s services and desired outcomes, and the Government goal it contributes to.</w:t>
      </w:r>
    </w:p>
    <w:p w:rsidR="00C41A95" w:rsidRDefault="00C41A95" w:rsidP="00010FA0">
      <w:pPr>
        <w:pStyle w:val="Heading3"/>
      </w:pPr>
      <w:r>
        <w:t>Shared responsibilities with other agencies</w:t>
      </w:r>
    </w:p>
    <w:p w:rsidR="00C41A95" w:rsidRPr="00390ACB" w:rsidRDefault="00C41A95" w:rsidP="00390ACB">
      <w:pPr>
        <w:pStyle w:val="Heading3"/>
        <w:spacing w:before="141" w:after="0" w:line="240" w:lineRule="auto"/>
        <w:rPr>
          <w:rFonts w:cs="Arial"/>
          <w:b w:val="0"/>
          <w:bCs w:val="0"/>
          <w:sz w:val="24"/>
          <w:szCs w:val="24"/>
          <w:lang w:eastAsia="en-AU"/>
        </w:rPr>
      </w:pPr>
      <w:r w:rsidRPr="00390ACB">
        <w:rPr>
          <w:rFonts w:cs="Arial"/>
          <w:b w:val="0"/>
          <w:bCs w:val="0"/>
          <w:sz w:val="24"/>
          <w:szCs w:val="24"/>
          <w:lang w:eastAsia="en-AU"/>
        </w:rPr>
        <w:t>Integral to the success of both the Department and the Government is the ability to partner with others.</w:t>
      </w:r>
    </w:p>
    <w:p w:rsidR="00C41A95" w:rsidRPr="00390ACB" w:rsidRDefault="00C41A95" w:rsidP="00390ACB">
      <w:pPr>
        <w:pStyle w:val="Heading3"/>
        <w:spacing w:before="141" w:after="0" w:line="240" w:lineRule="auto"/>
        <w:rPr>
          <w:rFonts w:cs="Arial"/>
          <w:b w:val="0"/>
          <w:bCs w:val="0"/>
          <w:sz w:val="24"/>
          <w:szCs w:val="24"/>
          <w:lang w:eastAsia="en-AU"/>
        </w:rPr>
      </w:pPr>
      <w:r w:rsidRPr="00390ACB">
        <w:rPr>
          <w:rFonts w:cs="Arial"/>
          <w:b w:val="0"/>
          <w:bCs w:val="0"/>
          <w:sz w:val="24"/>
          <w:szCs w:val="24"/>
          <w:lang w:eastAsia="en-AU"/>
        </w:rPr>
        <w:t>As a central agency, the Department works closely across the sector to facilitate the efficient operation of government, informed decision-making and value-for-money outcomes for Western Australians.</w:t>
      </w:r>
    </w:p>
    <w:p w:rsidR="005D0E43" w:rsidRDefault="00C41A95" w:rsidP="00880709">
      <w:pPr>
        <w:pStyle w:val="Heading3"/>
        <w:spacing w:before="141" w:after="0" w:line="240" w:lineRule="auto"/>
      </w:pPr>
      <w:r w:rsidRPr="00390ACB">
        <w:rPr>
          <w:rFonts w:cs="Arial"/>
          <w:b w:val="0"/>
          <w:bCs w:val="0"/>
          <w:sz w:val="24"/>
          <w:szCs w:val="24"/>
          <w:lang w:eastAsia="en-AU"/>
        </w:rPr>
        <w:t>This is achieved through providing leadership and strategic advice to government on initiatives to improve the operations and management of services across the public sector.</w:t>
      </w:r>
      <w:r w:rsidR="00880709">
        <w:t xml:space="preserve"> </w:t>
      </w:r>
    </w:p>
    <w:p w:rsidR="00780B04" w:rsidRPr="00617CB0" w:rsidRDefault="00C41A95" w:rsidP="00E51945">
      <w:pPr>
        <w:pStyle w:val="BodyText"/>
        <w:spacing w:after="141"/>
        <w:rPr>
          <w:b/>
        </w:rPr>
      </w:pPr>
      <w:r w:rsidRPr="005D0E43">
        <w:br w:type="page"/>
      </w:r>
      <w:r w:rsidR="00780B04" w:rsidRPr="00617CB0">
        <w:rPr>
          <w:b/>
        </w:rPr>
        <w:lastRenderedPageBreak/>
        <w:fldChar w:fldCharType="begin"/>
      </w:r>
      <w:r w:rsidR="00780B04" w:rsidRPr="00617CB0">
        <w:rPr>
          <w:b/>
        </w:rPr>
        <w:instrText xml:space="preserve"> SEQ Table \* ARABIC </w:instrText>
      </w:r>
      <w:r w:rsidR="00780B04" w:rsidRPr="00617CB0">
        <w:rPr>
          <w:b/>
        </w:rPr>
        <w:fldChar w:fldCharType="separate"/>
      </w:r>
      <w:r w:rsidR="00D8778B">
        <w:rPr>
          <w:b/>
          <w:noProof/>
        </w:rPr>
        <w:t>1</w:t>
      </w:r>
      <w:r w:rsidR="00780B04" w:rsidRPr="00617CB0">
        <w:rPr>
          <w:b/>
        </w:rPr>
        <w:fldChar w:fldCharType="end"/>
      </w:r>
      <w:r w:rsidR="00780B04" w:rsidRPr="00617CB0">
        <w:rPr>
          <w:b/>
        </w:rPr>
        <w:t xml:space="preserve"> Performance management </w:t>
      </w:r>
      <w:r w:rsidR="00910F2E" w:rsidRPr="00617CB0">
        <w:rPr>
          <w:b/>
        </w:rPr>
        <w:t>framework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911400" w:rsidTr="005B0D51">
        <w:trPr>
          <w:trHeight w:val="416"/>
        </w:trPr>
        <w:tc>
          <w:tcPr>
            <w:tcW w:w="3080" w:type="dxa"/>
            <w:shd w:val="clear" w:color="auto" w:fill="auto"/>
          </w:tcPr>
          <w:p w:rsidR="00911400" w:rsidRPr="00911400" w:rsidRDefault="00911400" w:rsidP="00AB1398">
            <w:pPr>
              <w:pStyle w:val="Tableboldedtext"/>
            </w:pPr>
            <w:r w:rsidRPr="00911400">
              <w:t>Government goals</w:t>
            </w:r>
          </w:p>
        </w:tc>
        <w:tc>
          <w:tcPr>
            <w:tcW w:w="3081" w:type="dxa"/>
            <w:shd w:val="clear" w:color="auto" w:fill="auto"/>
          </w:tcPr>
          <w:p w:rsidR="00911400" w:rsidRPr="00911400" w:rsidRDefault="00911400" w:rsidP="00AB1398">
            <w:pPr>
              <w:pStyle w:val="Tableboldedtext"/>
            </w:pPr>
            <w:r w:rsidRPr="00911400">
              <w:t>Desired outcomes</w:t>
            </w:r>
          </w:p>
        </w:tc>
        <w:tc>
          <w:tcPr>
            <w:tcW w:w="3081" w:type="dxa"/>
            <w:shd w:val="clear" w:color="auto" w:fill="auto"/>
          </w:tcPr>
          <w:p w:rsidR="00911400" w:rsidRPr="00911400" w:rsidRDefault="00911400" w:rsidP="00AB1398">
            <w:pPr>
              <w:pStyle w:val="Tableboldedtext"/>
            </w:pPr>
            <w:r w:rsidRPr="00911400">
              <w:t>Services</w:t>
            </w:r>
          </w:p>
        </w:tc>
      </w:tr>
      <w:tr w:rsidR="00911400" w:rsidTr="00AB1398">
        <w:trPr>
          <w:trHeight w:val="279"/>
        </w:trPr>
        <w:tc>
          <w:tcPr>
            <w:tcW w:w="9242" w:type="dxa"/>
            <w:gridSpan w:val="3"/>
            <w:shd w:val="clear" w:color="auto" w:fill="auto"/>
          </w:tcPr>
          <w:p w:rsidR="00911400" w:rsidRPr="00621188" w:rsidRDefault="00911400" w:rsidP="00AB1398">
            <w:pPr>
              <w:pStyle w:val="Tableboldedtext"/>
            </w:pPr>
            <w:r w:rsidRPr="00621188">
              <w:t>Financial and economic responsibility</w:t>
            </w:r>
          </w:p>
        </w:tc>
      </w:tr>
      <w:tr w:rsidR="006B7D2A" w:rsidTr="005B0D51">
        <w:trPr>
          <w:trHeight w:val="981"/>
        </w:trPr>
        <w:tc>
          <w:tcPr>
            <w:tcW w:w="3080" w:type="dxa"/>
            <w:vMerge w:val="restart"/>
            <w:shd w:val="clear" w:color="auto" w:fill="auto"/>
          </w:tcPr>
          <w:p w:rsidR="006B7D2A" w:rsidRPr="001A015B" w:rsidRDefault="00E86B8F" w:rsidP="00AB1398">
            <w:pPr>
              <w:pStyle w:val="Tabletext"/>
            </w:pPr>
            <w:r w:rsidRPr="00E86B8F">
              <w:t>Responsibly managing the State’s finances through the efficient and effective delivery of services, encouraging economic activity and reducing regulatory burdens on the private sector.</w:t>
            </w:r>
          </w:p>
        </w:tc>
        <w:tc>
          <w:tcPr>
            <w:tcW w:w="3081" w:type="dxa"/>
            <w:shd w:val="clear" w:color="auto" w:fill="auto"/>
          </w:tcPr>
          <w:p w:rsidR="006B7D2A" w:rsidRDefault="006B7D2A" w:rsidP="00AB1398">
            <w:pPr>
              <w:pStyle w:val="Tabletext"/>
            </w:pPr>
            <w:r>
              <w:t>Due and payable revenue is</w:t>
            </w:r>
            <w:r w:rsidRPr="001A015B">
              <w:t xml:space="preserve"> </w:t>
            </w:r>
            <w:r>
              <w:t>collected and eligible grants,</w:t>
            </w:r>
            <w:r w:rsidRPr="001A015B">
              <w:t xml:space="preserve"> </w:t>
            </w:r>
            <w:r w:rsidR="005B0D51">
              <w:t>subsidies and rebates paid.</w:t>
            </w:r>
          </w:p>
        </w:tc>
        <w:tc>
          <w:tcPr>
            <w:tcW w:w="3081" w:type="dxa"/>
            <w:shd w:val="clear" w:color="auto" w:fill="auto"/>
          </w:tcPr>
          <w:p w:rsidR="006B7D2A" w:rsidRDefault="006B7D2A" w:rsidP="00AB1398">
            <w:pPr>
              <w:pStyle w:val="Tabletext"/>
            </w:pPr>
            <w:r>
              <w:t>Revenue assessment and</w:t>
            </w:r>
            <w:r w:rsidRPr="001A015B">
              <w:t xml:space="preserve"> </w:t>
            </w:r>
            <w:r>
              <w:t>collection, and grants and</w:t>
            </w:r>
            <w:r w:rsidRPr="001A015B">
              <w:t xml:space="preserve"> </w:t>
            </w:r>
            <w:r w:rsidR="005B0D51">
              <w:t>subsidies administration.</w:t>
            </w:r>
          </w:p>
        </w:tc>
      </w:tr>
      <w:tr w:rsidR="006B7D2A" w:rsidTr="005B0D51">
        <w:trPr>
          <w:trHeight w:val="1606"/>
        </w:trPr>
        <w:tc>
          <w:tcPr>
            <w:tcW w:w="3080" w:type="dxa"/>
            <w:vMerge/>
            <w:shd w:val="clear" w:color="auto" w:fill="auto"/>
          </w:tcPr>
          <w:p w:rsidR="006B7D2A" w:rsidRPr="00621188" w:rsidRDefault="006B7D2A" w:rsidP="00AB1398">
            <w:pPr>
              <w:pStyle w:val="Tabletext"/>
            </w:pPr>
          </w:p>
        </w:tc>
        <w:tc>
          <w:tcPr>
            <w:tcW w:w="3081" w:type="dxa"/>
            <w:shd w:val="clear" w:color="auto" w:fill="auto"/>
          </w:tcPr>
          <w:p w:rsidR="006B7D2A" w:rsidRPr="001A015B" w:rsidRDefault="006B7D2A" w:rsidP="00AB1398">
            <w:pPr>
              <w:pStyle w:val="Tabletext"/>
            </w:pPr>
            <w:r w:rsidRPr="001A015B">
              <w:t xml:space="preserve">As sustainable, efficient, secure and affordable energy </w:t>
            </w:r>
          </w:p>
        </w:tc>
        <w:tc>
          <w:tcPr>
            <w:tcW w:w="3081" w:type="dxa"/>
            <w:shd w:val="clear" w:color="auto" w:fill="auto"/>
          </w:tcPr>
          <w:p w:rsidR="006B7D2A" w:rsidRPr="001A015B" w:rsidRDefault="006B7D2A" w:rsidP="00AB1398">
            <w:pPr>
              <w:pStyle w:val="Tabletext"/>
            </w:pPr>
            <w:r w:rsidRPr="001A015B">
              <w:t xml:space="preserve">Development and implementation of energy policy and economic reform; </w:t>
            </w:r>
            <w:r w:rsidR="00E86B8F" w:rsidRPr="001A015B">
              <w:t>a</w:t>
            </w:r>
            <w:r w:rsidRPr="001A015B">
              <w:t>ssessment of proposed policy changes and the impact on regulatory functions.</w:t>
            </w:r>
          </w:p>
        </w:tc>
      </w:tr>
      <w:tr w:rsidR="005D4853" w:rsidTr="0095195F">
        <w:trPr>
          <w:trHeight w:val="365"/>
        </w:trPr>
        <w:tc>
          <w:tcPr>
            <w:tcW w:w="9242" w:type="dxa"/>
            <w:gridSpan w:val="3"/>
            <w:shd w:val="clear" w:color="auto" w:fill="auto"/>
          </w:tcPr>
          <w:p w:rsidR="005D4853" w:rsidRPr="00621188" w:rsidRDefault="005D4853" w:rsidP="00AB1398">
            <w:pPr>
              <w:pStyle w:val="Tableboldedtext"/>
            </w:pPr>
            <w:r w:rsidRPr="00621188">
              <w:t>Results-based service delivery</w:t>
            </w:r>
          </w:p>
        </w:tc>
      </w:tr>
      <w:tr w:rsidR="001A015B" w:rsidTr="005B0D51">
        <w:trPr>
          <w:trHeight w:val="1691"/>
        </w:trPr>
        <w:tc>
          <w:tcPr>
            <w:tcW w:w="3080" w:type="dxa"/>
            <w:vMerge w:val="restart"/>
            <w:shd w:val="clear" w:color="auto" w:fill="auto"/>
          </w:tcPr>
          <w:p w:rsidR="001A015B" w:rsidRDefault="001A015B" w:rsidP="00AB1398">
            <w:pPr>
              <w:pStyle w:val="Tabletext"/>
            </w:pPr>
            <w:r w:rsidRPr="00E86B8F">
              <w:t>Greater focus on achieving results in key service delivery areas for the benefit of all Western Australians.</w:t>
            </w:r>
          </w:p>
        </w:tc>
        <w:tc>
          <w:tcPr>
            <w:tcW w:w="3081" w:type="dxa"/>
            <w:shd w:val="clear" w:color="auto" w:fill="auto"/>
          </w:tcPr>
          <w:p w:rsidR="001A015B" w:rsidRDefault="001A015B" w:rsidP="00AB1398">
            <w:pPr>
              <w:pStyle w:val="Tabletext"/>
            </w:pPr>
            <w:r>
              <w:t>Value-for-money from public</w:t>
            </w:r>
            <w:r w:rsidRPr="00F9334D">
              <w:rPr>
                <w:spacing w:val="23"/>
              </w:rPr>
              <w:t xml:space="preserve"> </w:t>
            </w:r>
            <w:r>
              <w:t>sector procurement.</w:t>
            </w:r>
          </w:p>
        </w:tc>
        <w:tc>
          <w:tcPr>
            <w:tcW w:w="3081" w:type="dxa"/>
            <w:shd w:val="clear" w:color="auto" w:fill="auto"/>
          </w:tcPr>
          <w:p w:rsidR="001A015B" w:rsidRDefault="001A015B" w:rsidP="00AB1398">
            <w:pPr>
              <w:pStyle w:val="Tabletext"/>
            </w:pPr>
            <w:r>
              <w:t>Development and management</w:t>
            </w:r>
            <w:r w:rsidRPr="00F9334D">
              <w:rPr>
                <w:spacing w:val="35"/>
              </w:rPr>
              <w:t xml:space="preserve"> </w:t>
            </w:r>
            <w:r>
              <w:t>of common use contract arrangements, State Fleet leasing and disposal, and providing</w:t>
            </w:r>
            <w:r w:rsidRPr="00F9334D">
              <w:rPr>
                <w:spacing w:val="25"/>
              </w:rPr>
              <w:t xml:space="preserve"> </w:t>
            </w:r>
            <w:r>
              <w:t>facilitation service for agency</w:t>
            </w:r>
            <w:r w:rsidRPr="00F9334D">
              <w:rPr>
                <w:spacing w:val="35"/>
              </w:rPr>
              <w:t xml:space="preserve"> </w:t>
            </w:r>
            <w:r>
              <w:t>specific</w:t>
            </w:r>
            <w:r w:rsidRPr="00F9334D">
              <w:rPr>
                <w:spacing w:val="-7"/>
              </w:rPr>
              <w:t xml:space="preserve"> </w:t>
            </w:r>
            <w:r>
              <w:t>contracts.</w:t>
            </w:r>
          </w:p>
        </w:tc>
      </w:tr>
      <w:tr w:rsidR="001A015B" w:rsidTr="005B0D51">
        <w:trPr>
          <w:trHeight w:val="978"/>
        </w:trPr>
        <w:tc>
          <w:tcPr>
            <w:tcW w:w="3080" w:type="dxa"/>
            <w:vMerge/>
            <w:shd w:val="clear" w:color="auto" w:fill="auto"/>
          </w:tcPr>
          <w:p w:rsidR="001A015B" w:rsidRDefault="001A015B" w:rsidP="00AB1398">
            <w:pPr>
              <w:spacing w:before="60" w:after="60" w:line="240" w:lineRule="auto"/>
            </w:pPr>
          </w:p>
        </w:tc>
        <w:tc>
          <w:tcPr>
            <w:tcW w:w="3081" w:type="dxa"/>
            <w:shd w:val="clear" w:color="auto" w:fill="auto"/>
          </w:tcPr>
          <w:p w:rsidR="001A015B" w:rsidRDefault="001A015B" w:rsidP="00AB1398">
            <w:pPr>
              <w:pStyle w:val="Tabletext"/>
            </w:pPr>
            <w:r>
              <w:t>Efficient and effective Corporate Services to the Department of Treasury.</w:t>
            </w:r>
          </w:p>
        </w:tc>
        <w:tc>
          <w:tcPr>
            <w:tcW w:w="3081" w:type="dxa"/>
            <w:shd w:val="clear" w:color="auto" w:fill="auto"/>
          </w:tcPr>
          <w:p w:rsidR="001A015B" w:rsidRDefault="001A015B" w:rsidP="00AB1398">
            <w:pPr>
              <w:pStyle w:val="Tabletext"/>
            </w:pPr>
            <w:r>
              <w:t>Corporate Services to the Department of Treasury.</w:t>
            </w:r>
          </w:p>
        </w:tc>
      </w:tr>
      <w:tr w:rsidR="005D4853" w:rsidTr="00AB1398">
        <w:trPr>
          <w:trHeight w:val="267"/>
        </w:trPr>
        <w:tc>
          <w:tcPr>
            <w:tcW w:w="9242" w:type="dxa"/>
            <w:gridSpan w:val="3"/>
            <w:shd w:val="clear" w:color="auto" w:fill="auto"/>
          </w:tcPr>
          <w:p w:rsidR="005D4853" w:rsidRPr="00621188" w:rsidRDefault="005D4853" w:rsidP="00AB1398">
            <w:pPr>
              <w:pStyle w:val="Tableboldedtext"/>
            </w:pPr>
            <w:r w:rsidRPr="00621188">
              <w:t>State building - major projects</w:t>
            </w:r>
          </w:p>
        </w:tc>
      </w:tr>
      <w:tr w:rsidR="005D4853" w:rsidTr="005B0D51">
        <w:trPr>
          <w:trHeight w:val="1465"/>
        </w:trPr>
        <w:tc>
          <w:tcPr>
            <w:tcW w:w="3080" w:type="dxa"/>
            <w:shd w:val="clear" w:color="auto" w:fill="auto"/>
          </w:tcPr>
          <w:p w:rsidR="005D4853" w:rsidRPr="005D4853" w:rsidRDefault="00E86B8F" w:rsidP="00AB1398">
            <w:pPr>
              <w:pStyle w:val="Tabletext"/>
            </w:pPr>
            <w:r w:rsidRPr="00E86B8F">
              <w:t>Building strategic infrastructure that will create jobs and underpin Western Australia’s long-term economic development.</w:t>
            </w:r>
          </w:p>
        </w:tc>
        <w:tc>
          <w:tcPr>
            <w:tcW w:w="3081" w:type="dxa"/>
            <w:shd w:val="clear" w:color="auto" w:fill="auto"/>
          </w:tcPr>
          <w:p w:rsidR="005D4853" w:rsidRPr="005D4853" w:rsidRDefault="005D4853" w:rsidP="00AB1398">
            <w:pPr>
              <w:pStyle w:val="Tabletext"/>
            </w:pPr>
            <w:r>
              <w:t>Value-for-money from</w:t>
            </w:r>
            <w:r w:rsidRPr="001A015B">
              <w:t xml:space="preserve"> </w:t>
            </w:r>
            <w:r>
              <w:t xml:space="preserve">the management of the </w:t>
            </w:r>
            <w:r w:rsidRPr="001A015B">
              <w:t>Government’s</w:t>
            </w:r>
            <w:r>
              <w:t xml:space="preserve"> non-residential</w:t>
            </w:r>
            <w:r w:rsidRPr="001A015B">
              <w:t xml:space="preserve"> </w:t>
            </w:r>
            <w:r>
              <w:t>buildings and public works.</w:t>
            </w:r>
          </w:p>
        </w:tc>
        <w:tc>
          <w:tcPr>
            <w:tcW w:w="3081" w:type="dxa"/>
            <w:shd w:val="clear" w:color="auto" w:fill="auto"/>
          </w:tcPr>
          <w:p w:rsidR="005D4853" w:rsidRPr="005D4853" w:rsidRDefault="005D4853" w:rsidP="00AB1398">
            <w:pPr>
              <w:pStyle w:val="Tabletext"/>
            </w:pPr>
            <w:r>
              <w:t>Leads the planning,</w:t>
            </w:r>
            <w:r w:rsidRPr="001A015B">
              <w:t xml:space="preserve"> </w:t>
            </w:r>
            <w:r>
              <w:t>delivery, management and maintenance of government</w:t>
            </w:r>
            <w:r w:rsidRPr="001A015B">
              <w:t xml:space="preserve"> </w:t>
            </w:r>
            <w:r>
              <w:t>buildings,</w:t>
            </w:r>
            <w:r w:rsidRPr="001A015B">
              <w:t xml:space="preserve"> </w:t>
            </w:r>
            <w:r>
              <w:t>projects and office</w:t>
            </w:r>
            <w:r w:rsidRPr="001A015B">
              <w:t xml:space="preserve"> </w:t>
            </w:r>
            <w:r>
              <w:t>accommodation.</w:t>
            </w:r>
          </w:p>
        </w:tc>
      </w:tr>
    </w:tbl>
    <w:p w:rsidR="00911400" w:rsidRPr="009349CD" w:rsidRDefault="00911400" w:rsidP="00911400"/>
    <w:p w:rsidR="00D64CCC" w:rsidRDefault="00121580" w:rsidP="00E86B8F">
      <w:pPr>
        <w:pStyle w:val="BodyText"/>
      </w:pPr>
      <w:r>
        <w:br w:type="page"/>
      </w:r>
    </w:p>
    <w:p w:rsidR="00344B3D" w:rsidRPr="00EC67A7" w:rsidRDefault="00344B3D" w:rsidP="00D64CCC">
      <w:pPr>
        <w:pStyle w:val="Heading2"/>
      </w:pPr>
      <w:r w:rsidRPr="00EC67A7">
        <w:t xml:space="preserve">AGENCY PERFORMANCE </w:t>
      </w:r>
    </w:p>
    <w:p w:rsidR="00E86B8F" w:rsidRPr="00EC67A7" w:rsidRDefault="003E1591" w:rsidP="00E86B8F">
      <w:pPr>
        <w:pStyle w:val="BodyText"/>
        <w:numPr>
          <w:ilvl w:val="0"/>
          <w:numId w:val="1"/>
        </w:numPr>
        <w:ind w:left="1134"/>
        <w:rPr>
          <w:sz w:val="36"/>
          <w:szCs w:val="36"/>
        </w:rPr>
      </w:pPr>
      <w:hyperlink w:anchor="bookmark1" w:history="1">
        <w:r w:rsidR="00E86B8F">
          <w:rPr>
            <w:spacing w:val="-1"/>
            <w:sz w:val="36"/>
            <w:szCs w:val="36"/>
          </w:rPr>
          <w:t>Delivering value</w:t>
        </w:r>
      </w:hyperlink>
    </w:p>
    <w:p w:rsidR="00E86B8F" w:rsidRPr="00EC67A7" w:rsidRDefault="003E1591" w:rsidP="00E86B8F">
      <w:pPr>
        <w:pStyle w:val="BodyText"/>
        <w:numPr>
          <w:ilvl w:val="0"/>
          <w:numId w:val="1"/>
        </w:numPr>
        <w:ind w:left="1134"/>
        <w:rPr>
          <w:sz w:val="36"/>
          <w:szCs w:val="36"/>
        </w:rPr>
      </w:pPr>
      <w:hyperlink w:anchor="bookmark2" w:history="1">
        <w:r w:rsidR="00E86B8F">
          <w:rPr>
            <w:spacing w:val="-1"/>
            <w:sz w:val="36"/>
            <w:szCs w:val="36"/>
          </w:rPr>
          <w:t>Leading cross government initiatives</w:t>
        </w:r>
      </w:hyperlink>
    </w:p>
    <w:p w:rsidR="00344B3D" w:rsidRPr="00EC67A7" w:rsidRDefault="003E1591" w:rsidP="00442B03">
      <w:pPr>
        <w:pStyle w:val="BodyText"/>
        <w:numPr>
          <w:ilvl w:val="0"/>
          <w:numId w:val="1"/>
        </w:numPr>
        <w:ind w:left="1134"/>
        <w:rPr>
          <w:sz w:val="36"/>
          <w:szCs w:val="36"/>
        </w:rPr>
      </w:pPr>
      <w:hyperlink w:anchor="bookmark0" w:history="1">
        <w:r w:rsidR="004A39B4">
          <w:rPr>
            <w:spacing w:val="-1"/>
            <w:sz w:val="36"/>
            <w:szCs w:val="36"/>
          </w:rPr>
          <w:t>Quality s</w:t>
        </w:r>
        <w:r w:rsidR="00C41A95">
          <w:rPr>
            <w:spacing w:val="-1"/>
            <w:sz w:val="36"/>
            <w:szCs w:val="36"/>
          </w:rPr>
          <w:t>ervices</w:t>
        </w:r>
      </w:hyperlink>
    </w:p>
    <w:p w:rsidR="00344B3D" w:rsidRPr="00EC67A7" w:rsidRDefault="003E1591" w:rsidP="00442B03">
      <w:pPr>
        <w:pStyle w:val="BodyText"/>
        <w:numPr>
          <w:ilvl w:val="0"/>
          <w:numId w:val="1"/>
        </w:numPr>
        <w:ind w:left="1134"/>
        <w:rPr>
          <w:sz w:val="36"/>
          <w:szCs w:val="36"/>
        </w:rPr>
      </w:pPr>
      <w:hyperlink w:anchor="bookmark3" w:history="1">
        <w:r w:rsidR="00344B3D" w:rsidRPr="00EC67A7">
          <w:rPr>
            <w:sz w:val="36"/>
            <w:szCs w:val="36"/>
          </w:rPr>
          <w:t xml:space="preserve">Building </w:t>
        </w:r>
        <w:r w:rsidR="00344B3D" w:rsidRPr="00EC67A7">
          <w:rPr>
            <w:spacing w:val="-2"/>
            <w:sz w:val="36"/>
            <w:szCs w:val="36"/>
          </w:rPr>
          <w:t>for</w:t>
        </w:r>
        <w:r w:rsidR="00344B3D" w:rsidRPr="00EC67A7">
          <w:rPr>
            <w:sz w:val="36"/>
            <w:szCs w:val="36"/>
          </w:rPr>
          <w:t xml:space="preserve"> the community</w:t>
        </w:r>
      </w:hyperlink>
    </w:p>
    <w:p w:rsidR="00344B3D" w:rsidRPr="00EC67A7" w:rsidRDefault="003E1591" w:rsidP="00442B03">
      <w:pPr>
        <w:pStyle w:val="BodyText"/>
        <w:numPr>
          <w:ilvl w:val="0"/>
          <w:numId w:val="1"/>
        </w:numPr>
        <w:ind w:left="1134"/>
        <w:rPr>
          <w:sz w:val="36"/>
          <w:szCs w:val="36"/>
        </w:rPr>
      </w:pPr>
      <w:hyperlink w:anchor="bookmark5" w:history="1">
        <w:r w:rsidR="00344B3D" w:rsidRPr="00EC67A7">
          <w:rPr>
            <w:spacing w:val="-1"/>
            <w:sz w:val="36"/>
            <w:szCs w:val="36"/>
          </w:rPr>
          <w:t>Significant</w:t>
        </w:r>
        <w:r w:rsidR="00A44CDD">
          <w:rPr>
            <w:spacing w:val="-1"/>
            <w:sz w:val="36"/>
            <w:szCs w:val="36"/>
          </w:rPr>
          <w:t xml:space="preserve"> issues and future outlook</w:t>
        </w:r>
      </w:hyperlink>
    </w:p>
    <w:p w:rsidR="00A44CDD" w:rsidRPr="00A44CDD" w:rsidRDefault="00344B3D" w:rsidP="00442B03">
      <w:pPr>
        <w:pStyle w:val="BodyText"/>
        <w:numPr>
          <w:ilvl w:val="0"/>
          <w:numId w:val="1"/>
        </w:numPr>
        <w:ind w:left="1134"/>
        <w:rPr>
          <w:sz w:val="36"/>
          <w:szCs w:val="36"/>
        </w:rPr>
      </w:pPr>
      <w:r w:rsidRPr="00EC67A7">
        <w:fldChar w:fldCharType="begin"/>
      </w:r>
      <w:r w:rsidRPr="00EC67A7">
        <w:instrText xml:space="preserve"> HYPERLINK \l "bookmark6" </w:instrText>
      </w:r>
      <w:r w:rsidRPr="00EC67A7">
        <w:fldChar w:fldCharType="separate"/>
      </w:r>
      <w:r w:rsidR="00A44CDD">
        <w:rPr>
          <w:spacing w:val="1"/>
          <w:sz w:val="36"/>
          <w:szCs w:val="36"/>
        </w:rPr>
        <w:t>Summary of financial performance for 201</w:t>
      </w:r>
      <w:r w:rsidR="00E86B8F">
        <w:rPr>
          <w:spacing w:val="1"/>
          <w:sz w:val="36"/>
          <w:szCs w:val="36"/>
        </w:rPr>
        <w:t>5</w:t>
      </w:r>
      <w:r w:rsidR="00A44CDD">
        <w:rPr>
          <w:spacing w:val="1"/>
          <w:sz w:val="36"/>
          <w:szCs w:val="36"/>
        </w:rPr>
        <w:t>-1</w:t>
      </w:r>
      <w:r w:rsidR="00E86B8F">
        <w:rPr>
          <w:spacing w:val="1"/>
          <w:sz w:val="36"/>
          <w:szCs w:val="36"/>
        </w:rPr>
        <w:t>6</w:t>
      </w:r>
    </w:p>
    <w:p w:rsidR="00344B3D" w:rsidRPr="00D45C65" w:rsidRDefault="00A44CDD" w:rsidP="00442B03">
      <w:pPr>
        <w:pStyle w:val="BodyText"/>
        <w:numPr>
          <w:ilvl w:val="0"/>
          <w:numId w:val="1"/>
        </w:numPr>
        <w:ind w:left="1134"/>
        <w:rPr>
          <w:sz w:val="36"/>
          <w:szCs w:val="36"/>
        </w:rPr>
      </w:pPr>
      <w:r>
        <w:rPr>
          <w:spacing w:val="1"/>
          <w:sz w:val="36"/>
          <w:szCs w:val="36"/>
        </w:rPr>
        <w:t>Summary of non-financial performance for</w:t>
      </w:r>
      <w:r w:rsidR="004A39B4">
        <w:rPr>
          <w:spacing w:val="1"/>
          <w:sz w:val="36"/>
          <w:szCs w:val="36"/>
        </w:rPr>
        <w:br/>
      </w:r>
      <w:r>
        <w:rPr>
          <w:spacing w:val="1"/>
          <w:sz w:val="36"/>
          <w:szCs w:val="36"/>
        </w:rPr>
        <w:t>201</w:t>
      </w:r>
      <w:r w:rsidR="00E86B8F">
        <w:rPr>
          <w:spacing w:val="1"/>
          <w:sz w:val="36"/>
          <w:szCs w:val="36"/>
        </w:rPr>
        <w:t>5</w:t>
      </w:r>
      <w:r>
        <w:rPr>
          <w:spacing w:val="1"/>
          <w:sz w:val="36"/>
          <w:szCs w:val="36"/>
        </w:rPr>
        <w:t>-</w:t>
      </w:r>
      <w:r w:rsidR="00E86B8F">
        <w:rPr>
          <w:spacing w:val="1"/>
          <w:sz w:val="36"/>
          <w:szCs w:val="36"/>
        </w:rPr>
        <w:t>16</w:t>
      </w:r>
      <w:r w:rsidR="00344B3D" w:rsidRPr="00EC67A7">
        <w:fldChar w:fldCharType="end"/>
      </w:r>
    </w:p>
    <w:p w:rsidR="00344B3D" w:rsidRPr="00344B3D" w:rsidRDefault="00344B3D" w:rsidP="00D45C65">
      <w:pPr>
        <w:pStyle w:val="Heading2"/>
        <w:rPr>
          <w:color w:val="000000"/>
        </w:rPr>
      </w:pPr>
      <w:r>
        <w:br w:type="page"/>
      </w:r>
      <w:bookmarkStart w:id="3" w:name="bookmark0"/>
      <w:bookmarkEnd w:id="3"/>
      <w:r w:rsidR="00E86B8F">
        <w:lastRenderedPageBreak/>
        <w:t>Delivering value</w:t>
      </w:r>
    </w:p>
    <w:p w:rsidR="0053296B" w:rsidRPr="0053296B" w:rsidRDefault="00E86B8F" w:rsidP="0030217F">
      <w:pPr>
        <w:pStyle w:val="BodyText"/>
        <w:rPr>
          <w:b/>
          <w:color w:val="000000"/>
        </w:rPr>
      </w:pPr>
      <w:r w:rsidRPr="00E86B8F">
        <w:rPr>
          <w:b/>
          <w:color w:val="000000"/>
        </w:rPr>
        <w:t>The Department of Finance seeks to provide leadership and strategic advice to government on initiatives to improve the operations and management of services across the public sector</w:t>
      </w:r>
      <w:r w:rsidR="0053296B" w:rsidRPr="0053296B">
        <w:rPr>
          <w:b/>
          <w:color w:val="000000"/>
        </w:rPr>
        <w:t>.</w:t>
      </w:r>
    </w:p>
    <w:p w:rsidR="00E86B8F" w:rsidRPr="00E86B8F" w:rsidRDefault="00E86B8F" w:rsidP="0030217F">
      <w:pPr>
        <w:pStyle w:val="BodyText"/>
        <w:rPr>
          <w:color w:val="000000"/>
        </w:rPr>
      </w:pPr>
      <w:r w:rsidRPr="00E86B8F">
        <w:rPr>
          <w:color w:val="000000"/>
        </w:rPr>
        <w:t xml:space="preserve">This year, the Department of Finance was selected as one of eight agencies to undertake a review of agency expenditure in order to deliver savings to government and address a funding shortfall. </w:t>
      </w:r>
      <w:r w:rsidRPr="00E86B8F">
        <w:rPr>
          <w:b/>
          <w:color w:val="000000"/>
        </w:rPr>
        <w:t>Strategy and Coordination</w:t>
      </w:r>
      <w:r w:rsidRPr="00E86B8F">
        <w:rPr>
          <w:color w:val="000000"/>
        </w:rPr>
        <w:t xml:space="preserve"> led efforts across the Department to identify $85 million in savings over four years, including $26 million in savings to government. In addition, the Agency Expenditure Review Board supported a robust business case put forward by the Department to generate $100 million in revenue towards reducing government’s current fiscal challenge. </w:t>
      </w:r>
    </w:p>
    <w:p w:rsidR="00E86B8F" w:rsidRPr="00E86B8F" w:rsidRDefault="00E86B8F" w:rsidP="0030217F">
      <w:pPr>
        <w:pStyle w:val="BodyText"/>
        <w:rPr>
          <w:color w:val="000000"/>
        </w:rPr>
      </w:pPr>
      <w:r w:rsidRPr="00E86B8F">
        <w:rPr>
          <w:color w:val="000000"/>
        </w:rPr>
        <w:t xml:space="preserve">The outcomes of the review were achieved through a detailed analysis of the Department’s functions to identify opportunities for savings and formulate plans for delivery. As one of the first agencies to go through this process, the Department pioneered an approach to consider how to maximise the value it creates by examining its services and the way they are delivered. The Department’s proactive approach to the review was labelled best practice by the Department of Treasury. The Department has subsequently shared its lessons with other agencies embarking on their own expenditure reviews. The Department also commenced the implementation of organisational change initiatives to realise efficiencies, whilst aiming to minimise the impact on the delivery of services. </w:t>
      </w:r>
    </w:p>
    <w:p w:rsidR="00E86B8F" w:rsidRPr="00E86B8F" w:rsidRDefault="00E86B8F" w:rsidP="0030217F">
      <w:pPr>
        <w:pStyle w:val="BodyText"/>
        <w:rPr>
          <w:color w:val="000000"/>
        </w:rPr>
      </w:pPr>
      <w:r w:rsidRPr="00E86B8F">
        <w:rPr>
          <w:color w:val="000000"/>
        </w:rPr>
        <w:t xml:space="preserve">In an economic environment of fiscal restraint, the Department is always looking to realise procurement efficiencies, and investigate ways of delivering services in a more effective manner, whilst maintaining service quality. With oversight of the Government’s fleet of vehicles, the challenge has been to realise savings for government, whilst minimising the impact of policy changes on day-to-day agency operations. </w:t>
      </w:r>
      <w:r w:rsidRPr="00E86B8F">
        <w:rPr>
          <w:b/>
          <w:color w:val="000000"/>
        </w:rPr>
        <w:t>Government Procurement</w:t>
      </w:r>
      <w:r w:rsidRPr="00E86B8F">
        <w:rPr>
          <w:color w:val="000000"/>
        </w:rPr>
        <w:t xml:space="preserve"> has successfully achieved this by engaging with agencies to better understand fleet requirements, enabling the Department to offer tailored solutions that have not only seen a reduction in vehicle numbers, but reduced related debt. </w:t>
      </w:r>
    </w:p>
    <w:p w:rsidR="00E86B8F" w:rsidRPr="00E86B8F" w:rsidRDefault="00E86B8F" w:rsidP="0030217F">
      <w:pPr>
        <w:pStyle w:val="BodyText"/>
        <w:rPr>
          <w:color w:val="000000"/>
        </w:rPr>
      </w:pPr>
      <w:r w:rsidRPr="00E86B8F">
        <w:rPr>
          <w:color w:val="000000"/>
        </w:rPr>
        <w:t xml:space="preserve">The level of expertise within Government Procurement sees the contract management team regularly engaged by client agencies to ensure value is maximised in the procurement of major contracts. Over the last year, the team has supported the Rottnest Island Authority tender for island facilities, utilities and support services, valued at $136 million. The team has also provided advice and guidance in the provision of a helicopter and crew for State Emergency Services, valued at $37.6 million, whilst aiding PathWest navigate a significant Laboratory Information System procurement process, with an estimated contract value of $50.7 million. Further advice continues to PathWest regarding the development of a management plan for this 11-year contract. Government Procurement is also working with WA Police to facilitate an important tender underpinning its Automated Traffic Camera Enforcement Program, valued at over $100 million. </w:t>
      </w:r>
    </w:p>
    <w:p w:rsidR="00E86B8F" w:rsidRPr="00E86B8F" w:rsidRDefault="00E86B8F" w:rsidP="0030217F">
      <w:pPr>
        <w:pStyle w:val="BodyText"/>
        <w:keepLines/>
        <w:rPr>
          <w:color w:val="000000"/>
        </w:rPr>
      </w:pPr>
      <w:r w:rsidRPr="00E86B8F">
        <w:rPr>
          <w:b/>
          <w:color w:val="000000"/>
        </w:rPr>
        <w:lastRenderedPageBreak/>
        <w:t>State Revenue</w:t>
      </w:r>
      <w:r w:rsidRPr="00E86B8F">
        <w:rPr>
          <w:color w:val="000000"/>
        </w:rPr>
        <w:t xml:space="preserve"> has this year progressed several digital initiatives in partnership with Property Exchange Australia (PEXA), removing the need to physically attend settlement by allowing land registries, financial institutions and conveyancing practitioners to transact together online. State Revenue has been working collaboratively with Landgate, and other stakeholders involved in the settlement of property transactions to ensure the introduction of e-conveyancing is as seamless as possible, providing a convenient and more efficient way to lodge documents relating to land transfers. PEXA online conveyancing is expected to save the property industry and homebuyers approximately $1.6 million a year through improved </w:t>
      </w:r>
      <w:r>
        <w:rPr>
          <w:color w:val="000000"/>
        </w:rPr>
        <w:t>productivity and reduced delays</w:t>
      </w:r>
      <w:r>
        <w:rPr>
          <w:rStyle w:val="FootnoteReference"/>
          <w:color w:val="000000"/>
        </w:rPr>
        <w:footnoteReference w:id="1"/>
      </w:r>
      <w:r w:rsidRPr="00E86B8F">
        <w:rPr>
          <w:color w:val="000000"/>
        </w:rPr>
        <w:t xml:space="preserve">. State Revenue has this year continued to deliver progressive system enhancements via the ongoing Revenue Systems Consolidation and Enhancement Program. This investment will realise timely process improvements and enhanced analytics to State Revenue’s systems, and is anticipated to realise efficiencies in taxation administration, red tape reduction, and improvements in customer service. The enhancements are expected to cost $32 million over five years to 2018-19. </w:t>
      </w:r>
    </w:p>
    <w:p w:rsidR="00E86B8F" w:rsidRPr="00E86B8F" w:rsidRDefault="00E86B8F" w:rsidP="0030217F">
      <w:pPr>
        <w:pStyle w:val="BodyText"/>
        <w:keepLines/>
        <w:rPr>
          <w:color w:val="000000"/>
        </w:rPr>
      </w:pPr>
      <w:r w:rsidRPr="00E86B8F">
        <w:rPr>
          <w:color w:val="000000"/>
        </w:rPr>
        <w:t xml:space="preserve">As a result of these and other initiatives, around $5 billion in taxes are collected by State Revenue online, via a fully integrated secure online system, allowing taxpayers and agents to exchange information and make payments electronically. State Revenue will continue to identify opportunities to streamline processes, and save time for taxpayers and agents. </w:t>
      </w:r>
    </w:p>
    <w:p w:rsidR="00E86B8F" w:rsidRPr="00E86B8F" w:rsidRDefault="00E86B8F" w:rsidP="0030217F">
      <w:pPr>
        <w:pStyle w:val="BodyText"/>
        <w:keepLines/>
        <w:rPr>
          <w:color w:val="000000"/>
        </w:rPr>
      </w:pPr>
      <w:r w:rsidRPr="00E86B8F">
        <w:rPr>
          <w:color w:val="000000"/>
        </w:rPr>
        <w:t xml:space="preserve">The delivery of maintenance services is an important component of the work undertaken by </w:t>
      </w:r>
      <w:r w:rsidRPr="00E86B8F">
        <w:rPr>
          <w:b/>
          <w:color w:val="000000"/>
        </w:rPr>
        <w:t>Building Management and Works</w:t>
      </w:r>
      <w:r w:rsidRPr="00E86B8F">
        <w:rPr>
          <w:color w:val="000000"/>
        </w:rPr>
        <w:t xml:space="preserve"> on behalf of client agencies. The Department is part way through a five-year reform strategy to improve its delivery of maintenance services to client agencies occupying non-residential buildings, such as schools, police stations and prisons. </w:t>
      </w:r>
    </w:p>
    <w:p w:rsidR="00E86B8F" w:rsidRPr="00E86B8F" w:rsidRDefault="00E86B8F" w:rsidP="0030217F">
      <w:pPr>
        <w:pStyle w:val="BodyText"/>
        <w:keepLines/>
        <w:rPr>
          <w:color w:val="000000"/>
        </w:rPr>
      </w:pPr>
      <w:r w:rsidRPr="00E86B8F">
        <w:rPr>
          <w:color w:val="000000"/>
        </w:rPr>
        <w:t>Since the State-wide low value maintenance contracting framework came into effect on 1 July 2014, the average cost of breakdown repairs has reduced by approximately 10 per cent State-wide, while the on-time attendance of contractors for breakdown repairs has improved by 16 per cent. As at June 2016, the overall cost savings for breakdown repairs since the introduction of the new arrangements is estimated to be in the order of $7.9 million. Now in its second phase, the reform program has progressed to establishing a new innovative maintenance contract framework.</w:t>
      </w:r>
    </w:p>
    <w:p w:rsidR="00E86B8F" w:rsidRPr="00E86B8F" w:rsidRDefault="00E86B8F" w:rsidP="0030217F">
      <w:pPr>
        <w:pStyle w:val="BodyText"/>
        <w:keepLines/>
        <w:rPr>
          <w:color w:val="000000"/>
        </w:rPr>
      </w:pPr>
      <w:r w:rsidRPr="00E86B8F">
        <w:rPr>
          <w:color w:val="000000"/>
        </w:rPr>
        <w:t xml:space="preserve">The new framework for arranging maintenance services is expected to deliver significantly improved value-for-money outcomes for participating agencies by taking a whole-of-life view of asset costs and placing an increased focus on both service quality and contractor performance. This framework will be implemented as of 1 July 2016, for the provision of maintenance services to seven agencies in the Perth metropolitan and Peel regions. </w:t>
      </w:r>
    </w:p>
    <w:p w:rsidR="00E86B8F" w:rsidRPr="00E86B8F" w:rsidRDefault="00E86B8F" w:rsidP="0030217F">
      <w:pPr>
        <w:pStyle w:val="BodyText"/>
        <w:keepLines/>
        <w:rPr>
          <w:color w:val="000000"/>
        </w:rPr>
      </w:pPr>
      <w:r w:rsidRPr="00E86B8F">
        <w:rPr>
          <w:color w:val="000000"/>
        </w:rPr>
        <w:lastRenderedPageBreak/>
        <w:t xml:space="preserve">The coordinated procurement of commonly purchased goods and services via Common Use Arrangements reduces the amount of money spent by agencies. This is achieved by aggregating the volumes purchased across the whole-of-government, to attract better prices from suppliers. </w:t>
      </w:r>
      <w:r w:rsidRPr="00E86B8F">
        <w:rPr>
          <w:b/>
          <w:color w:val="000000"/>
        </w:rPr>
        <w:t>Government Procurement</w:t>
      </w:r>
      <w:r w:rsidRPr="00E86B8F">
        <w:rPr>
          <w:color w:val="000000"/>
        </w:rPr>
        <w:t xml:space="preserve"> continues to review, rationalise and manage Common Use Arrangements, with an estimated annual turnover of approximately $1.2 billion across government. </w:t>
      </w:r>
    </w:p>
    <w:p w:rsidR="0053296B" w:rsidRDefault="00E86B8F" w:rsidP="0030217F">
      <w:pPr>
        <w:pStyle w:val="BodyText"/>
        <w:keepLines/>
        <w:rPr>
          <w:color w:val="000000"/>
        </w:rPr>
      </w:pPr>
      <w:r w:rsidRPr="00E86B8F">
        <w:rPr>
          <w:color w:val="000000"/>
        </w:rPr>
        <w:t>Government departments spend some $175 million per annum on electricity and gas supplies to support the delivery of services. The Common Use Arrangements that support agencies for the supply of electricity and gas have delivered cumulative savings since 2012 in the order of $29.9 million as at 30 June 2016</w:t>
      </w:r>
      <w:r w:rsidR="0053296B" w:rsidRPr="0053296B">
        <w:rPr>
          <w:color w:val="000000"/>
        </w:rPr>
        <w:t>.</w:t>
      </w:r>
    </w:p>
    <w:p w:rsidR="00E86B8F" w:rsidRDefault="00E86B8F" w:rsidP="0053296B">
      <w:pPr>
        <w:pStyle w:val="BodyText"/>
        <w:rPr>
          <w:rFonts w:cs="Times New Roman"/>
          <w:b/>
          <w:bCs/>
          <w:sz w:val="28"/>
          <w:szCs w:val="26"/>
          <w:lang w:eastAsia="en-US"/>
        </w:rPr>
      </w:pPr>
      <w:r w:rsidRPr="00E86B8F">
        <w:rPr>
          <w:rFonts w:cs="Times New Roman"/>
          <w:b/>
          <w:bCs/>
          <w:sz w:val="28"/>
          <w:szCs w:val="26"/>
          <w:lang w:eastAsia="en-US"/>
        </w:rPr>
        <w:t>The Public Utilities Off</w:t>
      </w:r>
      <w:r w:rsidR="003D7976">
        <w:rPr>
          <w:rFonts w:cs="Times New Roman"/>
          <w:b/>
          <w:bCs/>
          <w:sz w:val="28"/>
          <w:szCs w:val="26"/>
          <w:lang w:eastAsia="en-US"/>
        </w:rPr>
        <w:t xml:space="preserve">ice launches consumer awareness </w:t>
      </w:r>
      <w:r w:rsidRPr="00E86B8F">
        <w:rPr>
          <w:rFonts w:cs="Times New Roman"/>
          <w:b/>
          <w:bCs/>
          <w:sz w:val="28"/>
          <w:szCs w:val="26"/>
          <w:lang w:eastAsia="en-US"/>
        </w:rPr>
        <w:t>campaign, More Power To You</w:t>
      </w:r>
    </w:p>
    <w:p w:rsidR="00E86B8F" w:rsidRPr="00E86B8F" w:rsidRDefault="00E86B8F" w:rsidP="00E86B8F">
      <w:pPr>
        <w:pStyle w:val="BodyText"/>
        <w:rPr>
          <w:color w:val="000000"/>
        </w:rPr>
      </w:pPr>
      <w:r w:rsidRPr="00E86B8F">
        <w:rPr>
          <w:color w:val="000000"/>
        </w:rPr>
        <w:t xml:space="preserve">The Government of Western Australia has embarked upon an ambitious program of transformation of the State’s electricity sector. Through the Electricity Market Review, the Government is implementing practical and effective initiatives to reduce the cost of electricity supply and empower consumers to make informed decisions about their electricity supply services. </w:t>
      </w:r>
    </w:p>
    <w:p w:rsidR="00E86B8F" w:rsidRPr="00E86B8F" w:rsidRDefault="00E86B8F" w:rsidP="00E86B8F">
      <w:pPr>
        <w:pStyle w:val="BodyText"/>
        <w:rPr>
          <w:color w:val="000000"/>
        </w:rPr>
      </w:pPr>
      <w:r w:rsidRPr="00E86B8F">
        <w:rPr>
          <w:color w:val="000000"/>
        </w:rPr>
        <w:t xml:space="preserve">This year the Electricity Market Review, run by the Public Utilities Office has entered its second phase, developing and implementing a selected set of reforms identified in Phase One of the Review. The reform package aims to reduce cost pressures on the electricity sector by addressing inefficiencies in the price signals for investment into the electricity market, establishing more efficient governance arrangements, and facilitating increased opportunities for private sector investment. On 7 April 2016, the Energy Minister announced important industry reforms expected to reduce the cost of supplying electricity by up to $130 million every year. </w:t>
      </w:r>
    </w:p>
    <w:p w:rsidR="0053296B" w:rsidRDefault="00E86B8F" w:rsidP="00E86B8F">
      <w:pPr>
        <w:pStyle w:val="BodyText"/>
        <w:rPr>
          <w:color w:val="000000"/>
        </w:rPr>
      </w:pPr>
      <w:r w:rsidRPr="00E86B8F">
        <w:rPr>
          <w:color w:val="000000"/>
        </w:rPr>
        <w:t>In support of these reforms, the Public Utilities Office launched a consumer website to educate the general public on the challenges being faced by the electricity market, how those challenges are being addressed through reform initiatives, and the effect that any market reforms may have on consumers. In turn this will enable consumers to make informed decisions about their electricity supply services. www.morepowertoyou.wa.gov.au was launched in April 201</w:t>
      </w:r>
      <w:r>
        <w:rPr>
          <w:color w:val="000000"/>
        </w:rPr>
        <w:t>6</w:t>
      </w:r>
      <w:r w:rsidR="0053296B" w:rsidRPr="0053296B">
        <w:rPr>
          <w:color w:val="000000"/>
        </w:rPr>
        <w:t>.</w:t>
      </w:r>
    </w:p>
    <w:p w:rsidR="00483ED9" w:rsidRDefault="00EC67A7" w:rsidP="001D119B">
      <w:pPr>
        <w:pStyle w:val="Heading2"/>
      </w:pPr>
      <w:r>
        <w:br w:type="page"/>
      </w:r>
      <w:bookmarkStart w:id="4" w:name="bookmark1"/>
      <w:bookmarkEnd w:id="4"/>
      <w:r w:rsidR="00334701" w:rsidRPr="00334701">
        <w:lastRenderedPageBreak/>
        <w:t>Leading cross-government initiatives</w:t>
      </w:r>
    </w:p>
    <w:p w:rsidR="001D119B" w:rsidRPr="001D119B" w:rsidRDefault="00334701" w:rsidP="001D119B">
      <w:pPr>
        <w:pStyle w:val="BodyText"/>
        <w:rPr>
          <w:b/>
        </w:rPr>
      </w:pPr>
      <w:r w:rsidRPr="00334701">
        <w:rPr>
          <w:b/>
        </w:rPr>
        <w:t xml:space="preserve">The Department of Finance has led the planning and execution of major </w:t>
      </w:r>
      <w:r>
        <w:rPr>
          <w:b/>
        </w:rPr>
        <w:br/>
      </w:r>
      <w:r w:rsidRPr="00334701">
        <w:rPr>
          <w:b/>
        </w:rPr>
        <w:t>cross-government initiatives, engaging with industry stakeholders to deliver enhanced benefits to taxpayers, industry and the community</w:t>
      </w:r>
      <w:r w:rsidR="001D119B" w:rsidRPr="001D119B">
        <w:rPr>
          <w:b/>
        </w:rPr>
        <w:t>.</w:t>
      </w:r>
    </w:p>
    <w:p w:rsidR="00334701" w:rsidRDefault="00334701" w:rsidP="001A015B">
      <w:pPr>
        <w:pStyle w:val="BodyText"/>
      </w:pPr>
      <w:r>
        <w:t>In its drive to achieve cost efficiencies within the Government’s office accommodation portfolio, Building Management and Works has realised significant savings by taking a whole-of government approach to property issues to maximise value-for-money through relocations and better use of existing space. Value has been derived through the co-location of agencies to reduce the Government’s overall requirement for office space, and achieving key location imperatives. The consolidation and aggregation of offices into larger, unified requirements also enables government to reduce the duplication of facilities, delivering efficient shared spaces that support service delivery to the community. The effective negotiation of government office accommodation lease terms presents another opportunity for Building Management and Works to realise savings across government, which is also being pursued.</w:t>
      </w:r>
    </w:p>
    <w:p w:rsidR="001D119B" w:rsidRDefault="00334701" w:rsidP="001A015B">
      <w:pPr>
        <w:pStyle w:val="BodyText"/>
      </w:pPr>
      <w:r>
        <w:t>Other government office accommodation initiatives completed or currently underway include:</w:t>
      </w:r>
    </w:p>
    <w:p w:rsidR="00334701" w:rsidRPr="00334701" w:rsidRDefault="00334701" w:rsidP="001A015B">
      <w:pPr>
        <w:pStyle w:val="BodyText"/>
        <w:numPr>
          <w:ilvl w:val="0"/>
          <w:numId w:val="4"/>
        </w:numPr>
      </w:pPr>
      <w:r w:rsidRPr="00334701">
        <w:t>One of the largest ever government fitout projects featuring the David Malcolm Justice Centre and the State Administrative Tribunal building within the Cathedral Square Precinct – read mo</w:t>
      </w:r>
      <w:r w:rsidR="0012158F">
        <w:t>re about this project on page 23</w:t>
      </w:r>
      <w:r w:rsidRPr="00334701">
        <w:t>.</w:t>
      </w:r>
    </w:p>
    <w:p w:rsidR="00334701" w:rsidRPr="00334701" w:rsidRDefault="00334701" w:rsidP="001A015B">
      <w:pPr>
        <w:pStyle w:val="BodyText"/>
        <w:numPr>
          <w:ilvl w:val="0"/>
          <w:numId w:val="4"/>
        </w:numPr>
      </w:pPr>
      <w:r w:rsidRPr="00334701">
        <w:t>The Karratha Quarter project, which will see the co-location of 10 agencies, expected to be completed in late 2016.</w:t>
      </w:r>
    </w:p>
    <w:p w:rsidR="00334701" w:rsidRPr="00334701" w:rsidRDefault="00334701" w:rsidP="001A015B">
      <w:pPr>
        <w:pStyle w:val="BodyText"/>
        <w:numPr>
          <w:ilvl w:val="0"/>
          <w:numId w:val="4"/>
        </w:numPr>
      </w:pPr>
      <w:r w:rsidRPr="00334701">
        <w:t>Consolidation of elements of WA Police corporate services into Westralia Square (expected to be completed next financial year).</w:t>
      </w:r>
    </w:p>
    <w:p w:rsidR="00334701" w:rsidRPr="00334701" w:rsidRDefault="00334701" w:rsidP="001A015B">
      <w:pPr>
        <w:pStyle w:val="BodyText"/>
        <w:numPr>
          <w:ilvl w:val="0"/>
          <w:numId w:val="4"/>
        </w:numPr>
      </w:pPr>
      <w:r w:rsidRPr="00334701">
        <w:t>Examining the feasibility of decentralising and consolidating government office accommodation in Fremantle.</w:t>
      </w:r>
    </w:p>
    <w:p w:rsidR="00334701" w:rsidRPr="00334701" w:rsidRDefault="00334701" w:rsidP="001A015B">
      <w:pPr>
        <w:pStyle w:val="BodyText"/>
        <w:numPr>
          <w:ilvl w:val="0"/>
          <w:numId w:val="4"/>
        </w:numPr>
      </w:pPr>
      <w:r w:rsidRPr="00334701">
        <w:t>Fulfilling the Government's election commitment to move 500 government workers into new office accommodation in Joondalup (expected to carry into the next financial year and beyond).</w:t>
      </w:r>
    </w:p>
    <w:p w:rsidR="00334701" w:rsidRPr="00334701" w:rsidRDefault="00334701" w:rsidP="001A015B">
      <w:pPr>
        <w:pStyle w:val="BodyText"/>
        <w:numPr>
          <w:ilvl w:val="0"/>
          <w:numId w:val="4"/>
        </w:numPr>
      </w:pPr>
      <w:r w:rsidRPr="00334701">
        <w:t>The relocation of the Department of Commerce into existing tenancies at the Mason Bird Building in Cannington, and Gordon Stephenson House in Perth (expected to be completed in the next financial year).</w:t>
      </w:r>
    </w:p>
    <w:p w:rsidR="00334701" w:rsidRDefault="00334701" w:rsidP="001A015B">
      <w:pPr>
        <w:pStyle w:val="BodyText"/>
        <w:numPr>
          <w:ilvl w:val="0"/>
          <w:numId w:val="4"/>
        </w:numPr>
      </w:pPr>
      <w:r w:rsidRPr="00334701">
        <w:t>Space rationalisation modeling and new lease negotiations at QBE House (200 St Georges Terrace). This work is expected to result in close to a 20 per cent reduction in the leased area to be occupied by State Revenue and over $19 million in avoided costs to the Government over the term of the lease</w:t>
      </w:r>
      <w:r>
        <w:t>.</w:t>
      </w:r>
    </w:p>
    <w:p w:rsidR="00A17B10" w:rsidRDefault="00A17B10" w:rsidP="00976543">
      <w:pPr>
        <w:pStyle w:val="BodyText"/>
        <w:keepLines/>
      </w:pPr>
      <w:r>
        <w:lastRenderedPageBreak/>
        <w:t xml:space="preserve">Through the Australian Disability Enterprise initiative, Government Procurement supports people with a disability to find fulfilling and secure work, generated by government contracts for goods and services. This is enabled through the State Supply Commission’s Open and Effective Competition Policy. This policy allows agencies to engage Australian Disability Enterprises directly, without undertaking a competitive quote or tender process, provided the purchase represents </w:t>
      </w:r>
      <w:r w:rsidR="00976543">
        <w:br/>
      </w:r>
      <w:r>
        <w:t>value-for-money.</w:t>
      </w:r>
    </w:p>
    <w:p w:rsidR="00A17B10" w:rsidRDefault="00A17B10" w:rsidP="001A015B">
      <w:pPr>
        <w:pStyle w:val="BodyText"/>
      </w:pPr>
      <w:r>
        <w:t>As a result, government agencies have access to quality goods and services, and the opportunity to positively influence the Western Australian community. Examples of contracts that have been awarded to WA Disability Enterprises include the provision of ground maintenance services for the Department of Parks and Wildlife, the warehousing and marketing distribution of services for the WA Cervical Cancer Prevention Program, the construction of firearm cabinets for WA Police, and the testing of extinguishers for the Department of Fire and Emergency Services.</w:t>
      </w:r>
    </w:p>
    <w:p w:rsidR="00A17B10" w:rsidRDefault="00A17B10" w:rsidP="001A015B">
      <w:pPr>
        <w:pStyle w:val="BodyText"/>
      </w:pPr>
      <w:r>
        <w:t>As of June 2016, through its innovative approach and dedication to social procurement, Government Procurement had facilitated 79 Australian Disability Enterprise contracts to a value in excess of $30 million over the last four years.</w:t>
      </w:r>
    </w:p>
    <w:p w:rsidR="00A17B10" w:rsidRDefault="00A17B10" w:rsidP="001A015B">
      <w:pPr>
        <w:pStyle w:val="BodyText"/>
      </w:pPr>
      <w:r>
        <w:t>Government Procurement’s Funding and Contracting Services team provides leadership, guidance and support to both the public and not-for-profit sectors regarding the principles and application of policies, and best practice community services procurement. This year, a major initiative overseen by the team has been the implementation of Aboriginal Youth Services Investment Reforms, in collaboration with government agencies. In taking the joint lead on this initiative with the Department of the Premier and Cabinet, the team has sought to be the interface between government and the not-for-profit sector, creating opportunities for open dialogue, to realise mutually beneficial outcomes.</w:t>
      </w:r>
    </w:p>
    <w:p w:rsidR="001D119B" w:rsidRDefault="00A17B10" w:rsidP="001A015B">
      <w:pPr>
        <w:pStyle w:val="BodyText"/>
      </w:pPr>
      <w:r>
        <w:t>With these reforms having far-reaching implications on the community services purchased by government departments, a series of round-table discussions was initiated with key stakeholders, in order to ensure p</w:t>
      </w:r>
      <w:r w:rsidR="00F85D33">
        <w:t xml:space="preserve">olicy settings enabled the best </w:t>
      </w:r>
      <w:r>
        <w:t>chance of success. Support materials were then created, complementing information sessions to educate agencies on the reform initiatives. These materials and sessions have guided the application of the policy reforms in the procurement process for community services, demonstrating best practice across the sector</w:t>
      </w:r>
      <w:r w:rsidR="001D119B">
        <w:t>.</w:t>
      </w:r>
    </w:p>
    <w:p w:rsidR="00F85D33" w:rsidRDefault="00F85D33" w:rsidP="00F85D33">
      <w:pPr>
        <w:pStyle w:val="BodyText"/>
        <w:rPr>
          <w:rFonts w:cs="Times New Roman"/>
          <w:b/>
          <w:bCs/>
          <w:sz w:val="28"/>
          <w:szCs w:val="26"/>
          <w:lang w:eastAsia="en-US"/>
        </w:rPr>
      </w:pPr>
      <w:r w:rsidRPr="00F85D33">
        <w:rPr>
          <w:rFonts w:cs="Times New Roman"/>
          <w:b/>
          <w:bCs/>
          <w:sz w:val="28"/>
          <w:szCs w:val="26"/>
          <w:lang w:eastAsia="en-US"/>
        </w:rPr>
        <w:t>Economic Reform driving the Government’s regulatory reform agenda</w:t>
      </w:r>
    </w:p>
    <w:p w:rsidR="00F85D33" w:rsidRPr="00F85D33" w:rsidRDefault="00F85D33" w:rsidP="001A015B">
      <w:pPr>
        <w:pStyle w:val="BodyText"/>
        <w:rPr>
          <w:color w:val="000000"/>
        </w:rPr>
      </w:pPr>
      <w:r w:rsidRPr="00F85D33">
        <w:rPr>
          <w:color w:val="000000"/>
        </w:rPr>
        <w:t>In 2015, the Minister for Finance launched the Government’s Reinvigorated Regulatory Reform Plan, articulating the Government’s commitment to cutting red tape, improving productivity and innovation, and supporting jobs growth and investment. The Department of Finance's Economic Reform unit took carriage of driving the Government’s regulatory reform agenda.  In November 2015, during Repeal Week, the</w:t>
      </w:r>
    </w:p>
    <w:p w:rsidR="00F85D33" w:rsidRPr="00F85D33" w:rsidRDefault="00F85D33" w:rsidP="001A015B">
      <w:pPr>
        <w:pStyle w:val="BodyText"/>
        <w:rPr>
          <w:color w:val="000000"/>
        </w:rPr>
      </w:pPr>
      <w:r w:rsidRPr="00F85D33">
        <w:rPr>
          <w:color w:val="000000"/>
        </w:rPr>
        <w:t>Government released its inaugural Red Tape Reduction Report Card, and introduced six</w:t>
      </w:r>
      <w:r>
        <w:rPr>
          <w:color w:val="000000"/>
        </w:rPr>
        <w:t xml:space="preserve"> </w:t>
      </w:r>
      <w:r w:rsidRPr="00F85D33">
        <w:rPr>
          <w:color w:val="000000"/>
        </w:rPr>
        <w:t>red tape reduction and repeal Bills into Parliament, repositioning Repeal Week as a whole-of-government platform for delivering a strong and cohesive message on reform.</w:t>
      </w:r>
    </w:p>
    <w:p w:rsidR="0030217F" w:rsidRDefault="0030217F" w:rsidP="0030217F">
      <w:pPr>
        <w:pStyle w:val="BodyText"/>
        <w:keepLines/>
        <w:rPr>
          <w:color w:val="000000"/>
        </w:rPr>
        <w:sectPr w:rsidR="0030217F" w:rsidSect="0030217F">
          <w:pgSz w:w="11906" w:h="16838" w:code="9"/>
          <w:pgMar w:top="1418" w:right="1440" w:bottom="1418" w:left="1440" w:header="0" w:footer="709" w:gutter="0"/>
          <w:cols w:space="708"/>
          <w:docGrid w:linePitch="360"/>
        </w:sectPr>
      </w:pPr>
    </w:p>
    <w:p w:rsidR="00F85D33" w:rsidRPr="00F85D33" w:rsidRDefault="00F85D33" w:rsidP="0030217F">
      <w:pPr>
        <w:pStyle w:val="BodyText"/>
        <w:keepLines/>
        <w:rPr>
          <w:color w:val="000000"/>
        </w:rPr>
      </w:pPr>
      <w:r w:rsidRPr="00F85D33">
        <w:rPr>
          <w:color w:val="000000"/>
        </w:rPr>
        <w:lastRenderedPageBreak/>
        <w:t>To prepare the Report Card, the Economic Reform team worked collaboratively across</w:t>
      </w:r>
      <w:r>
        <w:rPr>
          <w:color w:val="000000"/>
        </w:rPr>
        <w:t xml:space="preserve"> </w:t>
      </w:r>
      <w:r w:rsidRPr="00F85D33">
        <w:rPr>
          <w:color w:val="000000"/>
        </w:rPr>
        <w:t>government to encourage and collect red tape reduction achievements, and help accurately describe, quantify and report red tape reduction outcomes consistently across all agencies.</w:t>
      </w:r>
    </w:p>
    <w:p w:rsidR="00F85D33" w:rsidRPr="00F85D33" w:rsidRDefault="00F85D33" w:rsidP="001A015B">
      <w:pPr>
        <w:pStyle w:val="BodyText"/>
        <w:rPr>
          <w:color w:val="000000"/>
        </w:rPr>
      </w:pPr>
      <w:r w:rsidRPr="00F85D33">
        <w:rPr>
          <w:color w:val="000000"/>
        </w:rPr>
        <w:t>This work resulted in the inaugural Red Tape Reduction Report Card containing 36 examples collected from across agencies, delivering an estimated $150 million in savings over five years.</w:t>
      </w:r>
    </w:p>
    <w:p w:rsidR="00F85D33" w:rsidRPr="00E86B8F" w:rsidRDefault="00F85D33" w:rsidP="001A015B">
      <w:pPr>
        <w:pStyle w:val="BodyText"/>
        <w:rPr>
          <w:color w:val="000000"/>
        </w:rPr>
      </w:pPr>
      <w:r w:rsidRPr="00F85D33">
        <w:rPr>
          <w:color w:val="000000"/>
        </w:rPr>
        <w:t>The Economic Reform team also worked with the Parliamentary Counsel’s Office and several departments to develop whole-of-government omnibus Bills to introduce legislative amendments to cut red tape. This approach enabled government to prioritise</w:t>
      </w:r>
      <w:r>
        <w:rPr>
          <w:color w:val="000000"/>
        </w:rPr>
        <w:t xml:space="preserve"> </w:t>
      </w:r>
      <w:r w:rsidRPr="00F85D33">
        <w:rPr>
          <w:color w:val="000000"/>
        </w:rPr>
        <w:t>minor amendments across the public sector and to repeal obsolete provisions. It resulted in a Licensing Provisions Amendment Bill 2015 that includes amendments to occupational licensing regulations from three different portfolios, and an Obsolete Legislation Repeal Bill 2015 to repeal legislation that is obsolete or no longer in step with community needs</w:t>
      </w:r>
      <w:r w:rsidRPr="00E86B8F">
        <w:rPr>
          <w:color w:val="000000"/>
        </w:rPr>
        <w:t xml:space="preserve">. </w:t>
      </w:r>
    </w:p>
    <w:p w:rsidR="00F85D33" w:rsidRPr="001D119B" w:rsidRDefault="00F85D33" w:rsidP="00A17B10">
      <w:pPr>
        <w:pStyle w:val="BodyText"/>
      </w:pPr>
    </w:p>
    <w:p w:rsidR="00F85D33" w:rsidRDefault="00F85D33" w:rsidP="001D119B">
      <w:pPr>
        <w:pStyle w:val="BodyText"/>
        <w:rPr>
          <w:rFonts w:cs="Times New Roman"/>
          <w:b/>
          <w:bCs/>
          <w:spacing w:val="-1"/>
          <w:sz w:val="40"/>
          <w:szCs w:val="26"/>
          <w:lang w:eastAsia="en-US"/>
        </w:rPr>
      </w:pPr>
      <w:bookmarkStart w:id="5" w:name="bookmark2"/>
      <w:bookmarkEnd w:id="5"/>
      <w:r w:rsidRPr="00F85D33">
        <w:rPr>
          <w:rFonts w:cs="Times New Roman"/>
          <w:b/>
          <w:bCs/>
          <w:spacing w:val="-1"/>
          <w:sz w:val="40"/>
          <w:szCs w:val="26"/>
          <w:lang w:eastAsia="en-US"/>
        </w:rPr>
        <w:t>Quality services</w:t>
      </w:r>
    </w:p>
    <w:p w:rsidR="001D119B" w:rsidRPr="00C621ED" w:rsidRDefault="00F85D33" w:rsidP="001D119B">
      <w:pPr>
        <w:pStyle w:val="BodyText"/>
        <w:rPr>
          <w:b/>
        </w:rPr>
      </w:pPr>
      <w:r w:rsidRPr="00F85D33">
        <w:rPr>
          <w:b/>
        </w:rPr>
        <w:t>The Department of Finance is dedicated to providing high quality services and advice to deliver enhanced stakeholder value</w:t>
      </w:r>
      <w:r w:rsidR="001D119B" w:rsidRPr="00C621ED">
        <w:rPr>
          <w:b/>
        </w:rPr>
        <w:t>.</w:t>
      </w:r>
    </w:p>
    <w:p w:rsidR="00E263DC" w:rsidRDefault="00F85D33" w:rsidP="00F85D33">
      <w:pPr>
        <w:pStyle w:val="BodyText"/>
        <w:rPr>
          <w:color w:val="000000"/>
        </w:rPr>
      </w:pPr>
      <w:r w:rsidRPr="00F85D33">
        <w:rPr>
          <w:color w:val="000000"/>
        </w:rPr>
        <w:t>Through appreciating and enabling our staff, employees are empowered to constantly seek to improve the way we operate, realising tangible efficiencies in the operation of government.</w:t>
      </w:r>
    </w:p>
    <w:p w:rsidR="00F85D33" w:rsidRPr="00F85D33" w:rsidRDefault="00F85D33" w:rsidP="00F85D33">
      <w:pPr>
        <w:pStyle w:val="BodyText"/>
        <w:rPr>
          <w:color w:val="000000"/>
        </w:rPr>
      </w:pPr>
      <w:r w:rsidRPr="00F85D33">
        <w:rPr>
          <w:b/>
          <w:color w:val="000000"/>
        </w:rPr>
        <w:t>Economic Reform’s</w:t>
      </w:r>
      <w:r w:rsidRPr="00F85D33">
        <w:rPr>
          <w:color w:val="000000"/>
        </w:rPr>
        <w:t xml:space="preserve"> regulatory reform team seeks to improve regulatory outcomes and reduce regulatory barriers to entrepreneurial activity and enhanced productivity, supporting employment and encouraging investment. This work includes removing unnecessary regulation and red tape, and ensuring both existing and new regulation delivers the best possible outcome for the community at the lowest possible cost.</w:t>
      </w:r>
    </w:p>
    <w:p w:rsidR="00F85D33" w:rsidRPr="00F85D33" w:rsidRDefault="00F85D33" w:rsidP="00F85D33">
      <w:pPr>
        <w:pStyle w:val="BodyText"/>
        <w:rPr>
          <w:color w:val="000000"/>
        </w:rPr>
      </w:pPr>
      <w:r w:rsidRPr="00F85D33">
        <w:rPr>
          <w:color w:val="000000"/>
        </w:rPr>
        <w:t>Improving existing regulation is an integral part of the Government's Plan to Reinvigorate Regulatory Reform, and reflects the need for a robust, yet flexible regulatory framework to respond to the rapidly changing dynamics within and across industries. Economic Reform helps drive best regulatory practice across the public sector and is a valuable source of economic advice to government on complex reforms.</w:t>
      </w:r>
    </w:p>
    <w:p w:rsidR="00F85D33" w:rsidRPr="00F85D33" w:rsidRDefault="00F85D33" w:rsidP="00F85D33">
      <w:pPr>
        <w:pStyle w:val="BodyText"/>
        <w:rPr>
          <w:color w:val="000000"/>
        </w:rPr>
      </w:pPr>
      <w:r w:rsidRPr="00F85D33">
        <w:rPr>
          <w:color w:val="000000"/>
        </w:rPr>
        <w:t>This year, Economic Reform’s expertise has been called upon by the Department of Transport to</w:t>
      </w:r>
      <w:r>
        <w:rPr>
          <w:color w:val="000000"/>
        </w:rPr>
        <w:t xml:space="preserve"> </w:t>
      </w:r>
      <w:r w:rsidRPr="00F85D33">
        <w:rPr>
          <w:color w:val="000000"/>
        </w:rPr>
        <w:t>provide advice regarding reform to the on-demand transport sector. This advice supported a more outcomes-focused regulatory environment to encourage competition and innovation, facilitating consumer choice. Support has also been provided to the Department of Agriculture and Food in relation to potato industry reforms, with an aim to modernise the market and provide growers with greater flexibility in what, when and how much they grow.</w:t>
      </w:r>
    </w:p>
    <w:p w:rsidR="00F85D33" w:rsidRPr="00F85D33" w:rsidRDefault="00F85D33" w:rsidP="0030217F">
      <w:pPr>
        <w:pStyle w:val="BodyText"/>
        <w:keepLines/>
        <w:rPr>
          <w:color w:val="000000"/>
        </w:rPr>
      </w:pPr>
      <w:r w:rsidRPr="00F85D33">
        <w:rPr>
          <w:color w:val="000000"/>
        </w:rPr>
        <w:lastRenderedPageBreak/>
        <w:t>Assistance is also being provided to agencies on issues such as competition policy, heavy vehicle road pricing, port pricing and ‘new economy’ business models. This assistance complements the activities of the Regulatory Gatekeeping Unit within Economic Reform, which works with agencies to develop new regulations that reflect best practice and provide a net benefit to the community.</w:t>
      </w:r>
    </w:p>
    <w:p w:rsidR="00F85D33" w:rsidRPr="00F85D33" w:rsidRDefault="00F85D33" w:rsidP="00F85D33">
      <w:pPr>
        <w:pStyle w:val="BodyText"/>
        <w:rPr>
          <w:color w:val="000000"/>
        </w:rPr>
      </w:pPr>
      <w:r w:rsidRPr="00F85D33">
        <w:rPr>
          <w:b/>
          <w:color w:val="000000"/>
        </w:rPr>
        <w:t>State Revenue</w:t>
      </w:r>
      <w:r w:rsidRPr="00F85D33">
        <w:rPr>
          <w:color w:val="000000"/>
        </w:rPr>
        <w:t xml:space="preserve"> is committed to administering the State's revenue laws and grant and subsidy schemes in the most fair and efficient manner for the community. This year, State Revenue took the opportunity to implement a comprehensive stakeholder </w:t>
      </w:r>
      <w:r>
        <w:rPr>
          <w:color w:val="000000"/>
        </w:rPr>
        <w:t xml:space="preserve">engagement strategy to </w:t>
      </w:r>
      <w:r w:rsidRPr="00F85D33">
        <w:rPr>
          <w:color w:val="000000"/>
        </w:rPr>
        <w:t>communicate changes to the first home owner grant.</w:t>
      </w:r>
    </w:p>
    <w:p w:rsidR="00F85D33" w:rsidRPr="00F85D33" w:rsidRDefault="00F85D33" w:rsidP="00F85D33">
      <w:pPr>
        <w:pStyle w:val="BodyText"/>
        <w:rPr>
          <w:color w:val="000000"/>
        </w:rPr>
      </w:pPr>
      <w:r w:rsidRPr="00F85D33">
        <w:rPr>
          <w:color w:val="000000"/>
        </w:rPr>
        <w:t xml:space="preserve">Proactively, State Revenue engaged all stakeholder groups in the lead up to the change taking effect on 2 October 2015. This included liaising with financial institutions, settlement agents and finance brokers to ensure they were aware of the change, and communicating the correct advice regarding accessing the duties concession to first home owners seeking finance prior to buying their first home. The Department of Finance website maintained up-to-date commentary on the expected commencement dates on its homepage, with a link to more detailed information, ensuring all customer touchpoints for first home owners reflected the legislative changes, including guides, application forms and fact sheets. </w:t>
      </w:r>
    </w:p>
    <w:p w:rsidR="001D119B" w:rsidRPr="00F85D33" w:rsidRDefault="00F85D33" w:rsidP="00F85D33">
      <w:pPr>
        <w:pStyle w:val="BodyText"/>
        <w:rPr>
          <w:color w:val="000000"/>
        </w:rPr>
      </w:pPr>
      <w:r w:rsidRPr="00F85D33">
        <w:rPr>
          <w:color w:val="000000"/>
        </w:rPr>
        <w:t>These strategies enabled the legislative change to be implemented smoothly for all parties, including purchasers of established properties who remained eligible for the first home owner duty concession</w:t>
      </w:r>
      <w:r w:rsidR="001D119B" w:rsidRPr="00F85D33">
        <w:rPr>
          <w:color w:val="000000"/>
        </w:rPr>
        <w:t>.</w:t>
      </w:r>
    </w:p>
    <w:p w:rsidR="00F85D33" w:rsidRDefault="00F85D33" w:rsidP="001D119B">
      <w:pPr>
        <w:pStyle w:val="BodyText"/>
        <w:rPr>
          <w:rFonts w:cs="Times New Roman"/>
          <w:b/>
          <w:bCs/>
          <w:sz w:val="28"/>
          <w:szCs w:val="26"/>
          <w:lang w:eastAsia="en-US"/>
        </w:rPr>
      </w:pPr>
      <w:r w:rsidRPr="00F85D33">
        <w:rPr>
          <w:rFonts w:cs="Times New Roman"/>
          <w:b/>
          <w:bCs/>
          <w:sz w:val="28"/>
          <w:szCs w:val="26"/>
          <w:lang w:eastAsia="en-US"/>
        </w:rPr>
        <w:t>Improving the way Government purchases goods and services and maximising value</w:t>
      </w:r>
    </w:p>
    <w:p w:rsidR="00F85D33" w:rsidRPr="00F85D33" w:rsidRDefault="00F85D33" w:rsidP="00D90179">
      <w:pPr>
        <w:autoSpaceDE w:val="0"/>
        <w:autoSpaceDN w:val="0"/>
        <w:adjustRightInd w:val="0"/>
        <w:spacing w:before="141" w:after="0" w:line="240" w:lineRule="auto"/>
        <w:rPr>
          <w:rFonts w:ascii="Arial" w:eastAsia="Times New Roman" w:hAnsi="Arial" w:cs="Arial"/>
          <w:color w:val="000000"/>
          <w:sz w:val="24"/>
          <w:szCs w:val="24"/>
          <w:lang w:eastAsia="en-AU"/>
        </w:rPr>
      </w:pPr>
      <w:r w:rsidRPr="00F85D33">
        <w:rPr>
          <w:rFonts w:ascii="Arial" w:eastAsia="Times New Roman" w:hAnsi="Arial" w:cs="Arial"/>
          <w:color w:val="000000"/>
          <w:sz w:val="24"/>
          <w:szCs w:val="24"/>
          <w:lang w:eastAsia="en-AU"/>
        </w:rPr>
        <w:t xml:space="preserve">Over the year, </w:t>
      </w:r>
      <w:r w:rsidRPr="00D90179">
        <w:rPr>
          <w:rFonts w:ascii="Arial" w:eastAsia="Times New Roman" w:hAnsi="Arial" w:cs="Arial"/>
          <w:b/>
          <w:color w:val="000000"/>
          <w:sz w:val="24"/>
          <w:szCs w:val="24"/>
          <w:lang w:eastAsia="en-AU"/>
        </w:rPr>
        <w:t>Government Procurement</w:t>
      </w:r>
      <w:r w:rsidRPr="00F85D33">
        <w:rPr>
          <w:rFonts w:ascii="Arial" w:eastAsia="Times New Roman" w:hAnsi="Arial" w:cs="Arial"/>
          <w:color w:val="000000"/>
          <w:sz w:val="24"/>
          <w:szCs w:val="24"/>
          <w:lang w:eastAsia="en-AU"/>
        </w:rPr>
        <w:t xml:space="preserve"> has created a reform agenda to deliver significant savings and drive better value for government. </w:t>
      </w:r>
    </w:p>
    <w:p w:rsidR="00F85D33" w:rsidRPr="00F85D33" w:rsidRDefault="00F85D33" w:rsidP="00D90179">
      <w:pPr>
        <w:autoSpaceDE w:val="0"/>
        <w:autoSpaceDN w:val="0"/>
        <w:adjustRightInd w:val="0"/>
        <w:spacing w:before="141" w:after="0" w:line="240" w:lineRule="auto"/>
        <w:rPr>
          <w:rFonts w:ascii="Arial" w:eastAsia="Times New Roman" w:hAnsi="Arial" w:cs="Arial"/>
          <w:color w:val="000000"/>
          <w:sz w:val="24"/>
          <w:szCs w:val="24"/>
          <w:lang w:eastAsia="en-AU"/>
        </w:rPr>
      </w:pPr>
      <w:r w:rsidRPr="00F85D33">
        <w:rPr>
          <w:rFonts w:ascii="Arial" w:eastAsia="Times New Roman" w:hAnsi="Arial" w:cs="Arial"/>
          <w:color w:val="000000"/>
          <w:sz w:val="24"/>
          <w:szCs w:val="24"/>
          <w:lang w:eastAsia="en-AU"/>
        </w:rPr>
        <w:t xml:space="preserve">Government Procurement’s Transformation Program has delivered cultural change in public sector procurement and promotes the benefits of a whole-of-government approach. </w:t>
      </w:r>
    </w:p>
    <w:p w:rsidR="00F85D33" w:rsidRPr="00F85D33" w:rsidRDefault="00F85D33" w:rsidP="00D90179">
      <w:pPr>
        <w:autoSpaceDE w:val="0"/>
        <w:autoSpaceDN w:val="0"/>
        <w:adjustRightInd w:val="0"/>
        <w:spacing w:before="141" w:after="0" w:line="240" w:lineRule="auto"/>
        <w:rPr>
          <w:rFonts w:ascii="Arial" w:eastAsia="Times New Roman" w:hAnsi="Arial" w:cs="Arial"/>
          <w:color w:val="000000"/>
          <w:sz w:val="24"/>
          <w:szCs w:val="24"/>
          <w:lang w:eastAsia="en-AU"/>
        </w:rPr>
      </w:pPr>
      <w:r w:rsidRPr="00F85D33">
        <w:rPr>
          <w:rFonts w:ascii="Arial" w:eastAsia="Times New Roman" w:hAnsi="Arial" w:cs="Arial"/>
          <w:color w:val="000000"/>
          <w:sz w:val="24"/>
          <w:szCs w:val="24"/>
          <w:lang w:eastAsia="en-AU"/>
        </w:rPr>
        <w:t>By establishing a flexible structure within Government Procurement, resources can be allocated to priority areas for government, focussing particularly on high-risk and high-value procurement. In addition, the changes have clarified the responsibilities of agencies and empowered them to manage low-value, transactional and low-risk procurement, delivering better outcomes at an agency level.</w:t>
      </w:r>
    </w:p>
    <w:p w:rsidR="00F85D33" w:rsidRPr="00F85D33" w:rsidRDefault="00F85D33" w:rsidP="00D90179">
      <w:pPr>
        <w:autoSpaceDE w:val="0"/>
        <w:autoSpaceDN w:val="0"/>
        <w:adjustRightInd w:val="0"/>
        <w:spacing w:before="141" w:after="0" w:line="240" w:lineRule="auto"/>
        <w:rPr>
          <w:rFonts w:ascii="Arial" w:eastAsia="Times New Roman" w:hAnsi="Arial" w:cs="Arial"/>
          <w:color w:val="000000"/>
          <w:sz w:val="24"/>
          <w:szCs w:val="24"/>
          <w:lang w:eastAsia="en-AU"/>
        </w:rPr>
      </w:pPr>
      <w:r w:rsidRPr="00F85D33">
        <w:rPr>
          <w:rFonts w:ascii="Arial" w:eastAsia="Times New Roman" w:hAnsi="Arial" w:cs="Arial"/>
          <w:color w:val="000000"/>
          <w:sz w:val="24"/>
          <w:szCs w:val="24"/>
          <w:lang w:eastAsia="en-AU"/>
        </w:rPr>
        <w:t>This has been achieved through the successful implementation of changes to procurement policy thresholds, which increase agency autonomy in the procurement of goods up to the value of $250,000. Government Procurement has also simplified and integrated procurement processes, removed duplication, and enabled the greater use of technology and data, resulting in further savings.</w:t>
      </w:r>
    </w:p>
    <w:p w:rsidR="00F85D33" w:rsidRPr="00F85D33" w:rsidRDefault="00F85D33" w:rsidP="00D90179">
      <w:pPr>
        <w:autoSpaceDE w:val="0"/>
        <w:autoSpaceDN w:val="0"/>
        <w:adjustRightInd w:val="0"/>
        <w:spacing w:before="141" w:after="0" w:line="240" w:lineRule="auto"/>
        <w:rPr>
          <w:rFonts w:ascii="Arial" w:eastAsia="Times New Roman" w:hAnsi="Arial" w:cs="Arial"/>
          <w:color w:val="000000"/>
          <w:sz w:val="24"/>
          <w:szCs w:val="24"/>
          <w:lang w:eastAsia="en-AU"/>
        </w:rPr>
      </w:pPr>
      <w:r w:rsidRPr="00F85D33">
        <w:rPr>
          <w:rFonts w:ascii="Arial" w:eastAsia="Times New Roman" w:hAnsi="Arial" w:cs="Arial"/>
          <w:color w:val="000000"/>
          <w:sz w:val="24"/>
          <w:szCs w:val="24"/>
          <w:lang w:eastAsia="en-AU"/>
        </w:rPr>
        <w:t>To support agencies through the transition to this new approach, Government Procurement developed a suite of tools and resources to help departments build their procurement capability in the quickest, most efficient manner. Agencies now have access to an education and training framework along with a single point of contact to improve their ability to procure services for the community.</w:t>
      </w:r>
    </w:p>
    <w:p w:rsidR="00F85D33" w:rsidRDefault="00F85D33" w:rsidP="00D90179">
      <w:pPr>
        <w:pStyle w:val="Heading2"/>
        <w:spacing w:before="141" w:line="240" w:lineRule="auto"/>
        <w:rPr>
          <w:rFonts w:cs="Arial"/>
          <w:b w:val="0"/>
          <w:bCs w:val="0"/>
          <w:color w:val="000000"/>
          <w:sz w:val="24"/>
          <w:szCs w:val="24"/>
          <w:lang w:eastAsia="en-AU"/>
        </w:rPr>
      </w:pPr>
      <w:r w:rsidRPr="00F85D33">
        <w:rPr>
          <w:rFonts w:cs="Arial"/>
          <w:b w:val="0"/>
          <w:bCs w:val="0"/>
          <w:color w:val="000000"/>
          <w:sz w:val="24"/>
          <w:szCs w:val="24"/>
          <w:lang w:eastAsia="en-AU"/>
        </w:rPr>
        <w:lastRenderedPageBreak/>
        <w:t>The achievement of this significant reform repositions Government Procurement to deliver greater value to the Government, offer improved services and provide better support to agencies. The reform also provides a sound platform to enhance system and data analysis capabilities as Government Procurement progresses towards digital transformation, in line with the DigitalWA strategy.</w:t>
      </w:r>
    </w:p>
    <w:p w:rsidR="0030217F" w:rsidRDefault="0030217F" w:rsidP="00F85D33">
      <w:pPr>
        <w:pStyle w:val="Heading2"/>
        <w:rPr>
          <w:rFonts w:cs="Arial"/>
          <w:b w:val="0"/>
          <w:bCs w:val="0"/>
          <w:color w:val="000000"/>
          <w:sz w:val="24"/>
          <w:szCs w:val="24"/>
          <w:lang w:eastAsia="en-AU"/>
        </w:rPr>
        <w:sectPr w:rsidR="0030217F" w:rsidSect="0030217F">
          <w:pgSz w:w="11906" w:h="16838" w:code="9"/>
          <w:pgMar w:top="1418" w:right="1440" w:bottom="1418" w:left="1440" w:header="0" w:footer="709" w:gutter="0"/>
          <w:cols w:space="708"/>
          <w:docGrid w:linePitch="360"/>
        </w:sectPr>
      </w:pPr>
    </w:p>
    <w:p w:rsidR="007C00E4" w:rsidRDefault="007C00E4" w:rsidP="00F85D33">
      <w:pPr>
        <w:pStyle w:val="Heading2"/>
        <w:rPr>
          <w:color w:val="000000"/>
        </w:rPr>
      </w:pPr>
      <w:bookmarkStart w:id="6" w:name="bookmark3"/>
      <w:bookmarkEnd w:id="6"/>
      <w:r>
        <w:lastRenderedPageBreak/>
        <w:t xml:space="preserve">Building </w:t>
      </w:r>
      <w:r>
        <w:rPr>
          <w:spacing w:val="-2"/>
        </w:rPr>
        <w:t>for</w:t>
      </w:r>
      <w:r>
        <w:t xml:space="preserve"> the </w:t>
      </w:r>
      <w:r>
        <w:rPr>
          <w:spacing w:val="-1"/>
        </w:rPr>
        <w:t>community</w:t>
      </w:r>
    </w:p>
    <w:p w:rsidR="00165B9F" w:rsidRPr="00C621ED" w:rsidRDefault="005E1078" w:rsidP="00165B9F">
      <w:pPr>
        <w:pStyle w:val="BodyText"/>
        <w:rPr>
          <w:b/>
        </w:rPr>
      </w:pPr>
      <w:r w:rsidRPr="005E1078">
        <w:rPr>
          <w:b/>
        </w:rPr>
        <w:t>The Department continues to deliver facilities and services across Western Australia through the provision of physical, social and economic infrastructure</w:t>
      </w:r>
      <w:r w:rsidR="00165B9F" w:rsidRPr="00C621ED">
        <w:rPr>
          <w:b/>
        </w:rPr>
        <w:t>.</w:t>
      </w:r>
    </w:p>
    <w:p w:rsidR="00165B9F" w:rsidRDefault="005E1078" w:rsidP="001A015B">
      <w:pPr>
        <w:pStyle w:val="BodyText"/>
      </w:pPr>
      <w:r w:rsidRPr="005E1078">
        <w:t>This year, Building Management and Works has overseen the on-time, on-budget delivery of four new schools prior to the commencement of the 2016 school year, whose construction provided employment to approximately 1,700 people over the four projects</w:t>
      </w:r>
      <w:r w:rsidR="00165B9F">
        <w:t>.</w:t>
      </w:r>
    </w:p>
    <w:p w:rsidR="005E1078" w:rsidRDefault="005E1078" w:rsidP="001A015B">
      <w:pPr>
        <w:pStyle w:val="BodyText"/>
        <w:numPr>
          <w:ilvl w:val="0"/>
          <w:numId w:val="4"/>
        </w:numPr>
      </w:pPr>
      <w:r>
        <w:t>Alkimos Primary School ($14 million)</w:t>
      </w:r>
    </w:p>
    <w:p w:rsidR="005E1078" w:rsidRDefault="005E1078" w:rsidP="001A015B">
      <w:pPr>
        <w:pStyle w:val="BodyText"/>
        <w:numPr>
          <w:ilvl w:val="0"/>
          <w:numId w:val="4"/>
        </w:numPr>
      </w:pPr>
      <w:r>
        <w:t>Anne Hamersley Primary School ($15.8 million)</w:t>
      </w:r>
    </w:p>
    <w:p w:rsidR="005E1078" w:rsidRDefault="005E1078" w:rsidP="001A015B">
      <w:pPr>
        <w:pStyle w:val="BodyText"/>
        <w:numPr>
          <w:ilvl w:val="0"/>
          <w:numId w:val="4"/>
        </w:numPr>
      </w:pPr>
      <w:r>
        <w:t>Harrisdale Primary School ($15.2 million)</w:t>
      </w:r>
    </w:p>
    <w:p w:rsidR="00165B9F" w:rsidRDefault="005E1078" w:rsidP="001A015B">
      <w:pPr>
        <w:pStyle w:val="BodyText"/>
        <w:numPr>
          <w:ilvl w:val="0"/>
          <w:numId w:val="4"/>
        </w:numPr>
      </w:pPr>
      <w:r>
        <w:t>Rivergums Primary School ($19.7 million)</w:t>
      </w:r>
    </w:p>
    <w:p w:rsidR="005E1078" w:rsidRDefault="005E1078" w:rsidP="001A015B">
      <w:pPr>
        <w:pStyle w:val="BodyText"/>
      </w:pPr>
      <w:r>
        <w:t xml:space="preserve">Each of these new schools can accommodate up to 430 students from kindergarten to year six, with both Anne Hamersley and Harrisdale Primary Schools also including dental therapy centres. These four schools represent approximately 20 per cent of the projects delivered by Building Management and Works this financial year. </w:t>
      </w:r>
    </w:p>
    <w:p w:rsidR="005E1078" w:rsidRDefault="005E1078" w:rsidP="001A015B">
      <w:pPr>
        <w:pStyle w:val="BodyText"/>
      </w:pPr>
      <w:r>
        <w:t>In collaboration with the Western Australia Country Health Service, Building Management and Works continues to deliver a $300 million capital works program. This will improve hospital infrastructure in 37 towns across the Wheatbelt, Great Southern, Mid West and South West. Funded by the Royalties for Regions program, Finance’s involvement in the Southern Inland Health Initiative will see upgrades to 26 small hospitals and nursing posts across inland towns, as well as the development of a brand new hospital in Manjimup.</w:t>
      </w:r>
    </w:p>
    <w:p w:rsidR="005E1078" w:rsidRDefault="005E1078" w:rsidP="001A015B">
      <w:pPr>
        <w:pStyle w:val="BodyText"/>
      </w:pPr>
      <w:r>
        <w:t>Redevelopment of five district hospitals in Collie, Katanning, Merredin, Narrogin and Northam has seen improvements including new integrated primary health centres, expanded and refurbished emergency departments and upgraded treatment, surgical, waiting and administrative areas. Work on this project will continue into next year. Building Management and Works continues to chair the inter-agency Sunset Transformation Committee, charged with overseeing the transformation of the former Sunset Hospital site in Dalkeith, into the Sunset Heritage Precinct for arts, cultural, community and ancillary commercial purposes.</w:t>
      </w:r>
    </w:p>
    <w:p w:rsidR="005E1078" w:rsidRDefault="005E1078" w:rsidP="001A015B">
      <w:pPr>
        <w:pStyle w:val="BodyText"/>
      </w:pPr>
      <w:r>
        <w:t>This year, funds from the sale of land in Iris Avenue Dalkeith, enabled the initiation of the Phase One Works Program, to enhance and renew the site. Services infrastructure (water, sewerage and power) is being replaced within the site, and landscaping to the Padbury View and eastern parkland has commenced. Opportunities to undertake some building preservation work continue to be explored. Phase One work is expected to be completed in late 2016 when part of the site and grounds will be opened to the public.</w:t>
      </w:r>
    </w:p>
    <w:p w:rsidR="005E1078" w:rsidRDefault="005E1078" w:rsidP="001A015B">
      <w:pPr>
        <w:pStyle w:val="BodyText"/>
      </w:pPr>
      <w:r>
        <w:t>While it will take a number of years to fully transform the site into the Sunset Heritage Precinct, these initial works demonstrate the Government’s commitment towards the conservation of this unique asset for the future use and benefit of the wider community.</w:t>
      </w:r>
    </w:p>
    <w:p w:rsidR="005E1078" w:rsidRDefault="005E1078" w:rsidP="001A015B">
      <w:pPr>
        <w:pStyle w:val="BodyText"/>
      </w:pPr>
    </w:p>
    <w:p w:rsidR="005E1078" w:rsidRDefault="005E1078" w:rsidP="001A015B">
      <w:pPr>
        <w:pStyle w:val="BodyText"/>
      </w:pPr>
      <w:r>
        <w:t xml:space="preserve">The Government is committed to reducing unnecessary regulatory burdens and red tape for business. In May 2016, it was announced that </w:t>
      </w:r>
      <w:r w:rsidRPr="005E1078">
        <w:rPr>
          <w:b/>
        </w:rPr>
        <w:t>Economic Reform</w:t>
      </w:r>
      <w:r>
        <w:t xml:space="preserve"> will be initiating 90-day regulatory mapping projects in collaboration with the Small Business Development Corporation.</w:t>
      </w:r>
    </w:p>
    <w:p w:rsidR="005E1078" w:rsidRDefault="005E1078" w:rsidP="001A015B">
      <w:pPr>
        <w:pStyle w:val="BodyText"/>
      </w:pPr>
      <w:r>
        <w:t>These projects will seek to identify unnecessarily complex and burdensome regulatory requirements, and following a 90-day review, offer practical and implementable recommendations for improvement. The aim of these mapping projects is to simplify regulatory arrangements, save time, reduce complexity and make life easier for Western Australian businesses.</w:t>
      </w:r>
    </w:p>
    <w:p w:rsidR="005E1078" w:rsidRDefault="005E1078" w:rsidP="001A015B">
      <w:pPr>
        <w:pStyle w:val="BodyText"/>
      </w:pPr>
      <w:r>
        <w:t>This initiative is a result of successfully mapping the regulatory process to start up a restaurant, where practical, tangible recommendations are now being implemented. Another project, mapping how to build a single dwelling home in Western Australia is also underway. Projects in the next financial year include mapping processes for investing in an aquaculture business, and starting an eco-tourism business.</w:t>
      </w:r>
    </w:p>
    <w:p w:rsidR="00165B9F" w:rsidRDefault="005E1078" w:rsidP="001A015B">
      <w:pPr>
        <w:pStyle w:val="BodyText"/>
      </w:pPr>
      <w:r>
        <w:t xml:space="preserve">During the financial year, the State Underground Power Program, one of the State’s most successful energy policy initiatives, continued to deliver projects to place overhead power lines underground. Since its commencement in 2008, the Program has delivered underground power to over 86,000 properties, increasing reliability of the supply of electricity services to Western Australians. In response to recommendations from the Public Utilities Office, in November 2015 the Minister for Energy announced changes to the process for the selection and funding of projects under the Program. The new arrangements will enable communities to have a greater say in the selection of underground projects. They will also enable a greater number of underground projects to be delivered within the existing State Government budget. In December 2015, the Minister for Energy launched a new funding round (Round Six) of the Program and local governments were invited to submit project proposals </w:t>
      </w:r>
      <w:r w:rsidR="00D7575B">
        <w:t xml:space="preserve">under the revised arrangements. </w:t>
      </w:r>
      <w:r>
        <w:t>Successful projects are expected to be announced at the end of 2016</w:t>
      </w:r>
      <w:r w:rsidR="004456B0">
        <w:t>.</w:t>
      </w:r>
    </w:p>
    <w:p w:rsidR="00D7575B" w:rsidRDefault="00D7575B" w:rsidP="001A015B">
      <w:pPr>
        <w:pStyle w:val="BodyText"/>
        <w:rPr>
          <w:rFonts w:cs="Times New Roman"/>
          <w:b/>
          <w:bCs/>
          <w:sz w:val="28"/>
          <w:szCs w:val="26"/>
          <w:lang w:eastAsia="en-US"/>
        </w:rPr>
      </w:pPr>
      <w:r w:rsidRPr="00D7575B">
        <w:rPr>
          <w:rFonts w:cs="Times New Roman"/>
          <w:b/>
          <w:bCs/>
          <w:sz w:val="28"/>
          <w:szCs w:val="26"/>
          <w:lang w:eastAsia="en-US"/>
        </w:rPr>
        <w:t>Cathedral Square’s Tower named the David Malcolm Justice Centre</w:t>
      </w:r>
    </w:p>
    <w:p w:rsidR="00D7575B" w:rsidRDefault="00D7575B" w:rsidP="001A015B">
      <w:pPr>
        <w:pStyle w:val="BodyText"/>
      </w:pPr>
      <w:r w:rsidRPr="00D7575B">
        <w:t>Perth’s civic heart is beating again with the revitalisation of the historic Cathedral Square</w:t>
      </w:r>
      <w:r>
        <w:t xml:space="preserve"> </w:t>
      </w:r>
      <w:r w:rsidRPr="00D7575B">
        <w:t>Precinct. The heritage listed site, on which the Swan River Colony was founded in 1829,</w:t>
      </w:r>
      <w:r>
        <w:t xml:space="preserve"> </w:t>
      </w:r>
      <w:r w:rsidRPr="00D7575B">
        <w:t>comprises the former government buildings known locally as the Old Treasury Buildings, and has been revitalised as a result of the partnership and vision of the State Government, the City of Perth, FJM Property, Mirvac, the Public Trustee and the Perth Anglican Diocese.</w:t>
      </w:r>
    </w:p>
    <w:p w:rsidR="00D7575B" w:rsidRDefault="00D7575B" w:rsidP="001A015B">
      <w:pPr>
        <w:pStyle w:val="BodyText"/>
      </w:pPr>
      <w:r w:rsidRPr="00D7575B">
        <w:t>The David Malcolm Justice Centre is the centrepiece of the Cathedral Square redevelopment, and was aptly named in honour of the late former Chief Justice on 11 March 2016. In collaboration with the Department of Treasury's Strategic Projects and Asset Sales, Building Management and Works has delivered the building’s biggest</w:t>
      </w:r>
      <w:r>
        <w:t xml:space="preserve"> </w:t>
      </w:r>
      <w:r w:rsidRPr="00D7575B">
        <w:t>fitout within a single State Government project, incorporating the latest communications and security technology.</w:t>
      </w:r>
    </w:p>
    <w:p w:rsidR="00D7575B" w:rsidRPr="00D7575B" w:rsidRDefault="00D7575B" w:rsidP="001A015B">
      <w:pPr>
        <w:pStyle w:val="BodyText"/>
      </w:pPr>
      <w:r w:rsidRPr="00D7575B">
        <w:t xml:space="preserve">The 33-storey tower will house 30,000 square metres of office space including new judicial chambers and facilities for the civil arm of the WA Supreme Court, as well as offices for the Departments of the Attorney General and Treasury. It is expected staff will move into the state-of-the-art building by July 2016. </w:t>
      </w:r>
    </w:p>
    <w:p w:rsidR="00D7575B" w:rsidRPr="00D7575B" w:rsidRDefault="00D7575B" w:rsidP="001A015B">
      <w:pPr>
        <w:pStyle w:val="Heading2"/>
        <w:spacing w:before="141" w:line="240" w:lineRule="auto"/>
        <w:rPr>
          <w:rFonts w:cs="Arial"/>
          <w:b w:val="0"/>
          <w:bCs w:val="0"/>
          <w:sz w:val="24"/>
          <w:szCs w:val="24"/>
          <w:lang w:eastAsia="en-AU"/>
        </w:rPr>
      </w:pPr>
    </w:p>
    <w:p w:rsidR="007114E8" w:rsidRDefault="00D7575B" w:rsidP="001A015B">
      <w:pPr>
        <w:pStyle w:val="Heading2"/>
        <w:spacing w:before="141" w:line="240" w:lineRule="auto"/>
        <w:rPr>
          <w:color w:val="000000"/>
        </w:rPr>
      </w:pPr>
      <w:r w:rsidRPr="00D7575B">
        <w:rPr>
          <w:rFonts w:cs="Arial"/>
          <w:b w:val="0"/>
          <w:bCs w:val="0"/>
          <w:sz w:val="24"/>
          <w:szCs w:val="24"/>
          <w:lang w:eastAsia="en-AU"/>
        </w:rPr>
        <w:t>The State Administrative Tribunal building is another important part of the Cathedral Square fitout project that was completed in July 2015. Facilities including new hearing and mediation rooms feature the latest audio-visual technology, allowing for matters from regional areas to be heard without the people involved having to travel long distances to Perth</w:t>
      </w:r>
      <w:r w:rsidR="007114E8">
        <w:br w:type="page"/>
      </w:r>
      <w:bookmarkStart w:id="7" w:name="bookmark4"/>
      <w:bookmarkEnd w:id="7"/>
      <w:r w:rsidR="00165B9F">
        <w:lastRenderedPageBreak/>
        <w:t>Significant issues and future outlook</w:t>
      </w:r>
    </w:p>
    <w:p w:rsidR="005E7FCF" w:rsidRDefault="005E7FCF" w:rsidP="00165B9F">
      <w:pPr>
        <w:pStyle w:val="BodyText"/>
        <w:rPr>
          <w:rFonts w:cs="Times New Roman"/>
          <w:b/>
          <w:bCs/>
          <w:sz w:val="28"/>
          <w:szCs w:val="26"/>
          <w:lang w:eastAsia="en-US"/>
        </w:rPr>
      </w:pPr>
      <w:r w:rsidRPr="005E7FCF">
        <w:rPr>
          <w:rFonts w:cs="Times New Roman"/>
          <w:b/>
          <w:bCs/>
          <w:sz w:val="28"/>
          <w:szCs w:val="26"/>
          <w:lang w:eastAsia="en-US"/>
        </w:rPr>
        <w:t>Taking an innovative approach across government</w:t>
      </w:r>
    </w:p>
    <w:p w:rsidR="005E7FCF" w:rsidRDefault="005E7FCF" w:rsidP="005E7FCF">
      <w:pPr>
        <w:pStyle w:val="BodyText"/>
      </w:pPr>
      <w:r>
        <w:t>As technology rapidly advances and customer expectations evolve, the Department of Finance has the opportunity to drive innovative ideas on the way government provides public services, in a cost constrained environment. This initiative aligns with the Government’s challenge in reducing expenditure and containing State debt during a period of economic transition.</w:t>
      </w:r>
    </w:p>
    <w:p w:rsidR="005E7FCF" w:rsidRDefault="005E7FCF" w:rsidP="005E7FCF">
      <w:pPr>
        <w:pStyle w:val="BodyText"/>
      </w:pPr>
      <w:r>
        <w:t xml:space="preserve">The Department is strongly positioned as a central agency to help the Government address these challenges and assist other agencies to deliver even greater value to the public by enhancing the efficiency and effectiveness of government operations. Having this year successfully transformed </w:t>
      </w:r>
      <w:r w:rsidRPr="005E7FCF">
        <w:rPr>
          <w:b/>
        </w:rPr>
        <w:t>Government Procurement’s</w:t>
      </w:r>
      <w:r>
        <w:t xml:space="preserve"> operations, and delivered considerable savings as one of the first departments to review its agency expenditure, the Department is well placed to lead the provision of such advice across government.</w:t>
      </w:r>
    </w:p>
    <w:p w:rsidR="005E7FCF" w:rsidRDefault="005E7FCF" w:rsidP="005E7FCF">
      <w:pPr>
        <w:pStyle w:val="BodyText"/>
      </w:pPr>
      <w:r>
        <w:t xml:space="preserve">The Department's culture of challenging the status quo in the delivery of its services can be demonstrated in the way </w:t>
      </w:r>
      <w:r w:rsidRPr="005E7FCF">
        <w:rPr>
          <w:b/>
        </w:rPr>
        <w:t>Building Management and Works</w:t>
      </w:r>
      <w:r>
        <w:t xml:space="preserve"> continues to refine its business processes to improve security of payment, including further trial and evaluation of Project Bank Accounts. Project Bank Accounts are designed to ensure money flows through to subcontractors working on medium-sized government construction projects.</w:t>
      </w:r>
    </w:p>
    <w:p w:rsidR="005E7FCF" w:rsidRDefault="005E7FCF" w:rsidP="005E7FCF">
      <w:pPr>
        <w:pStyle w:val="BodyText"/>
      </w:pPr>
      <w:r>
        <w:t>This approach in thinking differently to achieve innovative outcomes is also reflected in the government office accommodation portfolio. Office fitout projects seek to leverage modern office designs to maximise collaboration, productivity and innovation in a team environment. Property performance benchmarking underway across government office buildings is an example of another way the Department is thinking differently about how government approaches asset management, with an eye to extracting the maximum value whilst preparing the way for a modern public service.</w:t>
      </w:r>
    </w:p>
    <w:p w:rsidR="005E7FCF" w:rsidRDefault="005E7FCF" w:rsidP="005E7FCF">
      <w:pPr>
        <w:pStyle w:val="BodyText"/>
      </w:pPr>
      <w:r w:rsidRPr="005E7FCF">
        <w:rPr>
          <w:b/>
        </w:rPr>
        <w:t>State Revenue</w:t>
      </w:r>
      <w:r>
        <w:t xml:space="preserve"> has set the benchmark in its governance and administration of revenue and grant subsidy schemes, whilst continuing to deliver innovative online services and payment options for stakeholders and taxpayers across the State. Progressive enhancements to Revenue Online are set to continue, expanding the existing offering of taxation matters available to be completed online, as well as seeking to improve existing systems that deliver online services.</w:t>
      </w:r>
    </w:p>
    <w:p w:rsidR="00165B9F" w:rsidRDefault="005E7FCF" w:rsidP="005E7FCF">
      <w:pPr>
        <w:pStyle w:val="BodyText"/>
      </w:pPr>
      <w:r>
        <w:t xml:space="preserve">Western Australia is transitioning from a resources based economy </w:t>
      </w:r>
      <w:r w:rsidRPr="005E7FCF">
        <w:rPr>
          <w:b/>
        </w:rPr>
        <w:t>and Economic Reform</w:t>
      </w:r>
      <w:r>
        <w:t xml:space="preserve"> is well placed to support the development of economic growth policies. This includes policies that stimulate investment, encourage competition and productivity improvement, and especially enable resources to be harnessed and allocated across the economy with greater speed and purpose. Such initiatives need to be developed in a collaborative partnership with relevant agencies and industry stakeholders, forming part of a whole-of-government initiative aimed at improving productivity and stimulating growth in the Western Australian economy</w:t>
      </w:r>
      <w:r w:rsidR="00165B9F">
        <w:t>.</w:t>
      </w:r>
    </w:p>
    <w:p w:rsidR="00165B9F" w:rsidRDefault="00165B9F" w:rsidP="00165B9F">
      <w:pPr>
        <w:pStyle w:val="BodyText"/>
      </w:pPr>
    </w:p>
    <w:p w:rsidR="00165B9F" w:rsidRDefault="00165B9F" w:rsidP="00C621ED">
      <w:pPr>
        <w:pStyle w:val="Heading3"/>
      </w:pPr>
      <w:r>
        <w:lastRenderedPageBreak/>
        <w:t>Leading reform</w:t>
      </w:r>
    </w:p>
    <w:p w:rsidR="005E7FCF" w:rsidRDefault="005E7FCF" w:rsidP="005E7FCF">
      <w:pPr>
        <w:pStyle w:val="BodyText"/>
      </w:pPr>
      <w:r>
        <w:t xml:space="preserve">On the utilities front, the </w:t>
      </w:r>
      <w:r w:rsidRPr="005E7FCF">
        <w:rPr>
          <w:b/>
        </w:rPr>
        <w:t>Public Utilities Office</w:t>
      </w:r>
      <w:r>
        <w:t xml:space="preserve"> will continue to lead Phase Two of the Electricity Market Review. The purpose of this reform package is to reduce cost pressures in the supply of electricity services, and facilitate increased opportunities for private sector investment.</w:t>
      </w:r>
    </w:p>
    <w:p w:rsidR="00165B9F" w:rsidRDefault="005E7FCF" w:rsidP="005E7FCF">
      <w:pPr>
        <w:pStyle w:val="BodyText"/>
      </w:pPr>
      <w:r>
        <w:t>Next year, the Electricity Market Review will focus on:</w:t>
      </w:r>
    </w:p>
    <w:p w:rsidR="005E7FCF" w:rsidRDefault="005E7FCF" w:rsidP="00286415">
      <w:pPr>
        <w:pStyle w:val="BodyText"/>
        <w:numPr>
          <w:ilvl w:val="0"/>
          <w:numId w:val="4"/>
        </w:numPr>
      </w:pPr>
      <w:r>
        <w:t>Transferring responsibility for the regulation of Western Power's electricity network to the Australian Energy Regulator.</w:t>
      </w:r>
    </w:p>
    <w:p w:rsidR="005E7FCF" w:rsidRDefault="005E7FCF" w:rsidP="00286415">
      <w:pPr>
        <w:pStyle w:val="BodyText"/>
        <w:numPr>
          <w:ilvl w:val="0"/>
          <w:numId w:val="4"/>
        </w:numPr>
      </w:pPr>
      <w:r>
        <w:t xml:space="preserve">The implementation of reforms to improve the efficiency of the Wholesale Electricity Market operating in the South West of the State. </w:t>
      </w:r>
    </w:p>
    <w:p w:rsidR="005E7FCF" w:rsidRDefault="005E7FCF" w:rsidP="00286415">
      <w:pPr>
        <w:pStyle w:val="BodyText"/>
        <w:numPr>
          <w:ilvl w:val="0"/>
          <w:numId w:val="4"/>
        </w:numPr>
      </w:pPr>
      <w:r>
        <w:t xml:space="preserve">The implementation of enhanced governance and institutional arrangements to apply to Western Australia's electricity sector. </w:t>
      </w:r>
    </w:p>
    <w:p w:rsidR="005E7FCF" w:rsidRDefault="005E7FCF" w:rsidP="00286415">
      <w:pPr>
        <w:pStyle w:val="BodyText"/>
        <w:numPr>
          <w:ilvl w:val="0"/>
          <w:numId w:val="4"/>
        </w:numPr>
      </w:pPr>
      <w:r>
        <w:t>The development of a model for retail market reform that aims to provide consumers with greater choice in their electricity supply services.</w:t>
      </w:r>
    </w:p>
    <w:p w:rsidR="005E7FCF" w:rsidRDefault="005E7FCF" w:rsidP="005E7FCF">
      <w:pPr>
        <w:pStyle w:val="BodyText"/>
      </w:pPr>
      <w:r>
        <w:t>These and other major steps in the process to full retail contestability are complex and difficult for the public to understand. The More Power To You website will continue to play an important role in explaining why reform in Western Australia’s electricity sector is important, and the benefits these policy changes will bring to consumers.</w:t>
      </w:r>
    </w:p>
    <w:p w:rsidR="005E7FCF" w:rsidRDefault="005E7FCF" w:rsidP="005E7FCF">
      <w:pPr>
        <w:pStyle w:val="BodyText"/>
      </w:pPr>
      <w:r w:rsidRPr="005E7FCF">
        <w:rPr>
          <w:b/>
        </w:rPr>
        <w:t>Economic Reform</w:t>
      </w:r>
      <w:r>
        <w:t xml:space="preserve"> will continue to work with agencies to champion the identification and development of opportunities to simplify regulations and reduce red tape across government. The success of the 2015 Repeal Week, from both a legislative and public sector operational perspective, has kick-started a positive virtuous cycle of engagement across government. As a result, Economic Reform along with the Small Business Development Corporation, has been awarded funding to undertake 90-Day Regulatory mapping projects over the next three years. These projects will target red tape reduction opportunities across various industries and make it easier for small business to flourish in Western Australia.</w:t>
      </w:r>
    </w:p>
    <w:p w:rsidR="005E7FCF" w:rsidRDefault="005E7FCF" w:rsidP="005E7FCF">
      <w:pPr>
        <w:pStyle w:val="BodyText"/>
      </w:pPr>
      <w:r>
        <w:t>Commencing on 1 July 2016, the initial project will map regulatory arrangements in the aquaculture industry. The second project, planned to start in August 2016, will review the regulatory arrangements impacting eco-tourism businesses. With each project investigation lasting 90 days, a strong focus on identifying priority red tape burdens and implementable recommendations will ensure tangible benefits for industry participants.</w:t>
      </w:r>
    </w:p>
    <w:p w:rsidR="00165B9F" w:rsidRDefault="005E7FCF" w:rsidP="005E7FCF">
      <w:pPr>
        <w:pStyle w:val="BodyText"/>
      </w:pPr>
      <w:r>
        <w:t>These projects involve significant engagement with key industry and government stakeholders to adequately understand the regulatory requirements and pain points involved in each industry project. Each 90-day project will provide a set of recommendations for government to implement which will make it easier to do business in Western Australia</w:t>
      </w:r>
      <w:r w:rsidR="00165B9F">
        <w:t>.</w:t>
      </w:r>
    </w:p>
    <w:p w:rsidR="004D6EAC" w:rsidRDefault="004D6EAC">
      <w:pPr>
        <w:spacing w:after="0" w:line="240" w:lineRule="auto"/>
        <w:rPr>
          <w:rFonts w:ascii="Arial" w:eastAsia="Times New Roman" w:hAnsi="Arial"/>
          <w:b/>
          <w:bCs/>
          <w:sz w:val="28"/>
          <w:szCs w:val="26"/>
        </w:rPr>
      </w:pPr>
      <w:r>
        <w:br w:type="page"/>
      </w:r>
    </w:p>
    <w:p w:rsidR="00165B9F" w:rsidRDefault="00165B9F" w:rsidP="00165B9F">
      <w:pPr>
        <w:pStyle w:val="Heading3"/>
      </w:pPr>
      <w:r>
        <w:t>Recognising and presenting opportunities</w:t>
      </w:r>
    </w:p>
    <w:p w:rsidR="008A4828" w:rsidRDefault="008A4828" w:rsidP="008A4828">
      <w:pPr>
        <w:pStyle w:val="BodyText"/>
      </w:pPr>
      <w:r>
        <w:t>With a significant portion of the State’s expenditure on non-residential building assets occurring after project delivery, Building Management and Works is examining ways in which greater value can be extracted from recurrent operating costs, such as building maintenance. Work is underway to design an integrated approach to asset management for buildings under the remit of the Department of Finance, as well as a selected list of client agencies. This approach aims to support better evidence-based decision-making across the Government’s building portfolio, a more consistent approach to maintenance planning using richer data around asset condition, and assist government agencies to identify and prioritise required maintenance.</w:t>
      </w:r>
    </w:p>
    <w:p w:rsidR="008A4828" w:rsidRDefault="008A4828" w:rsidP="008A4828">
      <w:pPr>
        <w:pStyle w:val="BodyText"/>
      </w:pPr>
      <w:r>
        <w:t>Government Procurement’s recent reforms to enable greater agency procurement autonomy is in part a response to the changing way in which government buys goods and services. The changes aim to improve agency procurement outcomes and reduce costs across government.</w:t>
      </w:r>
    </w:p>
    <w:p w:rsidR="008A4828" w:rsidRDefault="008A4828" w:rsidP="008A4828">
      <w:pPr>
        <w:pStyle w:val="BodyText"/>
      </w:pPr>
      <w:r>
        <w:t>Streamlined processes and enhanced flexibility based on risk profile will see Government Procurement now focus on high-value, complex and high-risk purchases. This will enable further savings to be realised from a resourcing, contract maintenance and redevelopment perspective.</w:t>
      </w:r>
    </w:p>
    <w:p w:rsidR="002C6F7F" w:rsidRDefault="008A4828" w:rsidP="008A4828">
      <w:pPr>
        <w:pStyle w:val="BodyText"/>
        <w:sectPr w:rsidR="002C6F7F" w:rsidSect="0030217F">
          <w:pgSz w:w="11906" w:h="16838" w:code="9"/>
          <w:pgMar w:top="1418" w:right="1440" w:bottom="1418" w:left="1440" w:header="0" w:footer="709" w:gutter="0"/>
          <w:cols w:space="708"/>
          <w:docGrid w:linePitch="360"/>
        </w:sectPr>
      </w:pPr>
      <w:r>
        <w:t>Last year’s Agency Expenditure Review provided the opport</w:t>
      </w:r>
      <w:r w:rsidR="00844F7B">
        <w:t>unity for all business units to</w:t>
      </w:r>
      <w:r>
        <w:t xml:space="preserve"> undertake a detailed analysis of the way functions are performed and programs are executed, to identify opportunities for savings. State Revenue’s analysis provided a unique insight, highlighting the opportunity to address existing staff workloads and improve the timelines of duties assessments, with the ultimate benefit of enhancing taxation collection on behalf of the State. As a result, a case for a small increase in resources to realise these benefits was endorsed by the Government, with State Revenue now expecting to collect an extra $100 million over the current forward estimates period, calculated from 1 January 2016 to 30 June 2019</w:t>
      </w:r>
      <w:r w:rsidR="00165B9F">
        <w:t>.</w:t>
      </w:r>
    </w:p>
    <w:p w:rsidR="007A7C07" w:rsidRPr="00780B04" w:rsidRDefault="00780B04" w:rsidP="00273795">
      <w:pPr>
        <w:pStyle w:val="BodyText"/>
        <w:spacing w:before="0"/>
        <w:rPr>
          <w:rStyle w:val="Heading2Char"/>
        </w:rPr>
      </w:pPr>
      <w:bookmarkStart w:id="8" w:name="bookmark5"/>
      <w:bookmarkStart w:id="9" w:name="bookmark6"/>
      <w:bookmarkEnd w:id="8"/>
      <w:bookmarkEnd w:id="9"/>
      <w:r w:rsidRPr="00780B04">
        <w:rPr>
          <w:rStyle w:val="Heading2Char"/>
        </w:rPr>
        <w:lastRenderedPageBreak/>
        <w:t xml:space="preserve">Summary of financial performance for </w:t>
      </w:r>
      <w:r w:rsidR="00844F7B">
        <w:rPr>
          <w:rStyle w:val="Heading2Char"/>
        </w:rPr>
        <w:t>2015-16</w:t>
      </w:r>
    </w:p>
    <w:p w:rsidR="00844F7B" w:rsidRPr="00844F7B" w:rsidRDefault="00844F7B" w:rsidP="00F34BB4">
      <w:pPr>
        <w:pStyle w:val="Caption"/>
        <w:keepNext/>
        <w:spacing w:before="141" w:after="0" w:line="240" w:lineRule="auto"/>
        <w:rPr>
          <w:rFonts w:eastAsia="Times New Roman" w:cs="Arial"/>
          <w:b w:val="0"/>
          <w:bCs w:val="0"/>
          <w:szCs w:val="24"/>
          <w:lang w:eastAsia="en-AU"/>
        </w:rPr>
      </w:pPr>
      <w:r w:rsidRPr="00844F7B">
        <w:rPr>
          <w:rFonts w:eastAsia="Times New Roman" w:cs="Arial"/>
          <w:b w:val="0"/>
          <w:bCs w:val="0"/>
          <w:szCs w:val="24"/>
          <w:lang w:eastAsia="en-AU"/>
        </w:rPr>
        <w:t>The Department of Finance 2015-16 gross expense allocation was approximately $1.25 billion, funded largely through the charging of other government departments for building works, maintenance and leasing ($0.86 billion). The other key funding sources are appropriations of $0.18 billion and other revenue sources of $0.21 billion.</w:t>
      </w:r>
    </w:p>
    <w:p w:rsidR="005B2006" w:rsidRDefault="00844F7B" w:rsidP="00F34BB4">
      <w:pPr>
        <w:pStyle w:val="Caption"/>
        <w:keepNext/>
        <w:spacing w:before="141" w:after="0" w:line="240" w:lineRule="auto"/>
        <w:rPr>
          <w:rFonts w:eastAsia="Times New Roman" w:cs="Arial"/>
          <w:b w:val="0"/>
          <w:bCs w:val="0"/>
          <w:szCs w:val="24"/>
          <w:lang w:eastAsia="en-AU"/>
        </w:rPr>
      </w:pPr>
      <w:r w:rsidRPr="00844F7B">
        <w:rPr>
          <w:rFonts w:eastAsia="Times New Roman" w:cs="Arial"/>
          <w:b w:val="0"/>
          <w:bCs w:val="0"/>
          <w:szCs w:val="24"/>
          <w:lang w:eastAsia="en-AU"/>
        </w:rPr>
        <w:t>The $1.20 billion in expenses primarily relates to building works across the whole of gover</w:t>
      </w:r>
      <w:r>
        <w:rPr>
          <w:rFonts w:eastAsia="Times New Roman" w:cs="Arial"/>
          <w:b w:val="0"/>
          <w:bCs w:val="0"/>
          <w:szCs w:val="24"/>
          <w:lang w:eastAsia="en-AU"/>
        </w:rPr>
        <w:t xml:space="preserve">nment ($0.86 billion), employee </w:t>
      </w:r>
      <w:r w:rsidRPr="00844F7B">
        <w:rPr>
          <w:rFonts w:eastAsia="Times New Roman" w:cs="Arial"/>
          <w:b w:val="0"/>
          <w:bCs w:val="0"/>
          <w:szCs w:val="24"/>
          <w:lang w:eastAsia="en-AU"/>
        </w:rPr>
        <w:t>expenses ($0.13 billion) and depreciation ($0.08 billion).</w:t>
      </w:r>
    </w:p>
    <w:p w:rsidR="00780B04" w:rsidRDefault="00196F4C" w:rsidP="00273795">
      <w:pPr>
        <w:pStyle w:val="Caption"/>
        <w:keepNext/>
        <w:spacing w:before="141" w:after="120" w:line="240" w:lineRule="auto"/>
      </w:pPr>
      <w:fldSimple w:instr=" SEQ Table \* ARABIC ">
        <w:r w:rsidR="00D8778B">
          <w:rPr>
            <w:noProof/>
          </w:rPr>
          <w:t>2</w:t>
        </w:r>
      </w:fldSimple>
      <w:r w:rsidR="00780B04">
        <w:t xml:space="preserve"> Financial target: Actual results versus budget targets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512"/>
        <w:gridCol w:w="1512"/>
        <w:gridCol w:w="1512"/>
        <w:gridCol w:w="6946"/>
      </w:tblGrid>
      <w:tr w:rsidR="00780B04" w:rsidRPr="00F27FBD" w:rsidTr="00666088">
        <w:trPr>
          <w:trHeight w:val="718"/>
        </w:trPr>
        <w:tc>
          <w:tcPr>
            <w:tcW w:w="2518" w:type="dxa"/>
            <w:shd w:val="clear" w:color="auto" w:fill="auto"/>
          </w:tcPr>
          <w:p w:rsidR="00780B04" w:rsidRPr="00F27FBD" w:rsidRDefault="00780B04" w:rsidP="00C4392F">
            <w:pPr>
              <w:pStyle w:val="BodyText"/>
              <w:spacing w:before="60" w:after="60"/>
              <w:rPr>
                <w:b/>
                <w:sz w:val="20"/>
                <w:szCs w:val="20"/>
              </w:rPr>
            </w:pPr>
            <w:r w:rsidRPr="00F27FBD">
              <w:rPr>
                <w:b/>
                <w:sz w:val="20"/>
                <w:szCs w:val="20"/>
              </w:rPr>
              <w:t xml:space="preserve">Actual results versus </w:t>
            </w:r>
            <w:r w:rsidR="00844F7B">
              <w:rPr>
                <w:b/>
                <w:sz w:val="20"/>
                <w:szCs w:val="20"/>
              </w:rPr>
              <w:t>estimate</w:t>
            </w:r>
          </w:p>
        </w:tc>
        <w:tc>
          <w:tcPr>
            <w:tcW w:w="1512" w:type="dxa"/>
            <w:shd w:val="clear" w:color="auto" w:fill="auto"/>
          </w:tcPr>
          <w:p w:rsidR="00780B04" w:rsidRPr="00F27FBD" w:rsidRDefault="00780B04" w:rsidP="00C4392F">
            <w:pPr>
              <w:pStyle w:val="BodyText"/>
              <w:spacing w:before="60" w:after="60"/>
              <w:jc w:val="right"/>
              <w:rPr>
                <w:b/>
                <w:sz w:val="20"/>
                <w:szCs w:val="20"/>
              </w:rPr>
            </w:pPr>
            <w:r w:rsidRPr="00F27FBD">
              <w:rPr>
                <w:b/>
                <w:sz w:val="20"/>
                <w:szCs w:val="20"/>
              </w:rPr>
              <w:t xml:space="preserve">Estimate </w:t>
            </w:r>
            <w:r w:rsidRPr="00F27FBD">
              <w:rPr>
                <w:b/>
                <w:sz w:val="20"/>
                <w:szCs w:val="20"/>
                <w:vertAlign w:val="superscript"/>
              </w:rPr>
              <w:t>(a)</w:t>
            </w:r>
          </w:p>
          <w:p w:rsidR="00780B04" w:rsidRPr="00F27FBD" w:rsidRDefault="00780B04" w:rsidP="00C4392F">
            <w:pPr>
              <w:pStyle w:val="BodyText"/>
              <w:spacing w:before="60" w:after="60"/>
              <w:jc w:val="right"/>
              <w:rPr>
                <w:b/>
                <w:sz w:val="20"/>
                <w:szCs w:val="20"/>
              </w:rPr>
            </w:pPr>
            <w:r w:rsidRPr="00F27FBD">
              <w:rPr>
                <w:b/>
                <w:sz w:val="20"/>
                <w:szCs w:val="20"/>
              </w:rPr>
              <w:t>$000</w:t>
            </w:r>
          </w:p>
        </w:tc>
        <w:tc>
          <w:tcPr>
            <w:tcW w:w="1512" w:type="dxa"/>
            <w:shd w:val="clear" w:color="auto" w:fill="auto"/>
          </w:tcPr>
          <w:p w:rsidR="00780B04" w:rsidRPr="00F27FBD" w:rsidRDefault="00780B04" w:rsidP="00C4392F">
            <w:pPr>
              <w:pStyle w:val="BodyText"/>
              <w:spacing w:before="60" w:after="60"/>
              <w:jc w:val="right"/>
              <w:rPr>
                <w:b/>
                <w:sz w:val="20"/>
                <w:szCs w:val="20"/>
              </w:rPr>
            </w:pPr>
            <w:r w:rsidRPr="00F27FBD">
              <w:rPr>
                <w:b/>
                <w:sz w:val="20"/>
                <w:szCs w:val="20"/>
              </w:rPr>
              <w:t>Actual</w:t>
            </w:r>
          </w:p>
          <w:p w:rsidR="00780B04" w:rsidRPr="00F27FBD" w:rsidRDefault="00780B04" w:rsidP="00C4392F">
            <w:pPr>
              <w:pStyle w:val="BodyText"/>
              <w:spacing w:before="60" w:after="60"/>
              <w:jc w:val="right"/>
              <w:rPr>
                <w:b/>
                <w:sz w:val="20"/>
                <w:szCs w:val="20"/>
              </w:rPr>
            </w:pPr>
            <w:r w:rsidRPr="00F27FBD">
              <w:rPr>
                <w:b/>
                <w:sz w:val="20"/>
                <w:szCs w:val="20"/>
              </w:rPr>
              <w:t>$000</w:t>
            </w:r>
          </w:p>
        </w:tc>
        <w:tc>
          <w:tcPr>
            <w:tcW w:w="1512" w:type="dxa"/>
            <w:shd w:val="clear" w:color="auto" w:fill="auto"/>
          </w:tcPr>
          <w:p w:rsidR="00780B04" w:rsidRPr="00F27FBD" w:rsidRDefault="00780B04" w:rsidP="00C4392F">
            <w:pPr>
              <w:pStyle w:val="BodyText"/>
              <w:spacing w:before="60" w:after="60"/>
              <w:jc w:val="right"/>
              <w:rPr>
                <w:b/>
                <w:sz w:val="20"/>
                <w:szCs w:val="20"/>
              </w:rPr>
            </w:pPr>
            <w:r w:rsidRPr="00F27FBD">
              <w:rPr>
                <w:b/>
                <w:sz w:val="20"/>
                <w:szCs w:val="20"/>
              </w:rPr>
              <w:t>Variance</w:t>
            </w:r>
          </w:p>
          <w:p w:rsidR="00780B04" w:rsidRPr="00F27FBD" w:rsidRDefault="00780B04" w:rsidP="00C4392F">
            <w:pPr>
              <w:pStyle w:val="BodyText"/>
              <w:spacing w:before="60" w:after="60"/>
              <w:jc w:val="right"/>
              <w:rPr>
                <w:b/>
                <w:sz w:val="20"/>
                <w:szCs w:val="20"/>
              </w:rPr>
            </w:pPr>
            <w:r w:rsidRPr="00F27FBD">
              <w:rPr>
                <w:b/>
                <w:sz w:val="20"/>
                <w:szCs w:val="20"/>
              </w:rPr>
              <w:t>$000</w:t>
            </w:r>
          </w:p>
        </w:tc>
        <w:tc>
          <w:tcPr>
            <w:tcW w:w="6946" w:type="dxa"/>
            <w:shd w:val="clear" w:color="auto" w:fill="auto"/>
          </w:tcPr>
          <w:p w:rsidR="00780B04" w:rsidRPr="00F27FBD" w:rsidRDefault="00780B04" w:rsidP="00C4392F">
            <w:pPr>
              <w:pStyle w:val="BodyText"/>
              <w:spacing w:before="60" w:after="60"/>
              <w:rPr>
                <w:b/>
                <w:sz w:val="20"/>
                <w:szCs w:val="20"/>
              </w:rPr>
            </w:pPr>
            <w:r w:rsidRPr="00F27FBD">
              <w:rPr>
                <w:b/>
                <w:sz w:val="20"/>
                <w:szCs w:val="20"/>
              </w:rPr>
              <w:t xml:space="preserve">Reason for significant variation between </w:t>
            </w:r>
            <w:r w:rsidR="00844F7B">
              <w:rPr>
                <w:b/>
                <w:sz w:val="20"/>
                <w:szCs w:val="20"/>
              </w:rPr>
              <w:t>actual and estimate</w:t>
            </w:r>
          </w:p>
        </w:tc>
      </w:tr>
      <w:tr w:rsidR="00844F7B" w:rsidRPr="00F27FBD" w:rsidTr="00116EDF">
        <w:trPr>
          <w:trHeight w:val="630"/>
        </w:trPr>
        <w:tc>
          <w:tcPr>
            <w:tcW w:w="2518" w:type="dxa"/>
            <w:shd w:val="clear" w:color="auto" w:fill="auto"/>
          </w:tcPr>
          <w:p w:rsidR="00844F7B" w:rsidRPr="00CB1D17" w:rsidRDefault="00844F7B" w:rsidP="00C4392F">
            <w:pPr>
              <w:autoSpaceDE w:val="0"/>
              <w:autoSpaceDN w:val="0"/>
              <w:adjustRightInd w:val="0"/>
              <w:spacing w:before="60" w:after="60" w:line="240" w:lineRule="auto"/>
              <w:rPr>
                <w:rFonts w:ascii="Arial" w:hAnsi="Arial" w:cs="Arial"/>
                <w:sz w:val="20"/>
                <w:szCs w:val="20"/>
              </w:rPr>
            </w:pPr>
            <w:r w:rsidRPr="00CB1D17">
              <w:rPr>
                <w:rFonts w:ascii="Arial" w:hAnsi="Arial" w:cs="Arial"/>
                <w:sz w:val="20"/>
                <w:szCs w:val="20"/>
              </w:rPr>
              <w:t>Total cost of services (expense limit)</w:t>
            </w:r>
          </w:p>
        </w:tc>
        <w:tc>
          <w:tcPr>
            <w:tcW w:w="1512" w:type="dxa"/>
            <w:shd w:val="clear" w:color="auto" w:fill="auto"/>
          </w:tcPr>
          <w:p w:rsidR="00844F7B" w:rsidRPr="00844F7B" w:rsidRDefault="00844F7B" w:rsidP="00C4392F">
            <w:pPr>
              <w:autoSpaceDE w:val="0"/>
              <w:autoSpaceDN w:val="0"/>
              <w:adjustRightInd w:val="0"/>
              <w:spacing w:before="60" w:after="60" w:line="240" w:lineRule="auto"/>
              <w:jc w:val="right"/>
              <w:rPr>
                <w:rFonts w:ascii="Arial" w:hAnsi="Arial" w:cs="Arial"/>
                <w:sz w:val="20"/>
                <w:szCs w:val="20"/>
              </w:rPr>
            </w:pPr>
            <w:r w:rsidRPr="00844F7B">
              <w:rPr>
                <w:rFonts w:ascii="Arial" w:hAnsi="Arial" w:cs="Arial"/>
                <w:sz w:val="20"/>
                <w:szCs w:val="20"/>
              </w:rPr>
              <w:t>1,212,719</w:t>
            </w:r>
          </w:p>
        </w:tc>
        <w:tc>
          <w:tcPr>
            <w:tcW w:w="1512" w:type="dxa"/>
            <w:shd w:val="clear" w:color="auto" w:fill="auto"/>
          </w:tcPr>
          <w:p w:rsidR="00844F7B" w:rsidRPr="00844F7B" w:rsidRDefault="00844F7B" w:rsidP="00C4392F">
            <w:pPr>
              <w:autoSpaceDE w:val="0"/>
              <w:autoSpaceDN w:val="0"/>
              <w:adjustRightInd w:val="0"/>
              <w:spacing w:before="60" w:after="60" w:line="240" w:lineRule="auto"/>
              <w:jc w:val="right"/>
              <w:rPr>
                <w:rFonts w:ascii="Arial" w:hAnsi="Arial" w:cs="Arial"/>
                <w:sz w:val="20"/>
                <w:szCs w:val="20"/>
              </w:rPr>
            </w:pPr>
            <w:r w:rsidRPr="00844F7B">
              <w:rPr>
                <w:rFonts w:ascii="Arial" w:hAnsi="Arial" w:cs="Arial"/>
                <w:sz w:val="20"/>
                <w:szCs w:val="20"/>
              </w:rPr>
              <w:t>1,196,998</w:t>
            </w:r>
          </w:p>
        </w:tc>
        <w:tc>
          <w:tcPr>
            <w:tcW w:w="1512" w:type="dxa"/>
            <w:shd w:val="clear" w:color="auto" w:fill="auto"/>
          </w:tcPr>
          <w:p w:rsidR="00844F7B" w:rsidRPr="00844F7B" w:rsidRDefault="00844F7B" w:rsidP="00C4392F">
            <w:pPr>
              <w:autoSpaceDE w:val="0"/>
              <w:autoSpaceDN w:val="0"/>
              <w:adjustRightInd w:val="0"/>
              <w:spacing w:before="60" w:after="60" w:line="240" w:lineRule="auto"/>
              <w:jc w:val="right"/>
              <w:rPr>
                <w:rFonts w:ascii="Arial" w:hAnsi="Arial" w:cs="Arial"/>
                <w:sz w:val="20"/>
                <w:szCs w:val="20"/>
              </w:rPr>
            </w:pPr>
            <w:r w:rsidRPr="00844F7B">
              <w:rPr>
                <w:rFonts w:ascii="Arial" w:hAnsi="Arial" w:cs="Arial"/>
                <w:sz w:val="20"/>
                <w:szCs w:val="20"/>
              </w:rPr>
              <w:t>(15,721)</w:t>
            </w:r>
          </w:p>
        </w:tc>
        <w:tc>
          <w:tcPr>
            <w:tcW w:w="6946" w:type="dxa"/>
            <w:shd w:val="clear" w:color="auto" w:fill="auto"/>
          </w:tcPr>
          <w:p w:rsidR="00844F7B" w:rsidRPr="00425671" w:rsidRDefault="00425671" w:rsidP="00C4392F">
            <w:pPr>
              <w:autoSpaceDE w:val="0"/>
              <w:autoSpaceDN w:val="0"/>
              <w:adjustRightInd w:val="0"/>
              <w:spacing w:before="60" w:after="60" w:line="240" w:lineRule="auto"/>
              <w:rPr>
                <w:rFonts w:ascii="Arial" w:hAnsi="Arial" w:cs="Arial"/>
                <w:sz w:val="20"/>
                <w:szCs w:val="20"/>
              </w:rPr>
            </w:pPr>
            <w:r w:rsidRPr="00425671">
              <w:rPr>
                <w:rFonts w:ascii="Arial" w:hAnsi="Arial" w:cs="Arial"/>
                <w:sz w:val="20"/>
                <w:szCs w:val="20"/>
              </w:rPr>
              <w:t xml:space="preserve">Actual expense was below estimate largely due to movements in the </w:t>
            </w:r>
            <w:r w:rsidR="00DE6A82">
              <w:rPr>
                <w:rFonts w:ascii="Arial" w:hAnsi="Arial" w:cs="Arial"/>
                <w:sz w:val="20"/>
                <w:szCs w:val="20"/>
              </w:rPr>
              <w:br/>
            </w:r>
            <w:r w:rsidRPr="00425671">
              <w:rPr>
                <w:rFonts w:ascii="Arial" w:hAnsi="Arial" w:cs="Arial"/>
                <w:sz w:val="20"/>
                <w:szCs w:val="20"/>
              </w:rPr>
              <w:t>whole-of-government capital works program delivered by Building Management and Works on behalf of government agencies.</w:t>
            </w:r>
          </w:p>
        </w:tc>
      </w:tr>
      <w:tr w:rsidR="00844F7B" w:rsidRPr="00F27FBD" w:rsidTr="00116EDF">
        <w:tc>
          <w:tcPr>
            <w:tcW w:w="2518" w:type="dxa"/>
            <w:shd w:val="clear" w:color="auto" w:fill="auto"/>
          </w:tcPr>
          <w:p w:rsidR="00844F7B" w:rsidRPr="00CB1D17" w:rsidRDefault="00844F7B" w:rsidP="00C4392F">
            <w:pPr>
              <w:autoSpaceDE w:val="0"/>
              <w:autoSpaceDN w:val="0"/>
              <w:adjustRightInd w:val="0"/>
              <w:spacing w:before="60" w:after="60" w:line="240" w:lineRule="auto"/>
              <w:rPr>
                <w:rFonts w:ascii="Arial" w:hAnsi="Arial" w:cs="Arial"/>
                <w:sz w:val="20"/>
                <w:szCs w:val="20"/>
              </w:rPr>
            </w:pPr>
            <w:r w:rsidRPr="00CB1D17">
              <w:rPr>
                <w:rFonts w:ascii="Arial" w:hAnsi="Arial" w:cs="Arial"/>
                <w:sz w:val="20"/>
                <w:szCs w:val="20"/>
              </w:rPr>
              <w:t>Net costs of services</w:t>
            </w:r>
          </w:p>
        </w:tc>
        <w:tc>
          <w:tcPr>
            <w:tcW w:w="1512" w:type="dxa"/>
            <w:shd w:val="clear" w:color="auto" w:fill="auto"/>
          </w:tcPr>
          <w:p w:rsidR="00844F7B" w:rsidRPr="00844F7B" w:rsidRDefault="00844F7B" w:rsidP="00C4392F">
            <w:pPr>
              <w:autoSpaceDE w:val="0"/>
              <w:autoSpaceDN w:val="0"/>
              <w:adjustRightInd w:val="0"/>
              <w:spacing w:before="60" w:after="60" w:line="240" w:lineRule="auto"/>
              <w:jc w:val="right"/>
              <w:rPr>
                <w:rFonts w:ascii="Arial" w:hAnsi="Arial" w:cs="Arial"/>
                <w:sz w:val="20"/>
                <w:szCs w:val="20"/>
              </w:rPr>
            </w:pPr>
            <w:r w:rsidRPr="00844F7B">
              <w:rPr>
                <w:rFonts w:ascii="Arial" w:hAnsi="Arial" w:cs="Arial"/>
                <w:sz w:val="20"/>
                <w:szCs w:val="20"/>
              </w:rPr>
              <w:t>220,420</w:t>
            </w:r>
          </w:p>
        </w:tc>
        <w:tc>
          <w:tcPr>
            <w:tcW w:w="1512" w:type="dxa"/>
            <w:shd w:val="clear" w:color="auto" w:fill="auto"/>
          </w:tcPr>
          <w:p w:rsidR="00844F7B" w:rsidRPr="00844F7B" w:rsidRDefault="00844F7B" w:rsidP="00C4392F">
            <w:pPr>
              <w:autoSpaceDE w:val="0"/>
              <w:autoSpaceDN w:val="0"/>
              <w:adjustRightInd w:val="0"/>
              <w:spacing w:before="60" w:after="60" w:line="240" w:lineRule="auto"/>
              <w:jc w:val="right"/>
              <w:rPr>
                <w:rFonts w:ascii="Arial" w:hAnsi="Arial" w:cs="Arial"/>
                <w:sz w:val="20"/>
                <w:szCs w:val="20"/>
              </w:rPr>
            </w:pPr>
            <w:r w:rsidRPr="00844F7B">
              <w:rPr>
                <w:rFonts w:ascii="Arial" w:hAnsi="Arial" w:cs="Arial"/>
                <w:sz w:val="20"/>
                <w:szCs w:val="20"/>
              </w:rPr>
              <w:t>224,068</w:t>
            </w:r>
          </w:p>
        </w:tc>
        <w:tc>
          <w:tcPr>
            <w:tcW w:w="1512" w:type="dxa"/>
            <w:shd w:val="clear" w:color="auto" w:fill="auto"/>
          </w:tcPr>
          <w:p w:rsidR="00844F7B" w:rsidRPr="00844F7B" w:rsidRDefault="00844F7B" w:rsidP="00C4392F">
            <w:pPr>
              <w:autoSpaceDE w:val="0"/>
              <w:autoSpaceDN w:val="0"/>
              <w:adjustRightInd w:val="0"/>
              <w:spacing w:before="60" w:after="60" w:line="240" w:lineRule="auto"/>
              <w:jc w:val="right"/>
              <w:rPr>
                <w:rFonts w:ascii="Arial" w:hAnsi="Arial" w:cs="Arial"/>
                <w:sz w:val="20"/>
                <w:szCs w:val="20"/>
              </w:rPr>
            </w:pPr>
            <w:r w:rsidRPr="00844F7B">
              <w:rPr>
                <w:rFonts w:ascii="Arial" w:hAnsi="Arial" w:cs="Arial"/>
                <w:sz w:val="20"/>
                <w:szCs w:val="20"/>
              </w:rPr>
              <w:t>3,648</w:t>
            </w:r>
          </w:p>
        </w:tc>
        <w:tc>
          <w:tcPr>
            <w:tcW w:w="6946" w:type="dxa"/>
            <w:shd w:val="clear" w:color="auto" w:fill="auto"/>
          </w:tcPr>
          <w:p w:rsidR="00844F7B" w:rsidRPr="00425671" w:rsidRDefault="00425671" w:rsidP="00C4392F">
            <w:pPr>
              <w:autoSpaceDE w:val="0"/>
              <w:autoSpaceDN w:val="0"/>
              <w:adjustRightInd w:val="0"/>
              <w:spacing w:before="60" w:after="60" w:line="240" w:lineRule="auto"/>
              <w:rPr>
                <w:rFonts w:ascii="Arial" w:hAnsi="Arial" w:cs="Arial"/>
                <w:sz w:val="20"/>
                <w:szCs w:val="20"/>
              </w:rPr>
            </w:pPr>
            <w:r w:rsidRPr="00425671">
              <w:rPr>
                <w:rFonts w:ascii="Arial" w:hAnsi="Arial" w:cs="Arial"/>
                <w:sz w:val="20"/>
                <w:szCs w:val="20"/>
              </w:rPr>
              <w:t>Net cost of services exceeded initial estimates due to the additional implementation costs associated with achieving Agency Expenditure Review initiatives ahead of schedule (for example, severance).</w:t>
            </w:r>
          </w:p>
        </w:tc>
      </w:tr>
      <w:tr w:rsidR="00844F7B" w:rsidRPr="00F27FBD" w:rsidTr="00116EDF">
        <w:tc>
          <w:tcPr>
            <w:tcW w:w="2518" w:type="dxa"/>
            <w:shd w:val="clear" w:color="auto" w:fill="auto"/>
          </w:tcPr>
          <w:p w:rsidR="00844F7B" w:rsidRPr="00CB1D17" w:rsidRDefault="00844F7B" w:rsidP="00C4392F">
            <w:pPr>
              <w:autoSpaceDE w:val="0"/>
              <w:autoSpaceDN w:val="0"/>
              <w:adjustRightInd w:val="0"/>
              <w:spacing w:before="60" w:after="60" w:line="240" w:lineRule="auto"/>
              <w:rPr>
                <w:rFonts w:ascii="Arial" w:hAnsi="Arial" w:cs="Arial"/>
                <w:sz w:val="20"/>
                <w:szCs w:val="20"/>
              </w:rPr>
            </w:pPr>
            <w:r w:rsidRPr="00CB1D17">
              <w:rPr>
                <w:rFonts w:ascii="Arial" w:hAnsi="Arial" w:cs="Arial"/>
                <w:sz w:val="20"/>
                <w:szCs w:val="20"/>
              </w:rPr>
              <w:t>Total equity</w:t>
            </w:r>
          </w:p>
        </w:tc>
        <w:tc>
          <w:tcPr>
            <w:tcW w:w="1512" w:type="dxa"/>
            <w:shd w:val="clear" w:color="auto" w:fill="auto"/>
          </w:tcPr>
          <w:p w:rsidR="00844F7B" w:rsidRPr="00844F7B" w:rsidRDefault="00844F7B" w:rsidP="00C4392F">
            <w:pPr>
              <w:autoSpaceDE w:val="0"/>
              <w:autoSpaceDN w:val="0"/>
              <w:adjustRightInd w:val="0"/>
              <w:spacing w:before="60" w:after="60" w:line="240" w:lineRule="auto"/>
              <w:jc w:val="right"/>
              <w:rPr>
                <w:rFonts w:ascii="Arial" w:hAnsi="Arial" w:cs="Arial"/>
                <w:sz w:val="20"/>
                <w:szCs w:val="20"/>
              </w:rPr>
            </w:pPr>
            <w:r w:rsidRPr="00844F7B">
              <w:rPr>
                <w:rFonts w:ascii="Arial" w:hAnsi="Arial" w:cs="Arial"/>
                <w:sz w:val="20"/>
                <w:szCs w:val="20"/>
              </w:rPr>
              <w:t>1,207,617</w:t>
            </w:r>
          </w:p>
        </w:tc>
        <w:tc>
          <w:tcPr>
            <w:tcW w:w="1512" w:type="dxa"/>
            <w:shd w:val="clear" w:color="auto" w:fill="auto"/>
          </w:tcPr>
          <w:p w:rsidR="00844F7B" w:rsidRPr="00844F7B" w:rsidRDefault="00844F7B" w:rsidP="00C4392F">
            <w:pPr>
              <w:autoSpaceDE w:val="0"/>
              <w:autoSpaceDN w:val="0"/>
              <w:adjustRightInd w:val="0"/>
              <w:spacing w:before="60" w:after="60" w:line="240" w:lineRule="auto"/>
              <w:jc w:val="right"/>
              <w:rPr>
                <w:rFonts w:ascii="Arial" w:hAnsi="Arial" w:cs="Arial"/>
                <w:sz w:val="20"/>
                <w:szCs w:val="20"/>
              </w:rPr>
            </w:pPr>
            <w:r w:rsidRPr="00844F7B">
              <w:rPr>
                <w:rFonts w:ascii="Arial" w:hAnsi="Arial" w:cs="Arial"/>
                <w:sz w:val="20"/>
                <w:szCs w:val="20"/>
              </w:rPr>
              <w:t>1,075,236</w:t>
            </w:r>
          </w:p>
        </w:tc>
        <w:tc>
          <w:tcPr>
            <w:tcW w:w="1512" w:type="dxa"/>
            <w:shd w:val="clear" w:color="auto" w:fill="auto"/>
          </w:tcPr>
          <w:p w:rsidR="00844F7B" w:rsidRPr="00844F7B" w:rsidRDefault="00844F7B" w:rsidP="00C4392F">
            <w:pPr>
              <w:autoSpaceDE w:val="0"/>
              <w:autoSpaceDN w:val="0"/>
              <w:adjustRightInd w:val="0"/>
              <w:spacing w:before="60" w:after="60" w:line="240" w:lineRule="auto"/>
              <w:jc w:val="right"/>
              <w:rPr>
                <w:rFonts w:ascii="Arial" w:hAnsi="Arial" w:cs="Arial"/>
                <w:sz w:val="20"/>
                <w:szCs w:val="20"/>
              </w:rPr>
            </w:pPr>
            <w:r w:rsidRPr="00844F7B">
              <w:rPr>
                <w:rFonts w:ascii="Arial" w:hAnsi="Arial" w:cs="Arial"/>
                <w:sz w:val="20"/>
                <w:szCs w:val="20"/>
              </w:rPr>
              <w:t>(132,381</w:t>
            </w:r>
          </w:p>
        </w:tc>
        <w:tc>
          <w:tcPr>
            <w:tcW w:w="6946" w:type="dxa"/>
            <w:shd w:val="clear" w:color="auto" w:fill="auto"/>
          </w:tcPr>
          <w:p w:rsidR="00844F7B" w:rsidRPr="00425671" w:rsidRDefault="00425671" w:rsidP="00C4392F">
            <w:pPr>
              <w:autoSpaceDE w:val="0"/>
              <w:autoSpaceDN w:val="0"/>
              <w:adjustRightInd w:val="0"/>
              <w:spacing w:before="60" w:after="60" w:line="240" w:lineRule="auto"/>
              <w:rPr>
                <w:rFonts w:ascii="Arial" w:hAnsi="Arial" w:cs="Arial"/>
                <w:sz w:val="20"/>
                <w:szCs w:val="20"/>
              </w:rPr>
            </w:pPr>
            <w:r w:rsidRPr="00425671">
              <w:rPr>
                <w:rFonts w:ascii="Arial" w:hAnsi="Arial" w:cs="Arial"/>
                <w:sz w:val="20"/>
                <w:szCs w:val="20"/>
              </w:rPr>
              <w:t>Net cost of services exceeded initial estimates due to the additional implementation costs associated with achieving Agency Expenditure Review initiatives ahead of schedule (for example, severance).</w:t>
            </w:r>
          </w:p>
        </w:tc>
      </w:tr>
      <w:tr w:rsidR="00844F7B" w:rsidRPr="00F27FBD" w:rsidTr="00116EDF">
        <w:tc>
          <w:tcPr>
            <w:tcW w:w="2518" w:type="dxa"/>
            <w:shd w:val="clear" w:color="auto" w:fill="auto"/>
          </w:tcPr>
          <w:p w:rsidR="00844F7B" w:rsidRPr="00CB1D17" w:rsidRDefault="00844F7B" w:rsidP="00C4392F">
            <w:pPr>
              <w:autoSpaceDE w:val="0"/>
              <w:autoSpaceDN w:val="0"/>
              <w:adjustRightInd w:val="0"/>
              <w:spacing w:before="60" w:after="60" w:line="240" w:lineRule="auto"/>
              <w:rPr>
                <w:rFonts w:ascii="Arial" w:hAnsi="Arial" w:cs="Arial"/>
                <w:sz w:val="20"/>
                <w:szCs w:val="20"/>
              </w:rPr>
            </w:pPr>
            <w:r w:rsidRPr="00CB1D17">
              <w:rPr>
                <w:rFonts w:ascii="Arial" w:hAnsi="Arial" w:cs="Arial"/>
                <w:sz w:val="20"/>
                <w:szCs w:val="20"/>
              </w:rPr>
              <w:t>Net increase/(decrease) in cash held</w:t>
            </w:r>
          </w:p>
        </w:tc>
        <w:tc>
          <w:tcPr>
            <w:tcW w:w="1512" w:type="dxa"/>
            <w:shd w:val="clear" w:color="auto" w:fill="auto"/>
          </w:tcPr>
          <w:p w:rsidR="00844F7B" w:rsidRPr="00844F7B" w:rsidRDefault="00844F7B" w:rsidP="00C4392F">
            <w:pPr>
              <w:autoSpaceDE w:val="0"/>
              <w:autoSpaceDN w:val="0"/>
              <w:adjustRightInd w:val="0"/>
              <w:spacing w:before="60" w:after="60" w:line="240" w:lineRule="auto"/>
              <w:jc w:val="right"/>
              <w:rPr>
                <w:rFonts w:ascii="Arial" w:hAnsi="Arial" w:cs="Arial"/>
                <w:sz w:val="20"/>
                <w:szCs w:val="20"/>
              </w:rPr>
            </w:pPr>
            <w:r w:rsidRPr="00844F7B">
              <w:rPr>
                <w:rFonts w:ascii="Arial" w:hAnsi="Arial" w:cs="Arial"/>
                <w:sz w:val="20"/>
                <w:szCs w:val="20"/>
              </w:rPr>
              <w:t>3,595</w:t>
            </w:r>
          </w:p>
        </w:tc>
        <w:tc>
          <w:tcPr>
            <w:tcW w:w="1512" w:type="dxa"/>
            <w:shd w:val="clear" w:color="auto" w:fill="auto"/>
          </w:tcPr>
          <w:p w:rsidR="00844F7B" w:rsidRPr="00844F7B" w:rsidRDefault="00844F7B" w:rsidP="00C4392F">
            <w:pPr>
              <w:autoSpaceDE w:val="0"/>
              <w:autoSpaceDN w:val="0"/>
              <w:adjustRightInd w:val="0"/>
              <w:spacing w:before="60" w:after="60" w:line="240" w:lineRule="auto"/>
              <w:jc w:val="right"/>
              <w:rPr>
                <w:rFonts w:ascii="Arial" w:hAnsi="Arial" w:cs="Arial"/>
                <w:sz w:val="20"/>
                <w:szCs w:val="20"/>
              </w:rPr>
            </w:pPr>
            <w:r w:rsidRPr="00844F7B">
              <w:rPr>
                <w:rFonts w:ascii="Arial" w:hAnsi="Arial" w:cs="Arial"/>
                <w:sz w:val="20"/>
                <w:szCs w:val="20"/>
              </w:rPr>
              <w:t>24,439</w:t>
            </w:r>
          </w:p>
        </w:tc>
        <w:tc>
          <w:tcPr>
            <w:tcW w:w="1512" w:type="dxa"/>
            <w:shd w:val="clear" w:color="auto" w:fill="auto"/>
          </w:tcPr>
          <w:p w:rsidR="00844F7B" w:rsidRPr="00844F7B" w:rsidRDefault="00844F7B" w:rsidP="00C4392F">
            <w:pPr>
              <w:autoSpaceDE w:val="0"/>
              <w:autoSpaceDN w:val="0"/>
              <w:adjustRightInd w:val="0"/>
              <w:spacing w:before="60" w:after="60" w:line="240" w:lineRule="auto"/>
              <w:jc w:val="right"/>
              <w:rPr>
                <w:rFonts w:ascii="Arial" w:hAnsi="Arial" w:cs="Arial"/>
                <w:sz w:val="20"/>
                <w:szCs w:val="20"/>
              </w:rPr>
            </w:pPr>
            <w:r w:rsidRPr="00844F7B">
              <w:rPr>
                <w:rFonts w:ascii="Arial" w:hAnsi="Arial" w:cs="Arial"/>
                <w:sz w:val="20"/>
                <w:szCs w:val="20"/>
              </w:rPr>
              <w:t>20,844</w:t>
            </w:r>
          </w:p>
        </w:tc>
        <w:tc>
          <w:tcPr>
            <w:tcW w:w="6946" w:type="dxa"/>
            <w:shd w:val="clear" w:color="auto" w:fill="auto"/>
          </w:tcPr>
          <w:p w:rsidR="00844F7B" w:rsidRPr="00425671" w:rsidRDefault="00425671" w:rsidP="00C4392F">
            <w:pPr>
              <w:autoSpaceDE w:val="0"/>
              <w:autoSpaceDN w:val="0"/>
              <w:adjustRightInd w:val="0"/>
              <w:spacing w:before="60" w:after="60" w:line="240" w:lineRule="auto"/>
              <w:rPr>
                <w:rFonts w:ascii="Arial" w:hAnsi="Arial" w:cs="Arial"/>
                <w:sz w:val="20"/>
                <w:szCs w:val="20"/>
              </w:rPr>
            </w:pPr>
            <w:r w:rsidRPr="00425671">
              <w:rPr>
                <w:rFonts w:ascii="Arial" w:hAnsi="Arial" w:cs="Arial"/>
                <w:sz w:val="20"/>
                <w:szCs w:val="20"/>
              </w:rPr>
              <w:t>Cash balances increased due to delays in capital works programs.</w:t>
            </w:r>
          </w:p>
        </w:tc>
      </w:tr>
      <w:tr w:rsidR="00844F7B" w:rsidRPr="00F27FBD" w:rsidTr="00116EDF">
        <w:tc>
          <w:tcPr>
            <w:tcW w:w="2518" w:type="dxa"/>
            <w:shd w:val="clear" w:color="auto" w:fill="auto"/>
          </w:tcPr>
          <w:p w:rsidR="00844F7B" w:rsidRPr="00CB1D17" w:rsidRDefault="00844F7B" w:rsidP="00C4392F">
            <w:pPr>
              <w:autoSpaceDE w:val="0"/>
              <w:autoSpaceDN w:val="0"/>
              <w:adjustRightInd w:val="0"/>
              <w:spacing w:before="60" w:after="60" w:line="240" w:lineRule="auto"/>
              <w:rPr>
                <w:rFonts w:ascii="Arial" w:hAnsi="Arial" w:cs="Arial"/>
                <w:sz w:val="20"/>
                <w:szCs w:val="20"/>
              </w:rPr>
            </w:pPr>
            <w:r w:rsidRPr="00CB1D17">
              <w:rPr>
                <w:rFonts w:ascii="Arial" w:hAnsi="Arial" w:cs="Arial"/>
                <w:sz w:val="20"/>
                <w:szCs w:val="20"/>
              </w:rPr>
              <w:t>Approved salary</w:t>
            </w:r>
          </w:p>
          <w:p w:rsidR="00844F7B" w:rsidRPr="00CB1D17" w:rsidRDefault="00844F7B" w:rsidP="00C4392F">
            <w:pPr>
              <w:autoSpaceDE w:val="0"/>
              <w:autoSpaceDN w:val="0"/>
              <w:adjustRightInd w:val="0"/>
              <w:spacing w:before="60" w:after="60" w:line="240" w:lineRule="auto"/>
              <w:rPr>
                <w:rFonts w:ascii="Arial" w:hAnsi="Arial" w:cs="Arial"/>
                <w:sz w:val="20"/>
                <w:szCs w:val="20"/>
              </w:rPr>
            </w:pPr>
            <w:r w:rsidRPr="00CB1D17">
              <w:rPr>
                <w:rFonts w:ascii="Arial" w:hAnsi="Arial" w:cs="Arial"/>
                <w:sz w:val="20"/>
                <w:szCs w:val="20"/>
              </w:rPr>
              <w:t>expense level</w:t>
            </w:r>
          </w:p>
        </w:tc>
        <w:tc>
          <w:tcPr>
            <w:tcW w:w="1512" w:type="dxa"/>
            <w:shd w:val="clear" w:color="auto" w:fill="auto"/>
          </w:tcPr>
          <w:p w:rsidR="00844F7B" w:rsidRPr="00844F7B" w:rsidRDefault="00844F7B" w:rsidP="00C4392F">
            <w:pPr>
              <w:autoSpaceDE w:val="0"/>
              <w:autoSpaceDN w:val="0"/>
              <w:adjustRightInd w:val="0"/>
              <w:spacing w:before="60" w:after="60" w:line="240" w:lineRule="auto"/>
              <w:jc w:val="right"/>
              <w:rPr>
                <w:rFonts w:ascii="Arial" w:hAnsi="Arial" w:cs="Arial"/>
                <w:sz w:val="20"/>
                <w:szCs w:val="20"/>
              </w:rPr>
            </w:pPr>
            <w:r w:rsidRPr="00844F7B">
              <w:rPr>
                <w:rFonts w:ascii="Arial" w:hAnsi="Arial" w:cs="Arial"/>
                <w:sz w:val="20"/>
                <w:szCs w:val="20"/>
              </w:rPr>
              <w:t>132,152</w:t>
            </w:r>
          </w:p>
        </w:tc>
        <w:tc>
          <w:tcPr>
            <w:tcW w:w="1512" w:type="dxa"/>
            <w:shd w:val="clear" w:color="auto" w:fill="auto"/>
          </w:tcPr>
          <w:p w:rsidR="00844F7B" w:rsidRPr="00844F7B" w:rsidRDefault="00844F7B" w:rsidP="00C4392F">
            <w:pPr>
              <w:autoSpaceDE w:val="0"/>
              <w:autoSpaceDN w:val="0"/>
              <w:adjustRightInd w:val="0"/>
              <w:spacing w:before="60" w:after="60" w:line="240" w:lineRule="auto"/>
              <w:jc w:val="right"/>
              <w:rPr>
                <w:rFonts w:ascii="Arial" w:hAnsi="Arial" w:cs="Arial"/>
                <w:sz w:val="20"/>
                <w:szCs w:val="20"/>
              </w:rPr>
            </w:pPr>
            <w:r w:rsidRPr="00844F7B">
              <w:rPr>
                <w:rFonts w:ascii="Arial" w:hAnsi="Arial" w:cs="Arial"/>
                <w:sz w:val="20"/>
                <w:szCs w:val="20"/>
              </w:rPr>
              <w:t>116,856</w:t>
            </w:r>
          </w:p>
        </w:tc>
        <w:tc>
          <w:tcPr>
            <w:tcW w:w="1512" w:type="dxa"/>
            <w:shd w:val="clear" w:color="auto" w:fill="auto"/>
          </w:tcPr>
          <w:p w:rsidR="00844F7B" w:rsidRPr="00844F7B" w:rsidRDefault="00844F7B" w:rsidP="00C4392F">
            <w:pPr>
              <w:autoSpaceDE w:val="0"/>
              <w:autoSpaceDN w:val="0"/>
              <w:adjustRightInd w:val="0"/>
              <w:spacing w:before="60" w:after="60" w:line="240" w:lineRule="auto"/>
              <w:jc w:val="right"/>
              <w:rPr>
                <w:rFonts w:ascii="Arial" w:hAnsi="Arial" w:cs="Arial"/>
                <w:sz w:val="20"/>
                <w:szCs w:val="20"/>
              </w:rPr>
            </w:pPr>
            <w:r w:rsidRPr="00844F7B">
              <w:rPr>
                <w:rFonts w:ascii="Arial" w:hAnsi="Arial" w:cs="Arial"/>
                <w:sz w:val="20"/>
                <w:szCs w:val="20"/>
              </w:rPr>
              <w:t>(15,296)</w:t>
            </w:r>
          </w:p>
        </w:tc>
        <w:tc>
          <w:tcPr>
            <w:tcW w:w="6946" w:type="dxa"/>
            <w:shd w:val="clear" w:color="auto" w:fill="auto"/>
          </w:tcPr>
          <w:p w:rsidR="00844F7B" w:rsidRPr="00425671" w:rsidRDefault="00425671" w:rsidP="00C4392F">
            <w:pPr>
              <w:autoSpaceDE w:val="0"/>
              <w:autoSpaceDN w:val="0"/>
              <w:adjustRightInd w:val="0"/>
              <w:spacing w:before="60" w:after="60" w:line="240" w:lineRule="auto"/>
              <w:rPr>
                <w:rFonts w:ascii="Arial" w:hAnsi="Arial" w:cs="Arial"/>
                <w:sz w:val="20"/>
                <w:szCs w:val="20"/>
              </w:rPr>
            </w:pPr>
            <w:r w:rsidRPr="00425671">
              <w:rPr>
                <w:rFonts w:ascii="Arial" w:hAnsi="Arial" w:cs="Arial"/>
                <w:sz w:val="20"/>
                <w:szCs w:val="20"/>
              </w:rPr>
              <w:t>The actual salary expense was below the estimate largely as a result of savings flowing from the Agency Expenditure Review.</w:t>
            </w:r>
          </w:p>
        </w:tc>
      </w:tr>
      <w:tr w:rsidR="00844F7B" w:rsidRPr="00F27FBD" w:rsidTr="00116EDF">
        <w:tc>
          <w:tcPr>
            <w:tcW w:w="2518" w:type="dxa"/>
            <w:shd w:val="clear" w:color="auto" w:fill="auto"/>
          </w:tcPr>
          <w:p w:rsidR="00844F7B" w:rsidRPr="00CB1D17" w:rsidRDefault="00844F7B" w:rsidP="00C4392F">
            <w:pPr>
              <w:autoSpaceDE w:val="0"/>
              <w:autoSpaceDN w:val="0"/>
              <w:adjustRightInd w:val="0"/>
              <w:spacing w:before="60" w:after="60" w:line="240" w:lineRule="auto"/>
              <w:rPr>
                <w:rFonts w:ascii="Arial" w:hAnsi="Arial" w:cs="Arial"/>
                <w:sz w:val="20"/>
                <w:szCs w:val="20"/>
              </w:rPr>
            </w:pPr>
            <w:r w:rsidRPr="00CB1D17">
              <w:rPr>
                <w:rFonts w:ascii="Arial" w:hAnsi="Arial" w:cs="Arial"/>
                <w:sz w:val="20"/>
                <w:szCs w:val="20"/>
              </w:rPr>
              <w:t>Agreed borrowing limit</w:t>
            </w:r>
          </w:p>
        </w:tc>
        <w:tc>
          <w:tcPr>
            <w:tcW w:w="1512" w:type="dxa"/>
            <w:shd w:val="clear" w:color="auto" w:fill="auto"/>
          </w:tcPr>
          <w:p w:rsidR="00844F7B" w:rsidRPr="00844F7B" w:rsidRDefault="00844F7B" w:rsidP="00C4392F">
            <w:pPr>
              <w:autoSpaceDE w:val="0"/>
              <w:autoSpaceDN w:val="0"/>
              <w:adjustRightInd w:val="0"/>
              <w:spacing w:before="60" w:after="60" w:line="240" w:lineRule="auto"/>
              <w:jc w:val="right"/>
              <w:rPr>
                <w:rFonts w:ascii="Arial" w:hAnsi="Arial" w:cs="Arial"/>
                <w:sz w:val="20"/>
                <w:szCs w:val="20"/>
              </w:rPr>
            </w:pPr>
            <w:r w:rsidRPr="00844F7B">
              <w:rPr>
                <w:rFonts w:ascii="Arial" w:hAnsi="Arial" w:cs="Arial"/>
                <w:sz w:val="20"/>
                <w:szCs w:val="20"/>
              </w:rPr>
              <w:t>100,653</w:t>
            </w:r>
          </w:p>
        </w:tc>
        <w:tc>
          <w:tcPr>
            <w:tcW w:w="1512" w:type="dxa"/>
            <w:shd w:val="clear" w:color="auto" w:fill="auto"/>
          </w:tcPr>
          <w:p w:rsidR="00844F7B" w:rsidRPr="00844F7B" w:rsidRDefault="00844F7B" w:rsidP="00C4392F">
            <w:pPr>
              <w:autoSpaceDE w:val="0"/>
              <w:autoSpaceDN w:val="0"/>
              <w:adjustRightInd w:val="0"/>
              <w:spacing w:before="60" w:after="60" w:line="240" w:lineRule="auto"/>
              <w:jc w:val="right"/>
              <w:rPr>
                <w:rFonts w:ascii="Arial" w:hAnsi="Arial" w:cs="Arial"/>
                <w:sz w:val="20"/>
                <w:szCs w:val="20"/>
              </w:rPr>
            </w:pPr>
            <w:r w:rsidRPr="00844F7B">
              <w:rPr>
                <w:rFonts w:ascii="Arial" w:hAnsi="Arial" w:cs="Arial"/>
                <w:sz w:val="20"/>
                <w:szCs w:val="20"/>
              </w:rPr>
              <w:t>128,316</w:t>
            </w:r>
          </w:p>
        </w:tc>
        <w:tc>
          <w:tcPr>
            <w:tcW w:w="1512" w:type="dxa"/>
            <w:shd w:val="clear" w:color="auto" w:fill="auto"/>
          </w:tcPr>
          <w:p w:rsidR="00844F7B" w:rsidRPr="00844F7B" w:rsidRDefault="00844F7B" w:rsidP="00C4392F">
            <w:pPr>
              <w:autoSpaceDE w:val="0"/>
              <w:autoSpaceDN w:val="0"/>
              <w:adjustRightInd w:val="0"/>
              <w:spacing w:before="60" w:after="60" w:line="240" w:lineRule="auto"/>
              <w:jc w:val="right"/>
              <w:rPr>
                <w:rFonts w:ascii="Arial" w:hAnsi="Arial" w:cs="Arial"/>
                <w:sz w:val="20"/>
                <w:szCs w:val="20"/>
              </w:rPr>
            </w:pPr>
            <w:r w:rsidRPr="00844F7B">
              <w:rPr>
                <w:rFonts w:ascii="Arial" w:hAnsi="Arial" w:cs="Arial"/>
                <w:sz w:val="20"/>
                <w:szCs w:val="20"/>
              </w:rPr>
              <w:t>27,663</w:t>
            </w:r>
          </w:p>
        </w:tc>
        <w:tc>
          <w:tcPr>
            <w:tcW w:w="6946" w:type="dxa"/>
            <w:shd w:val="clear" w:color="auto" w:fill="auto"/>
          </w:tcPr>
          <w:p w:rsidR="00844F7B" w:rsidRPr="00425671" w:rsidRDefault="00425671" w:rsidP="00C4392F">
            <w:pPr>
              <w:autoSpaceDE w:val="0"/>
              <w:autoSpaceDN w:val="0"/>
              <w:adjustRightInd w:val="0"/>
              <w:spacing w:before="60" w:after="60" w:line="240" w:lineRule="auto"/>
              <w:rPr>
                <w:rFonts w:ascii="Arial" w:hAnsi="Arial" w:cs="Arial"/>
                <w:sz w:val="20"/>
                <w:szCs w:val="20"/>
              </w:rPr>
            </w:pPr>
            <w:r w:rsidRPr="00425671">
              <w:rPr>
                <w:rFonts w:ascii="Arial" w:hAnsi="Arial" w:cs="Arial"/>
                <w:sz w:val="20"/>
                <w:szCs w:val="20"/>
              </w:rPr>
              <w:t>Borrowings increased due to higher State Fleet vehicle acquisitions on behalf of other agencies.</w:t>
            </w:r>
          </w:p>
        </w:tc>
      </w:tr>
      <w:tr w:rsidR="00844F7B" w:rsidRPr="00F27FBD" w:rsidTr="00116EDF">
        <w:tc>
          <w:tcPr>
            <w:tcW w:w="2518" w:type="dxa"/>
            <w:shd w:val="clear" w:color="auto" w:fill="auto"/>
          </w:tcPr>
          <w:p w:rsidR="00844F7B" w:rsidRPr="00CB1D17" w:rsidRDefault="00844F7B" w:rsidP="00C4392F">
            <w:pPr>
              <w:autoSpaceDE w:val="0"/>
              <w:autoSpaceDN w:val="0"/>
              <w:adjustRightInd w:val="0"/>
              <w:spacing w:before="60" w:after="60" w:line="240" w:lineRule="auto"/>
              <w:rPr>
                <w:rFonts w:ascii="Arial" w:hAnsi="Arial" w:cs="Arial"/>
                <w:sz w:val="20"/>
                <w:szCs w:val="20"/>
              </w:rPr>
            </w:pPr>
            <w:r w:rsidRPr="00CB1D17">
              <w:rPr>
                <w:rFonts w:ascii="Arial" w:hAnsi="Arial" w:cs="Arial"/>
                <w:sz w:val="20"/>
                <w:szCs w:val="20"/>
              </w:rPr>
              <w:t>Working cash limit</w:t>
            </w:r>
          </w:p>
        </w:tc>
        <w:tc>
          <w:tcPr>
            <w:tcW w:w="1512" w:type="dxa"/>
            <w:shd w:val="clear" w:color="auto" w:fill="auto"/>
          </w:tcPr>
          <w:p w:rsidR="00844F7B" w:rsidRPr="00844F7B" w:rsidRDefault="00844F7B" w:rsidP="00C4392F">
            <w:pPr>
              <w:autoSpaceDE w:val="0"/>
              <w:autoSpaceDN w:val="0"/>
              <w:adjustRightInd w:val="0"/>
              <w:spacing w:before="60" w:after="60" w:line="240" w:lineRule="auto"/>
              <w:jc w:val="right"/>
              <w:rPr>
                <w:rFonts w:ascii="Arial" w:hAnsi="Arial" w:cs="Arial"/>
                <w:sz w:val="20"/>
                <w:szCs w:val="20"/>
              </w:rPr>
            </w:pPr>
            <w:r w:rsidRPr="00844F7B">
              <w:rPr>
                <w:rFonts w:ascii="Arial" w:hAnsi="Arial" w:cs="Arial"/>
                <w:sz w:val="20"/>
                <w:szCs w:val="20"/>
              </w:rPr>
              <w:t>55,329</w:t>
            </w:r>
          </w:p>
        </w:tc>
        <w:tc>
          <w:tcPr>
            <w:tcW w:w="1512" w:type="dxa"/>
            <w:shd w:val="clear" w:color="auto" w:fill="auto"/>
          </w:tcPr>
          <w:p w:rsidR="00844F7B" w:rsidRPr="00844F7B" w:rsidRDefault="00844F7B" w:rsidP="00C4392F">
            <w:pPr>
              <w:autoSpaceDE w:val="0"/>
              <w:autoSpaceDN w:val="0"/>
              <w:adjustRightInd w:val="0"/>
              <w:spacing w:before="60" w:after="60" w:line="240" w:lineRule="auto"/>
              <w:jc w:val="right"/>
              <w:rPr>
                <w:rFonts w:ascii="Arial" w:hAnsi="Arial" w:cs="Arial"/>
                <w:sz w:val="20"/>
                <w:szCs w:val="20"/>
              </w:rPr>
            </w:pPr>
            <w:r w:rsidRPr="00844F7B">
              <w:rPr>
                <w:rFonts w:ascii="Arial" w:hAnsi="Arial" w:cs="Arial"/>
                <w:sz w:val="20"/>
                <w:szCs w:val="20"/>
              </w:rPr>
              <w:t>57,747</w:t>
            </w:r>
          </w:p>
        </w:tc>
        <w:tc>
          <w:tcPr>
            <w:tcW w:w="1512" w:type="dxa"/>
            <w:shd w:val="clear" w:color="auto" w:fill="auto"/>
          </w:tcPr>
          <w:p w:rsidR="00844F7B" w:rsidRPr="00844F7B" w:rsidRDefault="00844F7B" w:rsidP="00C4392F">
            <w:pPr>
              <w:autoSpaceDE w:val="0"/>
              <w:autoSpaceDN w:val="0"/>
              <w:adjustRightInd w:val="0"/>
              <w:spacing w:before="60" w:after="60" w:line="240" w:lineRule="auto"/>
              <w:jc w:val="right"/>
              <w:rPr>
                <w:rFonts w:ascii="Arial" w:hAnsi="Arial" w:cs="Arial"/>
                <w:sz w:val="20"/>
                <w:szCs w:val="20"/>
              </w:rPr>
            </w:pPr>
            <w:r w:rsidRPr="00844F7B">
              <w:rPr>
                <w:rFonts w:ascii="Arial" w:hAnsi="Arial" w:cs="Arial"/>
                <w:sz w:val="20"/>
                <w:szCs w:val="20"/>
              </w:rPr>
              <w:t>2,418</w:t>
            </w:r>
          </w:p>
        </w:tc>
        <w:tc>
          <w:tcPr>
            <w:tcW w:w="6946" w:type="dxa"/>
            <w:shd w:val="clear" w:color="auto" w:fill="auto"/>
          </w:tcPr>
          <w:p w:rsidR="00844F7B" w:rsidRPr="00425671" w:rsidRDefault="00425671" w:rsidP="00C4392F">
            <w:pPr>
              <w:autoSpaceDE w:val="0"/>
              <w:autoSpaceDN w:val="0"/>
              <w:adjustRightInd w:val="0"/>
              <w:spacing w:before="60" w:after="60" w:line="240" w:lineRule="auto"/>
              <w:rPr>
                <w:rFonts w:ascii="Arial" w:hAnsi="Arial" w:cs="Arial"/>
                <w:sz w:val="20"/>
                <w:szCs w:val="20"/>
              </w:rPr>
            </w:pPr>
            <w:r w:rsidRPr="00425671">
              <w:rPr>
                <w:rFonts w:ascii="Arial" w:hAnsi="Arial" w:cs="Arial"/>
                <w:sz w:val="20"/>
                <w:szCs w:val="20"/>
              </w:rPr>
              <w:t>The actual working cash was $85,247,000 of which $14,100,000 was capital funding – subject to project requirements and carryover approval by government - and $13,400,000 was lease incentive funding.</w:t>
            </w:r>
          </w:p>
        </w:tc>
      </w:tr>
    </w:tbl>
    <w:p w:rsidR="00116EDF" w:rsidRPr="00DE6A82" w:rsidRDefault="00116EDF" w:rsidP="00273795">
      <w:pPr>
        <w:autoSpaceDE w:val="0"/>
        <w:autoSpaceDN w:val="0"/>
        <w:adjustRightInd w:val="0"/>
        <w:spacing w:before="120" w:after="120" w:line="240" w:lineRule="auto"/>
        <w:rPr>
          <w:rFonts w:ascii="Arial" w:hAnsi="Arial" w:cs="Arial"/>
        </w:rPr>
      </w:pPr>
      <w:r w:rsidRPr="00DE6A82">
        <w:rPr>
          <w:rFonts w:ascii="Arial" w:hAnsi="Arial" w:cs="Arial"/>
          <w:vertAlign w:val="superscript"/>
        </w:rPr>
        <w:t>(a)</w:t>
      </w:r>
      <w:r w:rsidRPr="00DE6A82">
        <w:rPr>
          <w:rFonts w:ascii="Arial" w:hAnsi="Arial" w:cs="Arial"/>
        </w:rPr>
        <w:t xml:space="preserve"> Approved as part of the 2015-16 State Budget process.</w:t>
      </w:r>
    </w:p>
    <w:p w:rsidR="005B2006" w:rsidRDefault="00116EDF" w:rsidP="00273795">
      <w:pPr>
        <w:autoSpaceDE w:val="0"/>
        <w:autoSpaceDN w:val="0"/>
        <w:adjustRightInd w:val="0"/>
        <w:spacing w:after="0" w:line="240" w:lineRule="auto"/>
        <w:rPr>
          <w:rStyle w:val="Heading2Char"/>
          <w:rFonts w:eastAsia="Calibri"/>
        </w:rPr>
      </w:pPr>
      <w:r w:rsidRPr="00DE6A82">
        <w:rPr>
          <w:rFonts w:ascii="Arial" w:eastAsia="Times New Roman" w:hAnsi="Arial" w:cs="Arial"/>
          <w:sz w:val="24"/>
          <w:szCs w:val="24"/>
          <w:lang w:eastAsia="en-AU"/>
        </w:rPr>
        <w:t>Further explanations are contained in Note 43 of the financial statements.</w:t>
      </w:r>
      <w:r w:rsidR="005B2006">
        <w:br w:type="page"/>
      </w:r>
      <w:r w:rsidR="005B2006" w:rsidRPr="00780B04">
        <w:rPr>
          <w:rStyle w:val="Heading2Char"/>
          <w:rFonts w:eastAsia="Calibri"/>
        </w:rPr>
        <w:lastRenderedPageBreak/>
        <w:t xml:space="preserve">Summary of </w:t>
      </w:r>
      <w:r w:rsidR="005B2006">
        <w:rPr>
          <w:rStyle w:val="Heading2Char"/>
          <w:rFonts w:eastAsia="Calibri"/>
        </w:rPr>
        <w:t>non-</w:t>
      </w:r>
      <w:r w:rsidR="005B2006" w:rsidRPr="00780B04">
        <w:rPr>
          <w:rStyle w:val="Heading2Char"/>
          <w:rFonts w:eastAsia="Calibri"/>
        </w:rPr>
        <w:t xml:space="preserve">financial performance for </w:t>
      </w:r>
      <w:r w:rsidR="00DD3441">
        <w:rPr>
          <w:rStyle w:val="Heading2Char"/>
          <w:rFonts w:eastAsia="Calibri"/>
        </w:rPr>
        <w:t>2015-16</w:t>
      </w:r>
    </w:p>
    <w:p w:rsidR="00282733" w:rsidRPr="00282733" w:rsidRDefault="00282733" w:rsidP="00196F4C">
      <w:pPr>
        <w:pStyle w:val="BodyText"/>
        <w:spacing w:before="0"/>
        <w:rPr>
          <w:rStyle w:val="Heading2Char"/>
          <w:rFonts w:cs="Arial"/>
          <w:b w:val="0"/>
          <w:bCs w:val="0"/>
          <w:sz w:val="24"/>
          <w:szCs w:val="24"/>
        </w:rPr>
      </w:pPr>
    </w:p>
    <w:p w:rsidR="00282733" w:rsidRDefault="00196F4C" w:rsidP="00282733">
      <w:pPr>
        <w:pStyle w:val="Caption"/>
        <w:keepNext/>
      </w:pPr>
      <w:fldSimple w:instr=" SEQ Table \* ARABIC ">
        <w:r w:rsidR="00D8778B">
          <w:rPr>
            <w:noProof/>
          </w:rPr>
          <w:t>3</w:t>
        </w:r>
      </w:fldSimple>
      <w:r w:rsidR="00282733">
        <w:t xml:space="preserve"> Key effectiveness indicator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6946"/>
        <w:gridCol w:w="1105"/>
        <w:gridCol w:w="1106"/>
        <w:gridCol w:w="1105"/>
        <w:gridCol w:w="1106"/>
        <w:gridCol w:w="1106"/>
      </w:tblGrid>
      <w:tr w:rsidR="00644DA9" w:rsidRPr="00F27FBD" w:rsidTr="000A683A">
        <w:trPr>
          <w:trHeight w:val="445"/>
        </w:trPr>
        <w:tc>
          <w:tcPr>
            <w:tcW w:w="1384" w:type="dxa"/>
            <w:shd w:val="clear" w:color="auto" w:fill="auto"/>
          </w:tcPr>
          <w:p w:rsidR="00644DA9" w:rsidRPr="00F27FBD" w:rsidRDefault="00644DA9" w:rsidP="00C4392F">
            <w:pPr>
              <w:pStyle w:val="BodyText"/>
              <w:spacing w:before="60" w:after="60"/>
              <w:rPr>
                <w:b/>
                <w:sz w:val="20"/>
                <w:szCs w:val="20"/>
              </w:rPr>
            </w:pPr>
            <w:r w:rsidRPr="00F27FBD">
              <w:rPr>
                <w:b/>
                <w:sz w:val="20"/>
                <w:szCs w:val="20"/>
              </w:rPr>
              <w:t>Outcome</w:t>
            </w:r>
          </w:p>
        </w:tc>
        <w:tc>
          <w:tcPr>
            <w:tcW w:w="6946" w:type="dxa"/>
            <w:shd w:val="clear" w:color="auto" w:fill="auto"/>
          </w:tcPr>
          <w:p w:rsidR="00644DA9" w:rsidRPr="00F27FBD" w:rsidRDefault="00644DA9" w:rsidP="00C4392F">
            <w:pPr>
              <w:pStyle w:val="BodyText"/>
              <w:spacing w:before="60" w:after="60"/>
              <w:rPr>
                <w:b/>
                <w:sz w:val="20"/>
                <w:szCs w:val="20"/>
              </w:rPr>
            </w:pPr>
            <w:r w:rsidRPr="00F27FBD">
              <w:rPr>
                <w:b/>
                <w:sz w:val="20"/>
                <w:szCs w:val="20"/>
              </w:rPr>
              <w:t>Key effectiveness indicator</w:t>
            </w:r>
          </w:p>
        </w:tc>
        <w:tc>
          <w:tcPr>
            <w:tcW w:w="1105" w:type="dxa"/>
            <w:shd w:val="clear" w:color="auto" w:fill="auto"/>
          </w:tcPr>
          <w:p w:rsidR="00644DA9" w:rsidRPr="00F27FBD" w:rsidRDefault="00644DA9" w:rsidP="00C4392F">
            <w:pPr>
              <w:pStyle w:val="BodyText"/>
              <w:spacing w:before="60" w:after="60"/>
              <w:jc w:val="center"/>
              <w:rPr>
                <w:b/>
                <w:sz w:val="20"/>
                <w:szCs w:val="20"/>
              </w:rPr>
            </w:pPr>
            <w:r w:rsidRPr="00F27FBD">
              <w:rPr>
                <w:b/>
                <w:sz w:val="20"/>
                <w:szCs w:val="20"/>
              </w:rPr>
              <w:t>Unit</w:t>
            </w:r>
          </w:p>
        </w:tc>
        <w:tc>
          <w:tcPr>
            <w:tcW w:w="1106" w:type="dxa"/>
            <w:shd w:val="clear" w:color="auto" w:fill="auto"/>
          </w:tcPr>
          <w:p w:rsidR="00644DA9" w:rsidRPr="00F27FBD" w:rsidRDefault="00644DA9" w:rsidP="00C4392F">
            <w:pPr>
              <w:pStyle w:val="BodyText"/>
              <w:spacing w:before="60" w:after="60"/>
              <w:jc w:val="center"/>
              <w:rPr>
                <w:b/>
                <w:sz w:val="20"/>
                <w:szCs w:val="20"/>
              </w:rPr>
            </w:pPr>
            <w:r w:rsidRPr="00F27FBD">
              <w:rPr>
                <w:b/>
                <w:sz w:val="20"/>
                <w:szCs w:val="20"/>
              </w:rPr>
              <w:t>Target</w:t>
            </w:r>
          </w:p>
        </w:tc>
        <w:tc>
          <w:tcPr>
            <w:tcW w:w="1105" w:type="dxa"/>
            <w:shd w:val="clear" w:color="auto" w:fill="auto"/>
          </w:tcPr>
          <w:p w:rsidR="00644DA9" w:rsidRPr="00F27FBD" w:rsidRDefault="00644DA9" w:rsidP="00C4392F">
            <w:pPr>
              <w:pStyle w:val="BodyText"/>
              <w:spacing w:before="60" w:after="60"/>
              <w:jc w:val="center"/>
              <w:rPr>
                <w:b/>
                <w:sz w:val="20"/>
                <w:szCs w:val="20"/>
              </w:rPr>
            </w:pPr>
            <w:r w:rsidRPr="00F27FBD">
              <w:rPr>
                <w:b/>
                <w:sz w:val="20"/>
                <w:szCs w:val="20"/>
              </w:rPr>
              <w:t>Actual</w:t>
            </w:r>
          </w:p>
        </w:tc>
        <w:tc>
          <w:tcPr>
            <w:tcW w:w="1106" w:type="dxa"/>
            <w:shd w:val="clear" w:color="auto" w:fill="auto"/>
          </w:tcPr>
          <w:p w:rsidR="00644DA9" w:rsidRPr="00F27FBD" w:rsidRDefault="00644DA9" w:rsidP="00C4392F">
            <w:pPr>
              <w:pStyle w:val="BodyText"/>
              <w:spacing w:before="60" w:after="60"/>
              <w:jc w:val="center"/>
              <w:rPr>
                <w:b/>
                <w:sz w:val="20"/>
                <w:szCs w:val="20"/>
              </w:rPr>
            </w:pPr>
            <w:r w:rsidRPr="00F27FBD">
              <w:rPr>
                <w:b/>
                <w:sz w:val="20"/>
                <w:szCs w:val="20"/>
              </w:rPr>
              <w:t>Stats</w:t>
            </w:r>
          </w:p>
        </w:tc>
        <w:tc>
          <w:tcPr>
            <w:tcW w:w="1106" w:type="dxa"/>
            <w:shd w:val="clear" w:color="auto" w:fill="auto"/>
          </w:tcPr>
          <w:p w:rsidR="00644DA9" w:rsidRPr="005251C2" w:rsidRDefault="00644DA9" w:rsidP="00C4392F">
            <w:pPr>
              <w:pStyle w:val="BodyText"/>
              <w:spacing w:before="60" w:after="60"/>
              <w:jc w:val="center"/>
              <w:rPr>
                <w:b/>
                <w:sz w:val="20"/>
                <w:szCs w:val="20"/>
              </w:rPr>
            </w:pPr>
            <w:r w:rsidRPr="005251C2">
              <w:rPr>
                <w:b/>
                <w:sz w:val="20"/>
                <w:szCs w:val="20"/>
              </w:rPr>
              <w:t>Page</w:t>
            </w:r>
          </w:p>
        </w:tc>
      </w:tr>
      <w:tr w:rsidR="00FB44EB" w:rsidRPr="00F27FBD" w:rsidTr="00D53EC9">
        <w:trPr>
          <w:trHeight w:val="425"/>
        </w:trPr>
        <w:tc>
          <w:tcPr>
            <w:tcW w:w="1384" w:type="dxa"/>
            <w:shd w:val="clear" w:color="auto" w:fill="auto"/>
          </w:tcPr>
          <w:p w:rsidR="00FB44EB" w:rsidRPr="005251C2" w:rsidRDefault="00FB44EB" w:rsidP="00C4392F">
            <w:pPr>
              <w:pStyle w:val="BodyText"/>
              <w:spacing w:before="60" w:after="60"/>
              <w:rPr>
                <w:sz w:val="20"/>
                <w:szCs w:val="20"/>
              </w:rPr>
            </w:pPr>
            <w:r w:rsidRPr="005251C2">
              <w:rPr>
                <w:sz w:val="20"/>
                <w:szCs w:val="20"/>
              </w:rPr>
              <w:t>One</w:t>
            </w:r>
          </w:p>
        </w:tc>
        <w:tc>
          <w:tcPr>
            <w:tcW w:w="6946" w:type="dxa"/>
            <w:shd w:val="clear" w:color="auto" w:fill="auto"/>
          </w:tcPr>
          <w:p w:rsidR="00FB44EB" w:rsidRPr="005251C2" w:rsidRDefault="00FB44EB" w:rsidP="00C4392F">
            <w:pPr>
              <w:spacing w:before="60" w:after="60" w:line="240" w:lineRule="auto"/>
              <w:rPr>
                <w:rFonts w:ascii="Arial" w:hAnsi="Arial" w:cs="Arial"/>
                <w:sz w:val="20"/>
                <w:szCs w:val="20"/>
              </w:rPr>
            </w:pPr>
            <w:r w:rsidRPr="005251C2">
              <w:rPr>
                <w:rFonts w:ascii="Arial" w:hAnsi="Arial" w:cs="Arial"/>
                <w:sz w:val="20"/>
                <w:szCs w:val="20"/>
              </w:rPr>
              <w:t>Extent to which due revenue is collected</w:t>
            </w:r>
          </w:p>
        </w:tc>
        <w:tc>
          <w:tcPr>
            <w:tcW w:w="1105" w:type="dxa"/>
            <w:shd w:val="clear" w:color="auto" w:fill="auto"/>
          </w:tcPr>
          <w:p w:rsidR="00FB44EB" w:rsidRPr="005251C2" w:rsidRDefault="00FB44EB" w:rsidP="00C4392F">
            <w:pPr>
              <w:spacing w:before="60" w:after="60" w:line="240" w:lineRule="auto"/>
              <w:jc w:val="center"/>
              <w:rPr>
                <w:rFonts w:ascii="Arial" w:hAnsi="Arial" w:cs="Arial"/>
                <w:sz w:val="20"/>
                <w:szCs w:val="20"/>
              </w:rPr>
            </w:pPr>
            <w:r w:rsidRPr="005251C2">
              <w:rPr>
                <w:rFonts w:ascii="Arial" w:hAnsi="Arial" w:cs="Arial"/>
                <w:sz w:val="20"/>
                <w:szCs w:val="20"/>
              </w:rPr>
              <w:t>%</w:t>
            </w:r>
          </w:p>
        </w:tc>
        <w:tc>
          <w:tcPr>
            <w:tcW w:w="1106" w:type="dxa"/>
            <w:shd w:val="clear" w:color="auto" w:fill="auto"/>
          </w:tcPr>
          <w:p w:rsidR="00FB44EB" w:rsidRPr="005251C2" w:rsidRDefault="00FB44EB" w:rsidP="00C4392F">
            <w:pPr>
              <w:spacing w:before="60" w:after="60" w:line="240" w:lineRule="auto"/>
              <w:jc w:val="right"/>
              <w:rPr>
                <w:rFonts w:ascii="Arial" w:hAnsi="Arial" w:cs="Arial"/>
                <w:sz w:val="20"/>
                <w:szCs w:val="20"/>
              </w:rPr>
            </w:pPr>
            <w:r w:rsidRPr="005251C2">
              <w:rPr>
                <w:rFonts w:ascii="Arial" w:hAnsi="Arial" w:cs="Arial"/>
                <w:sz w:val="20"/>
                <w:szCs w:val="20"/>
              </w:rPr>
              <w:t>91</w:t>
            </w:r>
          </w:p>
        </w:tc>
        <w:tc>
          <w:tcPr>
            <w:tcW w:w="1105" w:type="dxa"/>
            <w:shd w:val="clear" w:color="auto" w:fill="auto"/>
          </w:tcPr>
          <w:p w:rsidR="00FB44EB" w:rsidRPr="005251C2" w:rsidRDefault="00FB44EB" w:rsidP="00C4392F">
            <w:pPr>
              <w:spacing w:before="60" w:after="60" w:line="240" w:lineRule="auto"/>
              <w:jc w:val="right"/>
              <w:rPr>
                <w:rFonts w:ascii="Arial" w:hAnsi="Arial" w:cs="Arial"/>
                <w:sz w:val="20"/>
                <w:szCs w:val="20"/>
              </w:rPr>
            </w:pPr>
            <w:r w:rsidRPr="005251C2">
              <w:rPr>
                <w:rFonts w:ascii="Arial" w:hAnsi="Arial" w:cs="Arial"/>
                <w:sz w:val="20"/>
                <w:szCs w:val="20"/>
              </w:rPr>
              <w:t>90</w:t>
            </w:r>
          </w:p>
        </w:tc>
        <w:tc>
          <w:tcPr>
            <w:tcW w:w="1106" w:type="dxa"/>
            <w:shd w:val="clear" w:color="auto" w:fill="auto"/>
          </w:tcPr>
          <w:p w:rsidR="00FB44EB" w:rsidRPr="005251C2" w:rsidRDefault="00FB44EB" w:rsidP="00C4392F">
            <w:pPr>
              <w:spacing w:before="60" w:after="60" w:line="240" w:lineRule="auto"/>
              <w:jc w:val="center"/>
              <w:rPr>
                <w:rFonts w:ascii="Wingdings 2" w:hAnsi="Wingdings 2"/>
              </w:rPr>
            </w:pPr>
            <w:r w:rsidRPr="005251C2">
              <w:rPr>
                <w:rFonts w:ascii="Wingdings 2" w:hAnsi="Wingdings 2"/>
              </w:rPr>
              <w:t></w:t>
            </w:r>
          </w:p>
        </w:tc>
        <w:tc>
          <w:tcPr>
            <w:tcW w:w="1106" w:type="dxa"/>
            <w:shd w:val="clear" w:color="auto" w:fill="auto"/>
          </w:tcPr>
          <w:p w:rsidR="00FB44EB" w:rsidRPr="005251C2" w:rsidRDefault="00FB44EB" w:rsidP="00C4392F">
            <w:pPr>
              <w:spacing w:before="60" w:after="60" w:line="240" w:lineRule="auto"/>
              <w:jc w:val="center"/>
              <w:rPr>
                <w:rFonts w:ascii="Arial" w:hAnsi="Arial" w:cs="Arial"/>
                <w:sz w:val="20"/>
                <w:szCs w:val="20"/>
              </w:rPr>
            </w:pPr>
            <w:r>
              <w:rPr>
                <w:rFonts w:ascii="Arial" w:hAnsi="Arial" w:cs="Arial"/>
                <w:sz w:val="20"/>
                <w:szCs w:val="20"/>
              </w:rPr>
              <w:t>116</w:t>
            </w:r>
          </w:p>
        </w:tc>
      </w:tr>
      <w:tr w:rsidR="00FB44EB" w:rsidRPr="00F27FBD" w:rsidTr="00D53EC9">
        <w:trPr>
          <w:trHeight w:val="403"/>
        </w:trPr>
        <w:tc>
          <w:tcPr>
            <w:tcW w:w="1384" w:type="dxa"/>
            <w:shd w:val="clear" w:color="auto" w:fill="auto"/>
          </w:tcPr>
          <w:p w:rsidR="00FB44EB" w:rsidRPr="005251C2" w:rsidRDefault="00FB44EB" w:rsidP="00C4392F">
            <w:pPr>
              <w:pStyle w:val="BodyText"/>
              <w:spacing w:before="60" w:after="60"/>
              <w:rPr>
                <w:sz w:val="20"/>
                <w:szCs w:val="20"/>
              </w:rPr>
            </w:pPr>
            <w:r w:rsidRPr="005251C2">
              <w:rPr>
                <w:sz w:val="20"/>
                <w:szCs w:val="20"/>
              </w:rPr>
              <w:t>One</w:t>
            </w:r>
          </w:p>
        </w:tc>
        <w:tc>
          <w:tcPr>
            <w:tcW w:w="6946" w:type="dxa"/>
            <w:shd w:val="clear" w:color="auto" w:fill="auto"/>
          </w:tcPr>
          <w:p w:rsidR="00FB44EB" w:rsidRPr="005251C2" w:rsidRDefault="00FB44EB" w:rsidP="00C4392F">
            <w:pPr>
              <w:spacing w:before="60" w:after="60" w:line="240" w:lineRule="auto"/>
              <w:rPr>
                <w:rFonts w:ascii="Arial" w:hAnsi="Arial" w:cs="Arial"/>
                <w:sz w:val="20"/>
                <w:szCs w:val="20"/>
              </w:rPr>
            </w:pPr>
            <w:r w:rsidRPr="005251C2">
              <w:rPr>
                <w:rFonts w:ascii="Arial" w:hAnsi="Arial" w:cs="Arial"/>
                <w:sz w:val="20"/>
                <w:szCs w:val="20"/>
              </w:rPr>
              <w:t xml:space="preserve">Extent to which correct grants, subsidies and rebates are paid </w:t>
            </w:r>
          </w:p>
        </w:tc>
        <w:tc>
          <w:tcPr>
            <w:tcW w:w="1105" w:type="dxa"/>
            <w:shd w:val="clear" w:color="auto" w:fill="auto"/>
          </w:tcPr>
          <w:p w:rsidR="00FB44EB" w:rsidRPr="005251C2" w:rsidRDefault="00FB44EB" w:rsidP="00C4392F">
            <w:pPr>
              <w:spacing w:before="60" w:after="60" w:line="240" w:lineRule="auto"/>
              <w:jc w:val="center"/>
              <w:rPr>
                <w:rFonts w:ascii="Arial" w:hAnsi="Arial" w:cs="Arial"/>
                <w:sz w:val="20"/>
                <w:szCs w:val="20"/>
              </w:rPr>
            </w:pPr>
            <w:r w:rsidRPr="005251C2">
              <w:rPr>
                <w:rFonts w:ascii="Arial" w:hAnsi="Arial" w:cs="Arial"/>
                <w:sz w:val="20"/>
                <w:szCs w:val="20"/>
              </w:rPr>
              <w:t>%</w:t>
            </w:r>
          </w:p>
        </w:tc>
        <w:tc>
          <w:tcPr>
            <w:tcW w:w="1106" w:type="dxa"/>
            <w:shd w:val="clear" w:color="auto" w:fill="auto"/>
          </w:tcPr>
          <w:p w:rsidR="00FB44EB" w:rsidRPr="005251C2" w:rsidRDefault="00FB44EB" w:rsidP="00C4392F">
            <w:pPr>
              <w:spacing w:before="60" w:after="60" w:line="240" w:lineRule="auto"/>
              <w:jc w:val="right"/>
              <w:rPr>
                <w:rFonts w:ascii="Arial" w:hAnsi="Arial" w:cs="Arial"/>
                <w:sz w:val="20"/>
                <w:szCs w:val="20"/>
              </w:rPr>
            </w:pPr>
            <w:r w:rsidRPr="005251C2">
              <w:rPr>
                <w:rFonts w:ascii="Arial" w:hAnsi="Arial" w:cs="Arial"/>
                <w:sz w:val="20"/>
                <w:szCs w:val="20"/>
              </w:rPr>
              <w:t>100</w:t>
            </w:r>
          </w:p>
        </w:tc>
        <w:tc>
          <w:tcPr>
            <w:tcW w:w="1105" w:type="dxa"/>
            <w:shd w:val="clear" w:color="auto" w:fill="auto"/>
          </w:tcPr>
          <w:p w:rsidR="00FB44EB" w:rsidRPr="005251C2" w:rsidRDefault="00FB44EB" w:rsidP="00C4392F">
            <w:pPr>
              <w:spacing w:before="60" w:after="60" w:line="240" w:lineRule="auto"/>
              <w:jc w:val="right"/>
              <w:rPr>
                <w:rFonts w:ascii="Arial" w:hAnsi="Arial" w:cs="Arial"/>
                <w:sz w:val="20"/>
                <w:szCs w:val="20"/>
              </w:rPr>
            </w:pPr>
            <w:r w:rsidRPr="005251C2">
              <w:rPr>
                <w:rFonts w:ascii="Arial" w:hAnsi="Arial" w:cs="Arial"/>
                <w:sz w:val="20"/>
                <w:szCs w:val="20"/>
              </w:rPr>
              <w:t>100</w:t>
            </w:r>
          </w:p>
        </w:tc>
        <w:tc>
          <w:tcPr>
            <w:tcW w:w="1106" w:type="dxa"/>
            <w:shd w:val="clear" w:color="auto" w:fill="auto"/>
          </w:tcPr>
          <w:p w:rsidR="00FB44EB" w:rsidRPr="005251C2" w:rsidRDefault="00FB44EB" w:rsidP="00C4392F">
            <w:pPr>
              <w:spacing w:before="60" w:after="60" w:line="240" w:lineRule="auto"/>
              <w:jc w:val="center"/>
              <w:rPr>
                <w:rFonts w:ascii="Wingdings 2" w:hAnsi="Wingdings 2"/>
              </w:rPr>
            </w:pPr>
            <w:r w:rsidRPr="005251C2">
              <w:rPr>
                <w:rFonts w:ascii="Wingdings 2" w:hAnsi="Wingdings 2"/>
              </w:rPr>
              <w:t></w:t>
            </w:r>
          </w:p>
        </w:tc>
        <w:tc>
          <w:tcPr>
            <w:tcW w:w="1106" w:type="dxa"/>
            <w:shd w:val="clear" w:color="auto" w:fill="auto"/>
          </w:tcPr>
          <w:p w:rsidR="00FB44EB" w:rsidRPr="005251C2" w:rsidRDefault="00FB44EB" w:rsidP="00C4392F">
            <w:pPr>
              <w:spacing w:before="60" w:after="60" w:line="240" w:lineRule="auto"/>
              <w:jc w:val="center"/>
              <w:rPr>
                <w:rFonts w:ascii="Arial" w:hAnsi="Arial" w:cs="Arial"/>
                <w:sz w:val="20"/>
                <w:szCs w:val="20"/>
              </w:rPr>
            </w:pPr>
            <w:r>
              <w:rPr>
                <w:rFonts w:ascii="Arial" w:hAnsi="Arial" w:cs="Arial"/>
                <w:sz w:val="20"/>
                <w:szCs w:val="20"/>
              </w:rPr>
              <w:t>116</w:t>
            </w:r>
          </w:p>
        </w:tc>
      </w:tr>
      <w:tr w:rsidR="00FB44EB" w:rsidRPr="00F27FBD" w:rsidTr="00D53EC9">
        <w:trPr>
          <w:trHeight w:val="423"/>
        </w:trPr>
        <w:tc>
          <w:tcPr>
            <w:tcW w:w="1384" w:type="dxa"/>
            <w:shd w:val="clear" w:color="auto" w:fill="auto"/>
          </w:tcPr>
          <w:p w:rsidR="00FB44EB" w:rsidRPr="005251C2" w:rsidRDefault="00FB44EB" w:rsidP="00C4392F">
            <w:pPr>
              <w:pStyle w:val="BodyText"/>
              <w:spacing w:before="60" w:after="60"/>
              <w:rPr>
                <w:sz w:val="20"/>
                <w:szCs w:val="20"/>
              </w:rPr>
            </w:pPr>
            <w:r w:rsidRPr="005251C2">
              <w:rPr>
                <w:sz w:val="20"/>
                <w:szCs w:val="20"/>
              </w:rPr>
              <w:t>Two</w:t>
            </w:r>
          </w:p>
        </w:tc>
        <w:tc>
          <w:tcPr>
            <w:tcW w:w="6946" w:type="dxa"/>
            <w:shd w:val="clear" w:color="auto" w:fill="auto"/>
          </w:tcPr>
          <w:p w:rsidR="00FB44EB" w:rsidRPr="005251C2" w:rsidRDefault="00FB44EB" w:rsidP="00C4392F">
            <w:pPr>
              <w:spacing w:before="60" w:after="60" w:line="240" w:lineRule="auto"/>
              <w:rPr>
                <w:rFonts w:ascii="Arial" w:hAnsi="Arial" w:cs="Arial"/>
                <w:sz w:val="20"/>
                <w:szCs w:val="20"/>
              </w:rPr>
            </w:pPr>
            <w:r w:rsidRPr="005251C2">
              <w:rPr>
                <w:rFonts w:ascii="Arial" w:hAnsi="Arial" w:cs="Arial"/>
                <w:sz w:val="20"/>
                <w:szCs w:val="20"/>
              </w:rPr>
              <w:t>Profitability of the State’s light vehicle fleet</w:t>
            </w:r>
          </w:p>
        </w:tc>
        <w:tc>
          <w:tcPr>
            <w:tcW w:w="1105" w:type="dxa"/>
            <w:shd w:val="clear" w:color="auto" w:fill="auto"/>
          </w:tcPr>
          <w:p w:rsidR="00FB44EB" w:rsidRPr="005251C2" w:rsidRDefault="00FB44EB" w:rsidP="00C4392F">
            <w:pPr>
              <w:spacing w:before="60" w:after="60" w:line="240" w:lineRule="auto"/>
              <w:jc w:val="center"/>
              <w:rPr>
                <w:rFonts w:ascii="Arial" w:hAnsi="Arial" w:cs="Arial"/>
                <w:sz w:val="20"/>
                <w:szCs w:val="20"/>
              </w:rPr>
            </w:pPr>
            <w:r w:rsidRPr="005251C2">
              <w:rPr>
                <w:rFonts w:ascii="Arial" w:hAnsi="Arial" w:cs="Arial"/>
                <w:sz w:val="20"/>
                <w:szCs w:val="20"/>
              </w:rPr>
              <w:t>$000</w:t>
            </w:r>
          </w:p>
        </w:tc>
        <w:tc>
          <w:tcPr>
            <w:tcW w:w="1106" w:type="dxa"/>
            <w:shd w:val="clear" w:color="auto" w:fill="auto"/>
          </w:tcPr>
          <w:p w:rsidR="00FB44EB" w:rsidRPr="005251C2" w:rsidRDefault="00FB44EB" w:rsidP="00C4392F">
            <w:pPr>
              <w:spacing w:before="60" w:after="60" w:line="240" w:lineRule="auto"/>
              <w:jc w:val="right"/>
              <w:rPr>
                <w:rFonts w:ascii="Arial" w:hAnsi="Arial" w:cs="Arial"/>
                <w:sz w:val="20"/>
                <w:szCs w:val="20"/>
              </w:rPr>
            </w:pPr>
            <w:r w:rsidRPr="005251C2">
              <w:rPr>
                <w:rFonts w:ascii="Arial" w:hAnsi="Arial" w:cs="Arial"/>
                <w:sz w:val="20"/>
                <w:szCs w:val="20"/>
              </w:rPr>
              <w:t>10,176</w:t>
            </w:r>
          </w:p>
        </w:tc>
        <w:tc>
          <w:tcPr>
            <w:tcW w:w="1105" w:type="dxa"/>
            <w:shd w:val="clear" w:color="auto" w:fill="auto"/>
          </w:tcPr>
          <w:p w:rsidR="00FB44EB" w:rsidRPr="005251C2" w:rsidRDefault="00FB44EB" w:rsidP="00C4392F">
            <w:pPr>
              <w:spacing w:before="60" w:after="60" w:line="240" w:lineRule="auto"/>
              <w:jc w:val="right"/>
              <w:rPr>
                <w:rFonts w:ascii="Arial" w:hAnsi="Arial" w:cs="Arial"/>
                <w:sz w:val="20"/>
                <w:szCs w:val="20"/>
              </w:rPr>
            </w:pPr>
            <w:r w:rsidRPr="005251C2">
              <w:rPr>
                <w:rFonts w:ascii="Arial" w:hAnsi="Arial" w:cs="Arial"/>
                <w:sz w:val="20"/>
                <w:szCs w:val="20"/>
              </w:rPr>
              <w:t>16,871</w:t>
            </w:r>
          </w:p>
        </w:tc>
        <w:tc>
          <w:tcPr>
            <w:tcW w:w="1106" w:type="dxa"/>
            <w:shd w:val="clear" w:color="auto" w:fill="auto"/>
          </w:tcPr>
          <w:p w:rsidR="00FB44EB" w:rsidRPr="005251C2" w:rsidRDefault="00FB44EB" w:rsidP="00C4392F">
            <w:pPr>
              <w:spacing w:before="60" w:after="60" w:line="240" w:lineRule="auto"/>
              <w:jc w:val="center"/>
              <w:rPr>
                <w:rFonts w:ascii="Wingdings 2" w:hAnsi="Wingdings 2"/>
              </w:rPr>
            </w:pPr>
            <w:r w:rsidRPr="005251C2">
              <w:rPr>
                <w:rFonts w:ascii="Wingdings 2" w:hAnsi="Wingdings 2"/>
              </w:rPr>
              <w:t></w:t>
            </w:r>
          </w:p>
        </w:tc>
        <w:tc>
          <w:tcPr>
            <w:tcW w:w="1106" w:type="dxa"/>
            <w:shd w:val="clear" w:color="auto" w:fill="auto"/>
          </w:tcPr>
          <w:p w:rsidR="00FB44EB" w:rsidRPr="005251C2" w:rsidRDefault="00FB44EB" w:rsidP="00C4392F">
            <w:pPr>
              <w:spacing w:before="60" w:after="60" w:line="240" w:lineRule="auto"/>
              <w:jc w:val="center"/>
              <w:rPr>
                <w:rFonts w:ascii="Arial" w:hAnsi="Arial" w:cs="Arial"/>
                <w:sz w:val="20"/>
                <w:szCs w:val="20"/>
              </w:rPr>
            </w:pPr>
            <w:r>
              <w:rPr>
                <w:rFonts w:ascii="Arial" w:hAnsi="Arial" w:cs="Arial"/>
                <w:sz w:val="20"/>
                <w:szCs w:val="20"/>
              </w:rPr>
              <w:t>118</w:t>
            </w:r>
          </w:p>
        </w:tc>
      </w:tr>
      <w:tr w:rsidR="00FB44EB" w:rsidRPr="00F27FBD" w:rsidTr="00D53EC9">
        <w:trPr>
          <w:trHeight w:val="580"/>
        </w:trPr>
        <w:tc>
          <w:tcPr>
            <w:tcW w:w="1384" w:type="dxa"/>
            <w:shd w:val="clear" w:color="auto" w:fill="auto"/>
          </w:tcPr>
          <w:p w:rsidR="00FB44EB" w:rsidRPr="005251C2" w:rsidRDefault="00FB44EB" w:rsidP="00C4392F">
            <w:pPr>
              <w:pStyle w:val="BodyText"/>
              <w:spacing w:before="60" w:after="60"/>
              <w:rPr>
                <w:sz w:val="20"/>
                <w:szCs w:val="20"/>
              </w:rPr>
            </w:pPr>
            <w:r w:rsidRPr="005251C2">
              <w:rPr>
                <w:sz w:val="20"/>
                <w:szCs w:val="20"/>
              </w:rPr>
              <w:t>Two</w:t>
            </w:r>
          </w:p>
        </w:tc>
        <w:tc>
          <w:tcPr>
            <w:tcW w:w="6946" w:type="dxa"/>
            <w:shd w:val="clear" w:color="auto" w:fill="auto"/>
          </w:tcPr>
          <w:p w:rsidR="00FB44EB" w:rsidRPr="005251C2" w:rsidRDefault="00FB44EB" w:rsidP="00C4392F">
            <w:pPr>
              <w:spacing w:before="60" w:after="60" w:line="240" w:lineRule="auto"/>
              <w:rPr>
                <w:rFonts w:ascii="Arial" w:hAnsi="Arial" w:cs="Arial"/>
                <w:sz w:val="20"/>
                <w:szCs w:val="20"/>
              </w:rPr>
            </w:pPr>
            <w:r w:rsidRPr="005251C2">
              <w:rPr>
                <w:rFonts w:ascii="Arial" w:hAnsi="Arial" w:cs="Arial"/>
                <w:sz w:val="20"/>
                <w:szCs w:val="20"/>
              </w:rPr>
              <w:t>Extent to which client agencies agree that their agency contracts and common use contract arrangements achieved value-for-money</w:t>
            </w:r>
          </w:p>
        </w:tc>
        <w:tc>
          <w:tcPr>
            <w:tcW w:w="1105" w:type="dxa"/>
            <w:shd w:val="clear" w:color="auto" w:fill="auto"/>
          </w:tcPr>
          <w:p w:rsidR="00FB44EB" w:rsidRPr="005251C2" w:rsidRDefault="00FB44EB" w:rsidP="00C4392F">
            <w:pPr>
              <w:spacing w:before="60" w:after="60" w:line="240" w:lineRule="auto"/>
              <w:jc w:val="center"/>
              <w:rPr>
                <w:rFonts w:ascii="Arial" w:hAnsi="Arial" w:cs="Arial"/>
                <w:sz w:val="20"/>
                <w:szCs w:val="20"/>
              </w:rPr>
            </w:pPr>
            <w:r w:rsidRPr="005251C2">
              <w:rPr>
                <w:rFonts w:ascii="Arial" w:hAnsi="Arial" w:cs="Arial"/>
                <w:sz w:val="20"/>
                <w:szCs w:val="20"/>
              </w:rPr>
              <w:t>%</w:t>
            </w:r>
          </w:p>
        </w:tc>
        <w:tc>
          <w:tcPr>
            <w:tcW w:w="1106" w:type="dxa"/>
            <w:shd w:val="clear" w:color="auto" w:fill="auto"/>
          </w:tcPr>
          <w:p w:rsidR="00FB44EB" w:rsidRPr="005251C2" w:rsidRDefault="00FB44EB" w:rsidP="00C4392F">
            <w:pPr>
              <w:spacing w:before="60" w:after="60" w:line="240" w:lineRule="auto"/>
              <w:jc w:val="right"/>
              <w:rPr>
                <w:rFonts w:ascii="Arial" w:hAnsi="Arial" w:cs="Arial"/>
                <w:sz w:val="20"/>
                <w:szCs w:val="20"/>
              </w:rPr>
            </w:pPr>
            <w:r w:rsidRPr="005251C2">
              <w:rPr>
                <w:rFonts w:ascii="Arial" w:hAnsi="Arial" w:cs="Arial"/>
                <w:sz w:val="20"/>
                <w:szCs w:val="20"/>
              </w:rPr>
              <w:t>90</w:t>
            </w:r>
          </w:p>
        </w:tc>
        <w:tc>
          <w:tcPr>
            <w:tcW w:w="1105" w:type="dxa"/>
            <w:shd w:val="clear" w:color="auto" w:fill="auto"/>
          </w:tcPr>
          <w:p w:rsidR="00FB44EB" w:rsidRPr="005251C2" w:rsidRDefault="00FB44EB" w:rsidP="00C4392F">
            <w:pPr>
              <w:spacing w:before="60" w:after="60" w:line="240" w:lineRule="auto"/>
              <w:jc w:val="right"/>
              <w:rPr>
                <w:rFonts w:ascii="Arial" w:hAnsi="Arial" w:cs="Arial"/>
                <w:sz w:val="20"/>
                <w:szCs w:val="20"/>
              </w:rPr>
            </w:pPr>
            <w:r w:rsidRPr="005251C2">
              <w:rPr>
                <w:rFonts w:ascii="Arial" w:hAnsi="Arial" w:cs="Arial"/>
                <w:sz w:val="20"/>
                <w:szCs w:val="20"/>
              </w:rPr>
              <w:t>93</w:t>
            </w:r>
          </w:p>
        </w:tc>
        <w:tc>
          <w:tcPr>
            <w:tcW w:w="1106" w:type="dxa"/>
            <w:shd w:val="clear" w:color="auto" w:fill="auto"/>
          </w:tcPr>
          <w:p w:rsidR="00FB44EB" w:rsidRPr="005251C2" w:rsidRDefault="00FB44EB" w:rsidP="00C4392F">
            <w:pPr>
              <w:spacing w:before="60" w:after="60" w:line="240" w:lineRule="auto"/>
              <w:jc w:val="center"/>
              <w:rPr>
                <w:rFonts w:ascii="Wingdings 2" w:hAnsi="Wingdings 2"/>
              </w:rPr>
            </w:pPr>
            <w:r w:rsidRPr="005251C2">
              <w:rPr>
                <w:rFonts w:ascii="Wingdings 2" w:hAnsi="Wingdings 2"/>
              </w:rPr>
              <w:t></w:t>
            </w:r>
          </w:p>
        </w:tc>
        <w:tc>
          <w:tcPr>
            <w:tcW w:w="1106" w:type="dxa"/>
            <w:shd w:val="clear" w:color="auto" w:fill="auto"/>
          </w:tcPr>
          <w:p w:rsidR="00FB44EB" w:rsidRPr="005251C2" w:rsidRDefault="00FB44EB" w:rsidP="00C4392F">
            <w:pPr>
              <w:spacing w:before="60" w:after="60" w:line="240" w:lineRule="auto"/>
              <w:jc w:val="center"/>
              <w:rPr>
                <w:rFonts w:ascii="Arial" w:hAnsi="Arial" w:cs="Arial"/>
                <w:sz w:val="20"/>
                <w:szCs w:val="20"/>
              </w:rPr>
            </w:pPr>
            <w:r>
              <w:rPr>
                <w:rFonts w:ascii="Arial" w:hAnsi="Arial" w:cs="Arial"/>
                <w:sz w:val="20"/>
                <w:szCs w:val="20"/>
              </w:rPr>
              <w:t>118</w:t>
            </w:r>
          </w:p>
        </w:tc>
      </w:tr>
      <w:tr w:rsidR="00FB44EB" w:rsidRPr="00F27FBD" w:rsidTr="00D53EC9">
        <w:trPr>
          <w:trHeight w:val="381"/>
        </w:trPr>
        <w:tc>
          <w:tcPr>
            <w:tcW w:w="1384" w:type="dxa"/>
            <w:shd w:val="clear" w:color="auto" w:fill="auto"/>
          </w:tcPr>
          <w:p w:rsidR="00FB44EB" w:rsidRPr="005251C2" w:rsidRDefault="00FB44EB" w:rsidP="00C4392F">
            <w:pPr>
              <w:pStyle w:val="BodyText"/>
              <w:spacing w:before="60" w:after="60"/>
              <w:rPr>
                <w:sz w:val="20"/>
                <w:szCs w:val="20"/>
              </w:rPr>
            </w:pPr>
            <w:r w:rsidRPr="005251C2">
              <w:rPr>
                <w:sz w:val="20"/>
                <w:szCs w:val="20"/>
              </w:rPr>
              <w:t>Three</w:t>
            </w:r>
          </w:p>
        </w:tc>
        <w:tc>
          <w:tcPr>
            <w:tcW w:w="6946" w:type="dxa"/>
            <w:shd w:val="clear" w:color="auto" w:fill="auto"/>
          </w:tcPr>
          <w:p w:rsidR="00FB44EB" w:rsidRPr="005251C2" w:rsidRDefault="00FB44EB" w:rsidP="00C4392F">
            <w:pPr>
              <w:spacing w:before="60" w:after="60" w:line="240" w:lineRule="auto"/>
              <w:rPr>
                <w:rFonts w:ascii="Arial" w:hAnsi="Arial" w:cs="Arial"/>
                <w:sz w:val="20"/>
                <w:szCs w:val="20"/>
              </w:rPr>
            </w:pPr>
            <w:r w:rsidRPr="005251C2">
              <w:rPr>
                <w:rFonts w:ascii="Arial" w:hAnsi="Arial" w:cs="Arial"/>
                <w:sz w:val="20"/>
                <w:szCs w:val="20"/>
              </w:rPr>
              <w:t>An effectiveness indicator is not reported for this outcome</w:t>
            </w:r>
          </w:p>
        </w:tc>
        <w:tc>
          <w:tcPr>
            <w:tcW w:w="1105" w:type="dxa"/>
            <w:shd w:val="clear" w:color="auto" w:fill="auto"/>
          </w:tcPr>
          <w:p w:rsidR="00FB44EB" w:rsidRPr="005251C2" w:rsidRDefault="00FB44EB" w:rsidP="00C4392F">
            <w:pPr>
              <w:spacing w:before="60" w:after="60" w:line="240" w:lineRule="auto"/>
              <w:jc w:val="center"/>
              <w:rPr>
                <w:rFonts w:ascii="Arial" w:hAnsi="Arial" w:cs="Arial"/>
                <w:sz w:val="20"/>
                <w:szCs w:val="20"/>
              </w:rPr>
            </w:pPr>
          </w:p>
        </w:tc>
        <w:tc>
          <w:tcPr>
            <w:tcW w:w="1106" w:type="dxa"/>
            <w:shd w:val="clear" w:color="auto" w:fill="auto"/>
          </w:tcPr>
          <w:p w:rsidR="00FB44EB" w:rsidRPr="005251C2" w:rsidRDefault="00FB44EB" w:rsidP="00C4392F">
            <w:pPr>
              <w:spacing w:before="60" w:after="60" w:line="240" w:lineRule="auto"/>
              <w:jc w:val="right"/>
              <w:rPr>
                <w:rFonts w:ascii="Arial" w:hAnsi="Arial" w:cs="Arial"/>
                <w:sz w:val="20"/>
                <w:szCs w:val="20"/>
              </w:rPr>
            </w:pPr>
            <w:r w:rsidRPr="005251C2">
              <w:rPr>
                <w:rFonts w:ascii="Arial" w:hAnsi="Arial" w:cs="Arial"/>
                <w:sz w:val="20"/>
                <w:szCs w:val="20"/>
              </w:rPr>
              <w:t>N/A</w:t>
            </w:r>
          </w:p>
        </w:tc>
        <w:tc>
          <w:tcPr>
            <w:tcW w:w="1105" w:type="dxa"/>
            <w:shd w:val="clear" w:color="auto" w:fill="auto"/>
          </w:tcPr>
          <w:p w:rsidR="00FB44EB" w:rsidRPr="005251C2" w:rsidRDefault="00FB44EB" w:rsidP="00C4392F">
            <w:pPr>
              <w:spacing w:before="60" w:after="60" w:line="240" w:lineRule="auto"/>
              <w:jc w:val="right"/>
              <w:rPr>
                <w:rFonts w:ascii="Arial" w:hAnsi="Arial" w:cs="Arial"/>
                <w:sz w:val="20"/>
                <w:szCs w:val="20"/>
              </w:rPr>
            </w:pPr>
            <w:r w:rsidRPr="005251C2">
              <w:rPr>
                <w:rFonts w:ascii="Arial" w:hAnsi="Arial" w:cs="Arial"/>
                <w:sz w:val="20"/>
                <w:szCs w:val="20"/>
              </w:rPr>
              <w:t>N/A</w:t>
            </w:r>
          </w:p>
        </w:tc>
        <w:tc>
          <w:tcPr>
            <w:tcW w:w="1106" w:type="dxa"/>
            <w:shd w:val="clear" w:color="auto" w:fill="auto"/>
          </w:tcPr>
          <w:p w:rsidR="00FB44EB" w:rsidRPr="000714C8" w:rsidRDefault="00C4392F" w:rsidP="00C4392F">
            <w:pPr>
              <w:spacing w:before="60" w:after="60" w:line="240" w:lineRule="auto"/>
              <w:jc w:val="center"/>
            </w:pPr>
            <w:r w:rsidRPr="005251C2">
              <w:rPr>
                <w:rFonts w:ascii="Arial" w:hAnsi="Arial" w:cs="Arial"/>
                <w:sz w:val="20"/>
                <w:szCs w:val="20"/>
              </w:rPr>
              <w:t>N/A</w:t>
            </w:r>
          </w:p>
        </w:tc>
        <w:tc>
          <w:tcPr>
            <w:tcW w:w="1106" w:type="dxa"/>
            <w:shd w:val="clear" w:color="auto" w:fill="auto"/>
          </w:tcPr>
          <w:p w:rsidR="00FB44EB" w:rsidRPr="005251C2" w:rsidRDefault="00FB44EB" w:rsidP="00C4392F">
            <w:pPr>
              <w:spacing w:before="60" w:after="60" w:line="240" w:lineRule="auto"/>
              <w:jc w:val="center"/>
              <w:rPr>
                <w:rFonts w:ascii="Arial" w:hAnsi="Arial" w:cs="Arial"/>
                <w:sz w:val="20"/>
                <w:szCs w:val="20"/>
              </w:rPr>
            </w:pPr>
            <w:r w:rsidRPr="005251C2">
              <w:rPr>
                <w:rFonts w:ascii="Arial" w:hAnsi="Arial" w:cs="Arial"/>
                <w:sz w:val="20"/>
                <w:szCs w:val="20"/>
              </w:rPr>
              <w:t>-</w:t>
            </w:r>
          </w:p>
        </w:tc>
      </w:tr>
      <w:tr w:rsidR="00FB44EB" w:rsidRPr="00F27FBD" w:rsidTr="00D53EC9">
        <w:trPr>
          <w:trHeight w:val="580"/>
        </w:trPr>
        <w:tc>
          <w:tcPr>
            <w:tcW w:w="1384" w:type="dxa"/>
            <w:shd w:val="clear" w:color="auto" w:fill="auto"/>
          </w:tcPr>
          <w:p w:rsidR="00FB44EB" w:rsidRPr="005251C2" w:rsidRDefault="00FB44EB" w:rsidP="00C4392F">
            <w:pPr>
              <w:pStyle w:val="BodyText"/>
              <w:spacing w:before="60" w:after="60"/>
              <w:rPr>
                <w:sz w:val="20"/>
                <w:szCs w:val="20"/>
              </w:rPr>
            </w:pPr>
            <w:r w:rsidRPr="005251C2">
              <w:rPr>
                <w:sz w:val="20"/>
                <w:szCs w:val="20"/>
              </w:rPr>
              <w:t>Four</w:t>
            </w:r>
          </w:p>
        </w:tc>
        <w:tc>
          <w:tcPr>
            <w:tcW w:w="6946" w:type="dxa"/>
            <w:shd w:val="clear" w:color="auto" w:fill="auto"/>
          </w:tcPr>
          <w:p w:rsidR="00FB44EB" w:rsidRPr="005251C2" w:rsidRDefault="00FB44EB" w:rsidP="00C4392F">
            <w:pPr>
              <w:spacing w:before="60" w:after="60" w:line="240" w:lineRule="auto"/>
              <w:rPr>
                <w:rFonts w:ascii="Arial" w:hAnsi="Arial" w:cs="Arial"/>
                <w:sz w:val="20"/>
                <w:szCs w:val="20"/>
              </w:rPr>
            </w:pPr>
            <w:r w:rsidRPr="005251C2">
              <w:rPr>
                <w:rFonts w:ascii="Arial" w:hAnsi="Arial" w:cs="Arial"/>
                <w:sz w:val="20"/>
                <w:szCs w:val="20"/>
              </w:rPr>
              <w:t>Percentage of significant projects in the New Buildings Program delivered within 10% of approved budget</w:t>
            </w:r>
          </w:p>
        </w:tc>
        <w:tc>
          <w:tcPr>
            <w:tcW w:w="1105" w:type="dxa"/>
            <w:shd w:val="clear" w:color="auto" w:fill="auto"/>
          </w:tcPr>
          <w:p w:rsidR="00FB44EB" w:rsidRPr="005251C2" w:rsidRDefault="00FB44EB" w:rsidP="00C4392F">
            <w:pPr>
              <w:spacing w:before="60" w:after="60" w:line="240" w:lineRule="auto"/>
              <w:jc w:val="center"/>
              <w:rPr>
                <w:rFonts w:ascii="Arial" w:hAnsi="Arial" w:cs="Arial"/>
                <w:sz w:val="20"/>
                <w:szCs w:val="20"/>
              </w:rPr>
            </w:pPr>
            <w:r w:rsidRPr="005251C2">
              <w:rPr>
                <w:rFonts w:ascii="Arial" w:hAnsi="Arial" w:cs="Arial"/>
                <w:sz w:val="20"/>
                <w:szCs w:val="20"/>
              </w:rPr>
              <w:t>%</w:t>
            </w:r>
          </w:p>
        </w:tc>
        <w:tc>
          <w:tcPr>
            <w:tcW w:w="1106" w:type="dxa"/>
            <w:shd w:val="clear" w:color="auto" w:fill="auto"/>
          </w:tcPr>
          <w:p w:rsidR="00FB44EB" w:rsidRPr="005251C2" w:rsidRDefault="00FB44EB" w:rsidP="00C4392F">
            <w:pPr>
              <w:spacing w:before="60" w:after="60" w:line="240" w:lineRule="auto"/>
              <w:jc w:val="right"/>
              <w:rPr>
                <w:rFonts w:ascii="Arial" w:hAnsi="Arial" w:cs="Arial"/>
                <w:sz w:val="20"/>
                <w:szCs w:val="20"/>
              </w:rPr>
            </w:pPr>
            <w:r w:rsidRPr="005251C2">
              <w:rPr>
                <w:rFonts w:ascii="Arial" w:hAnsi="Arial" w:cs="Arial"/>
                <w:sz w:val="20"/>
                <w:szCs w:val="20"/>
              </w:rPr>
              <w:t>100</w:t>
            </w:r>
          </w:p>
        </w:tc>
        <w:tc>
          <w:tcPr>
            <w:tcW w:w="1105" w:type="dxa"/>
            <w:shd w:val="clear" w:color="auto" w:fill="auto"/>
          </w:tcPr>
          <w:p w:rsidR="00FB44EB" w:rsidRPr="005251C2" w:rsidRDefault="00FB44EB" w:rsidP="00C4392F">
            <w:pPr>
              <w:spacing w:before="60" w:after="60" w:line="240" w:lineRule="auto"/>
              <w:jc w:val="right"/>
              <w:rPr>
                <w:rFonts w:ascii="Arial" w:hAnsi="Arial" w:cs="Arial"/>
                <w:sz w:val="20"/>
                <w:szCs w:val="20"/>
              </w:rPr>
            </w:pPr>
            <w:r w:rsidRPr="005251C2">
              <w:rPr>
                <w:rFonts w:ascii="Arial" w:hAnsi="Arial" w:cs="Arial"/>
                <w:sz w:val="20"/>
                <w:szCs w:val="20"/>
              </w:rPr>
              <w:t>100</w:t>
            </w:r>
          </w:p>
        </w:tc>
        <w:tc>
          <w:tcPr>
            <w:tcW w:w="1106" w:type="dxa"/>
            <w:shd w:val="clear" w:color="auto" w:fill="auto"/>
          </w:tcPr>
          <w:p w:rsidR="00FB44EB" w:rsidRPr="005251C2" w:rsidRDefault="00FB44EB" w:rsidP="00C4392F">
            <w:pPr>
              <w:spacing w:before="60" w:after="60" w:line="240" w:lineRule="auto"/>
              <w:jc w:val="center"/>
              <w:rPr>
                <w:rFonts w:ascii="Wingdings 2" w:hAnsi="Wingdings 2"/>
              </w:rPr>
            </w:pPr>
            <w:r w:rsidRPr="005251C2">
              <w:rPr>
                <w:rFonts w:ascii="Wingdings 2" w:hAnsi="Wingdings 2"/>
              </w:rPr>
              <w:t></w:t>
            </w:r>
          </w:p>
        </w:tc>
        <w:tc>
          <w:tcPr>
            <w:tcW w:w="1106" w:type="dxa"/>
            <w:shd w:val="clear" w:color="auto" w:fill="auto"/>
          </w:tcPr>
          <w:p w:rsidR="00FB44EB" w:rsidRPr="005251C2" w:rsidRDefault="00FB44EB" w:rsidP="00C4392F">
            <w:pPr>
              <w:spacing w:before="60" w:after="60" w:line="240" w:lineRule="auto"/>
              <w:jc w:val="center"/>
              <w:rPr>
                <w:rFonts w:ascii="Arial" w:hAnsi="Arial" w:cs="Arial"/>
                <w:sz w:val="20"/>
                <w:szCs w:val="20"/>
              </w:rPr>
            </w:pPr>
            <w:r>
              <w:rPr>
                <w:rFonts w:ascii="Arial" w:hAnsi="Arial" w:cs="Arial"/>
                <w:sz w:val="20"/>
                <w:szCs w:val="20"/>
              </w:rPr>
              <w:t>122</w:t>
            </w:r>
          </w:p>
        </w:tc>
      </w:tr>
      <w:tr w:rsidR="00FB44EB" w:rsidRPr="00F27FBD" w:rsidTr="00D53EC9">
        <w:trPr>
          <w:trHeight w:val="580"/>
        </w:trPr>
        <w:tc>
          <w:tcPr>
            <w:tcW w:w="1384" w:type="dxa"/>
            <w:shd w:val="clear" w:color="auto" w:fill="auto"/>
          </w:tcPr>
          <w:p w:rsidR="00FB44EB" w:rsidRPr="005251C2" w:rsidRDefault="00FB44EB" w:rsidP="00C4392F">
            <w:pPr>
              <w:pStyle w:val="BodyText"/>
              <w:spacing w:before="60" w:after="60"/>
              <w:rPr>
                <w:sz w:val="20"/>
                <w:szCs w:val="20"/>
              </w:rPr>
            </w:pPr>
            <w:r w:rsidRPr="005251C2">
              <w:rPr>
                <w:sz w:val="20"/>
                <w:szCs w:val="20"/>
              </w:rPr>
              <w:t>Five</w:t>
            </w:r>
          </w:p>
        </w:tc>
        <w:tc>
          <w:tcPr>
            <w:tcW w:w="6946" w:type="dxa"/>
            <w:shd w:val="clear" w:color="auto" w:fill="auto"/>
          </w:tcPr>
          <w:p w:rsidR="00FB44EB" w:rsidRPr="005251C2" w:rsidRDefault="00FB44EB" w:rsidP="00C4392F">
            <w:pPr>
              <w:spacing w:before="60" w:after="60" w:line="240" w:lineRule="auto"/>
              <w:rPr>
                <w:rFonts w:ascii="Arial" w:hAnsi="Arial" w:cs="Arial"/>
                <w:sz w:val="20"/>
                <w:szCs w:val="20"/>
              </w:rPr>
            </w:pPr>
            <w:r w:rsidRPr="005251C2">
              <w:rPr>
                <w:rFonts w:ascii="Arial" w:hAnsi="Arial" w:cs="Arial"/>
                <w:sz w:val="20"/>
                <w:szCs w:val="20"/>
              </w:rPr>
              <w:t>The extent to which policy and program development objectives for the year are achieved</w:t>
            </w:r>
          </w:p>
        </w:tc>
        <w:tc>
          <w:tcPr>
            <w:tcW w:w="1105" w:type="dxa"/>
            <w:shd w:val="clear" w:color="auto" w:fill="auto"/>
          </w:tcPr>
          <w:p w:rsidR="00FB44EB" w:rsidRPr="005251C2" w:rsidRDefault="00FB44EB" w:rsidP="00C4392F">
            <w:pPr>
              <w:spacing w:before="60" w:after="60" w:line="240" w:lineRule="auto"/>
              <w:jc w:val="center"/>
              <w:rPr>
                <w:rFonts w:ascii="Arial" w:hAnsi="Arial" w:cs="Arial"/>
                <w:sz w:val="20"/>
                <w:szCs w:val="20"/>
              </w:rPr>
            </w:pPr>
            <w:r w:rsidRPr="005251C2">
              <w:rPr>
                <w:rFonts w:ascii="Arial" w:hAnsi="Arial" w:cs="Arial"/>
                <w:sz w:val="20"/>
                <w:szCs w:val="20"/>
              </w:rPr>
              <w:t>%</w:t>
            </w:r>
          </w:p>
        </w:tc>
        <w:tc>
          <w:tcPr>
            <w:tcW w:w="1106" w:type="dxa"/>
            <w:shd w:val="clear" w:color="auto" w:fill="auto"/>
          </w:tcPr>
          <w:p w:rsidR="00FB44EB" w:rsidRPr="005251C2" w:rsidRDefault="00FB44EB" w:rsidP="00C4392F">
            <w:pPr>
              <w:spacing w:before="60" w:after="60" w:line="240" w:lineRule="auto"/>
              <w:jc w:val="right"/>
              <w:rPr>
                <w:rFonts w:ascii="Arial" w:hAnsi="Arial" w:cs="Arial"/>
                <w:sz w:val="20"/>
                <w:szCs w:val="20"/>
              </w:rPr>
            </w:pPr>
            <w:r w:rsidRPr="005251C2">
              <w:rPr>
                <w:rFonts w:ascii="Arial" w:hAnsi="Arial" w:cs="Arial"/>
                <w:sz w:val="20"/>
                <w:szCs w:val="20"/>
              </w:rPr>
              <w:t>100</w:t>
            </w:r>
          </w:p>
        </w:tc>
        <w:tc>
          <w:tcPr>
            <w:tcW w:w="1105" w:type="dxa"/>
            <w:shd w:val="clear" w:color="auto" w:fill="auto"/>
          </w:tcPr>
          <w:p w:rsidR="00FB44EB" w:rsidRPr="005251C2" w:rsidRDefault="00FB44EB" w:rsidP="00C4392F">
            <w:pPr>
              <w:spacing w:before="60" w:after="60" w:line="240" w:lineRule="auto"/>
              <w:jc w:val="right"/>
              <w:rPr>
                <w:rFonts w:ascii="Arial" w:hAnsi="Arial" w:cs="Arial"/>
                <w:sz w:val="20"/>
                <w:szCs w:val="20"/>
              </w:rPr>
            </w:pPr>
            <w:r w:rsidRPr="005251C2">
              <w:rPr>
                <w:rFonts w:ascii="Arial" w:hAnsi="Arial" w:cs="Arial"/>
                <w:sz w:val="20"/>
                <w:szCs w:val="20"/>
              </w:rPr>
              <w:t>92</w:t>
            </w:r>
          </w:p>
        </w:tc>
        <w:tc>
          <w:tcPr>
            <w:tcW w:w="1106" w:type="dxa"/>
            <w:shd w:val="clear" w:color="auto" w:fill="auto"/>
          </w:tcPr>
          <w:p w:rsidR="00FB44EB" w:rsidRPr="005251C2" w:rsidRDefault="00FB44EB" w:rsidP="00C4392F">
            <w:pPr>
              <w:spacing w:before="60" w:after="60" w:line="240" w:lineRule="auto"/>
              <w:jc w:val="center"/>
              <w:rPr>
                <w:rFonts w:ascii="Wingdings 2" w:hAnsi="Wingdings 2"/>
              </w:rPr>
            </w:pPr>
            <w:r w:rsidRPr="005251C2">
              <w:rPr>
                <w:rFonts w:ascii="Wingdings 2" w:hAnsi="Wingdings 2"/>
              </w:rPr>
              <w:t></w:t>
            </w:r>
          </w:p>
        </w:tc>
        <w:tc>
          <w:tcPr>
            <w:tcW w:w="1106" w:type="dxa"/>
            <w:shd w:val="clear" w:color="auto" w:fill="auto"/>
          </w:tcPr>
          <w:p w:rsidR="00FB44EB" w:rsidRPr="005251C2" w:rsidRDefault="00FB44EB" w:rsidP="00C4392F">
            <w:pPr>
              <w:spacing w:before="60" w:after="60" w:line="240" w:lineRule="auto"/>
              <w:jc w:val="center"/>
              <w:rPr>
                <w:rFonts w:ascii="Arial" w:hAnsi="Arial" w:cs="Arial"/>
                <w:sz w:val="20"/>
                <w:szCs w:val="20"/>
              </w:rPr>
            </w:pPr>
            <w:r>
              <w:rPr>
                <w:rFonts w:ascii="Arial" w:hAnsi="Arial" w:cs="Arial"/>
                <w:sz w:val="20"/>
                <w:szCs w:val="20"/>
              </w:rPr>
              <w:t>125</w:t>
            </w:r>
          </w:p>
        </w:tc>
      </w:tr>
    </w:tbl>
    <w:p w:rsidR="00644DA9" w:rsidRDefault="00644DA9" w:rsidP="00644DA9"/>
    <w:p w:rsidR="00644DA9" w:rsidRPr="00644DA9" w:rsidRDefault="00644DA9" w:rsidP="00644DA9"/>
    <w:p w:rsidR="00282733" w:rsidRDefault="00282733" w:rsidP="00282733">
      <w:pPr>
        <w:pStyle w:val="Caption"/>
        <w:keepNext/>
      </w:pPr>
    </w:p>
    <w:p w:rsidR="00282733" w:rsidRDefault="00282733" w:rsidP="00282733">
      <w:pPr>
        <w:pStyle w:val="Caption"/>
      </w:pPr>
      <w:r>
        <w:br w:type="page"/>
      </w:r>
      <w:fldSimple w:instr=" SEQ Table \* ARABIC ">
        <w:r w:rsidR="00D8778B">
          <w:rPr>
            <w:noProof/>
          </w:rPr>
          <w:t>4</w:t>
        </w:r>
      </w:fldSimple>
      <w:r>
        <w:t xml:space="preserve"> Key efficiency indicator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6946"/>
        <w:gridCol w:w="1105"/>
        <w:gridCol w:w="1106"/>
        <w:gridCol w:w="1105"/>
        <w:gridCol w:w="1106"/>
        <w:gridCol w:w="1106"/>
      </w:tblGrid>
      <w:tr w:rsidR="00E137E1" w:rsidRPr="00F27FBD" w:rsidTr="000A683A">
        <w:trPr>
          <w:trHeight w:val="462"/>
        </w:trPr>
        <w:tc>
          <w:tcPr>
            <w:tcW w:w="1384" w:type="dxa"/>
            <w:shd w:val="clear" w:color="auto" w:fill="auto"/>
          </w:tcPr>
          <w:p w:rsidR="00E137E1" w:rsidRPr="00F27FBD" w:rsidRDefault="00E137E1" w:rsidP="00854541">
            <w:pPr>
              <w:pStyle w:val="BodyText"/>
              <w:spacing w:before="60" w:after="60"/>
              <w:rPr>
                <w:b/>
                <w:sz w:val="20"/>
                <w:szCs w:val="20"/>
              </w:rPr>
            </w:pPr>
            <w:r>
              <w:rPr>
                <w:b/>
                <w:sz w:val="20"/>
                <w:szCs w:val="20"/>
              </w:rPr>
              <w:t>Service</w:t>
            </w:r>
          </w:p>
        </w:tc>
        <w:tc>
          <w:tcPr>
            <w:tcW w:w="6946" w:type="dxa"/>
            <w:shd w:val="clear" w:color="auto" w:fill="auto"/>
          </w:tcPr>
          <w:p w:rsidR="00E137E1" w:rsidRPr="00F27FBD" w:rsidRDefault="00E137E1" w:rsidP="00854541">
            <w:pPr>
              <w:pStyle w:val="BodyText"/>
              <w:spacing w:before="60" w:after="60"/>
              <w:rPr>
                <w:b/>
                <w:sz w:val="20"/>
                <w:szCs w:val="20"/>
              </w:rPr>
            </w:pPr>
            <w:r w:rsidRPr="00F27FBD">
              <w:rPr>
                <w:b/>
                <w:sz w:val="20"/>
                <w:szCs w:val="20"/>
              </w:rPr>
              <w:t>Key efficiency indicator</w:t>
            </w:r>
          </w:p>
        </w:tc>
        <w:tc>
          <w:tcPr>
            <w:tcW w:w="1105" w:type="dxa"/>
            <w:shd w:val="clear" w:color="auto" w:fill="auto"/>
          </w:tcPr>
          <w:p w:rsidR="00E137E1" w:rsidRPr="00F27FBD" w:rsidRDefault="00E137E1" w:rsidP="00854541">
            <w:pPr>
              <w:pStyle w:val="BodyText"/>
              <w:spacing w:before="60" w:after="60"/>
              <w:jc w:val="center"/>
              <w:rPr>
                <w:b/>
                <w:sz w:val="20"/>
                <w:szCs w:val="20"/>
              </w:rPr>
            </w:pPr>
            <w:r w:rsidRPr="00F27FBD">
              <w:rPr>
                <w:b/>
                <w:sz w:val="20"/>
                <w:szCs w:val="20"/>
              </w:rPr>
              <w:t>Unit</w:t>
            </w:r>
          </w:p>
        </w:tc>
        <w:tc>
          <w:tcPr>
            <w:tcW w:w="1106" w:type="dxa"/>
            <w:shd w:val="clear" w:color="auto" w:fill="auto"/>
          </w:tcPr>
          <w:p w:rsidR="00E137E1" w:rsidRPr="00F27FBD" w:rsidRDefault="00E137E1" w:rsidP="00854541">
            <w:pPr>
              <w:pStyle w:val="BodyText"/>
              <w:spacing w:before="60" w:after="60"/>
              <w:jc w:val="center"/>
              <w:rPr>
                <w:b/>
                <w:sz w:val="20"/>
                <w:szCs w:val="20"/>
              </w:rPr>
            </w:pPr>
            <w:r w:rsidRPr="00F27FBD">
              <w:rPr>
                <w:b/>
                <w:sz w:val="20"/>
                <w:szCs w:val="20"/>
              </w:rPr>
              <w:t>Target</w:t>
            </w:r>
          </w:p>
        </w:tc>
        <w:tc>
          <w:tcPr>
            <w:tcW w:w="1105" w:type="dxa"/>
            <w:shd w:val="clear" w:color="auto" w:fill="auto"/>
          </w:tcPr>
          <w:p w:rsidR="00E137E1" w:rsidRPr="00F27FBD" w:rsidRDefault="00E137E1" w:rsidP="00854541">
            <w:pPr>
              <w:pStyle w:val="BodyText"/>
              <w:spacing w:before="60" w:after="60"/>
              <w:jc w:val="center"/>
              <w:rPr>
                <w:b/>
                <w:sz w:val="20"/>
                <w:szCs w:val="20"/>
              </w:rPr>
            </w:pPr>
            <w:r w:rsidRPr="00F27FBD">
              <w:rPr>
                <w:b/>
                <w:sz w:val="20"/>
                <w:szCs w:val="20"/>
              </w:rPr>
              <w:t>Actual</w:t>
            </w:r>
          </w:p>
        </w:tc>
        <w:tc>
          <w:tcPr>
            <w:tcW w:w="1106" w:type="dxa"/>
            <w:shd w:val="clear" w:color="auto" w:fill="auto"/>
          </w:tcPr>
          <w:p w:rsidR="00E137E1" w:rsidRPr="00F27FBD" w:rsidRDefault="00E137E1" w:rsidP="00854541">
            <w:pPr>
              <w:pStyle w:val="BodyText"/>
              <w:spacing w:before="60" w:after="60"/>
              <w:jc w:val="center"/>
              <w:rPr>
                <w:b/>
                <w:sz w:val="20"/>
                <w:szCs w:val="20"/>
              </w:rPr>
            </w:pPr>
            <w:r w:rsidRPr="00F27FBD">
              <w:rPr>
                <w:b/>
                <w:sz w:val="20"/>
                <w:szCs w:val="20"/>
              </w:rPr>
              <w:t>Stats</w:t>
            </w:r>
          </w:p>
        </w:tc>
        <w:tc>
          <w:tcPr>
            <w:tcW w:w="1106" w:type="dxa"/>
            <w:shd w:val="clear" w:color="auto" w:fill="auto"/>
          </w:tcPr>
          <w:p w:rsidR="00E137E1" w:rsidRPr="00F27FBD" w:rsidRDefault="00E137E1" w:rsidP="00854541">
            <w:pPr>
              <w:pStyle w:val="BodyText"/>
              <w:spacing w:before="60" w:after="60"/>
              <w:jc w:val="center"/>
              <w:rPr>
                <w:b/>
                <w:sz w:val="20"/>
                <w:szCs w:val="20"/>
              </w:rPr>
            </w:pPr>
            <w:r w:rsidRPr="00F27FBD">
              <w:rPr>
                <w:b/>
                <w:sz w:val="20"/>
                <w:szCs w:val="20"/>
              </w:rPr>
              <w:t>Page</w:t>
            </w:r>
          </w:p>
        </w:tc>
      </w:tr>
      <w:tr w:rsidR="00E137E1" w:rsidRPr="00F27FBD" w:rsidTr="00854541">
        <w:tc>
          <w:tcPr>
            <w:tcW w:w="1384" w:type="dxa"/>
            <w:shd w:val="clear" w:color="auto" w:fill="auto"/>
          </w:tcPr>
          <w:p w:rsidR="00E137E1" w:rsidRPr="00196524" w:rsidRDefault="00E137E1" w:rsidP="00854541">
            <w:pPr>
              <w:pStyle w:val="BodyText"/>
              <w:spacing w:before="60" w:after="60"/>
              <w:rPr>
                <w:sz w:val="20"/>
                <w:szCs w:val="20"/>
              </w:rPr>
            </w:pPr>
            <w:r w:rsidRPr="00196524">
              <w:rPr>
                <w:sz w:val="20"/>
                <w:szCs w:val="20"/>
              </w:rPr>
              <w:t>One</w:t>
            </w:r>
          </w:p>
        </w:tc>
        <w:tc>
          <w:tcPr>
            <w:tcW w:w="6946" w:type="dxa"/>
            <w:shd w:val="clear" w:color="auto" w:fill="auto"/>
          </w:tcPr>
          <w:p w:rsidR="00E137E1" w:rsidRPr="00196524" w:rsidRDefault="00E137E1" w:rsidP="00854541">
            <w:pPr>
              <w:spacing w:before="60" w:after="60" w:line="240" w:lineRule="auto"/>
              <w:rPr>
                <w:rFonts w:ascii="Arial" w:hAnsi="Arial" w:cs="Arial"/>
                <w:sz w:val="20"/>
                <w:szCs w:val="20"/>
              </w:rPr>
            </w:pPr>
            <w:r w:rsidRPr="00196524">
              <w:rPr>
                <w:rFonts w:ascii="Arial" w:hAnsi="Arial" w:cs="Arial"/>
                <w:sz w:val="20"/>
                <w:szCs w:val="20"/>
              </w:rPr>
              <w:t>Cost per $100 of revenue raised</w:t>
            </w:r>
          </w:p>
        </w:tc>
        <w:tc>
          <w:tcPr>
            <w:tcW w:w="1105" w:type="dxa"/>
            <w:shd w:val="clear" w:color="auto" w:fill="auto"/>
          </w:tcPr>
          <w:p w:rsidR="00E137E1" w:rsidRPr="00196524" w:rsidRDefault="00E137E1" w:rsidP="00854541">
            <w:pPr>
              <w:pStyle w:val="BasicParagraph"/>
              <w:suppressAutoHyphens/>
              <w:spacing w:before="60" w:after="60" w:line="240" w:lineRule="auto"/>
              <w:jc w:val="center"/>
              <w:rPr>
                <w:rFonts w:ascii="Arial" w:hAnsi="Arial" w:cs="Arial"/>
                <w:sz w:val="20"/>
                <w:szCs w:val="20"/>
              </w:rPr>
            </w:pPr>
            <w:r w:rsidRPr="00196524">
              <w:rPr>
                <w:rFonts w:ascii="Arial" w:hAnsi="Arial" w:cs="Arial"/>
                <w:sz w:val="20"/>
                <w:szCs w:val="20"/>
              </w:rPr>
              <w:t>$</w:t>
            </w:r>
          </w:p>
        </w:tc>
        <w:tc>
          <w:tcPr>
            <w:tcW w:w="1106" w:type="dxa"/>
            <w:shd w:val="clear" w:color="auto" w:fill="auto"/>
          </w:tcPr>
          <w:p w:rsidR="00E137E1" w:rsidRPr="00196524" w:rsidRDefault="00E137E1" w:rsidP="00854541">
            <w:pPr>
              <w:pStyle w:val="BasicParagraph"/>
              <w:suppressAutoHyphens/>
              <w:spacing w:before="60" w:after="60" w:line="240" w:lineRule="auto"/>
              <w:jc w:val="right"/>
              <w:rPr>
                <w:rFonts w:ascii="Arial" w:hAnsi="Arial" w:cs="Arial"/>
                <w:sz w:val="20"/>
                <w:szCs w:val="20"/>
              </w:rPr>
            </w:pPr>
            <w:r w:rsidRPr="00196524">
              <w:rPr>
                <w:rFonts w:ascii="Arial" w:hAnsi="Arial" w:cs="Arial"/>
                <w:sz w:val="20"/>
                <w:szCs w:val="20"/>
              </w:rPr>
              <w:t>0.68</w:t>
            </w:r>
          </w:p>
        </w:tc>
        <w:tc>
          <w:tcPr>
            <w:tcW w:w="1105" w:type="dxa"/>
            <w:shd w:val="clear" w:color="auto" w:fill="auto"/>
          </w:tcPr>
          <w:p w:rsidR="00E137E1" w:rsidRPr="00196524" w:rsidRDefault="00E137E1" w:rsidP="00854541">
            <w:pPr>
              <w:pStyle w:val="NoParagraphStyle"/>
              <w:spacing w:before="60" w:after="60" w:line="240" w:lineRule="auto"/>
              <w:jc w:val="right"/>
              <w:textAlignment w:val="auto"/>
              <w:rPr>
                <w:rFonts w:ascii="Arial" w:hAnsi="Arial" w:cs="Arial"/>
                <w:color w:val="auto"/>
                <w:sz w:val="20"/>
                <w:szCs w:val="20"/>
              </w:rPr>
            </w:pPr>
            <w:r w:rsidRPr="00196524">
              <w:rPr>
                <w:rFonts w:ascii="Arial" w:hAnsi="Arial" w:cs="Arial"/>
                <w:color w:val="auto"/>
                <w:sz w:val="20"/>
                <w:szCs w:val="20"/>
              </w:rPr>
              <w:t>0.70</w:t>
            </w:r>
          </w:p>
        </w:tc>
        <w:tc>
          <w:tcPr>
            <w:tcW w:w="1106" w:type="dxa"/>
            <w:shd w:val="clear" w:color="auto" w:fill="auto"/>
          </w:tcPr>
          <w:p w:rsidR="00E137E1" w:rsidRPr="00556326" w:rsidRDefault="00E137E1" w:rsidP="00854541">
            <w:pPr>
              <w:pStyle w:val="NoParagraphStyle"/>
              <w:spacing w:before="60" w:after="60" w:line="240" w:lineRule="auto"/>
              <w:jc w:val="center"/>
              <w:textAlignment w:val="auto"/>
              <w:rPr>
                <w:rFonts w:ascii="Wingdings 2" w:hAnsi="Wingdings 2" w:cs="Arial"/>
                <w:color w:val="auto"/>
                <w:sz w:val="28"/>
                <w:szCs w:val="28"/>
              </w:rPr>
            </w:pPr>
            <w:r w:rsidRPr="00556326">
              <w:rPr>
                <w:rFonts w:ascii="Wingdings 2" w:hAnsi="Wingdings 2" w:cs="Arial"/>
                <w:color w:val="auto"/>
                <w:sz w:val="28"/>
                <w:szCs w:val="28"/>
              </w:rPr>
              <w:t></w:t>
            </w:r>
          </w:p>
        </w:tc>
        <w:tc>
          <w:tcPr>
            <w:tcW w:w="1106" w:type="dxa"/>
            <w:shd w:val="clear" w:color="auto" w:fill="auto"/>
          </w:tcPr>
          <w:p w:rsidR="00E137E1" w:rsidRPr="00196524" w:rsidRDefault="00E137E1" w:rsidP="00854541">
            <w:pPr>
              <w:pStyle w:val="NoParagraphStyle"/>
              <w:spacing w:before="60" w:after="60" w:line="240" w:lineRule="auto"/>
              <w:jc w:val="center"/>
              <w:textAlignment w:val="auto"/>
              <w:rPr>
                <w:rFonts w:ascii="Arial" w:hAnsi="Arial" w:cs="Arial"/>
                <w:color w:val="auto"/>
                <w:sz w:val="20"/>
                <w:szCs w:val="20"/>
              </w:rPr>
            </w:pPr>
            <w:r>
              <w:rPr>
                <w:rFonts w:ascii="Arial" w:hAnsi="Arial" w:cs="Arial"/>
                <w:color w:val="auto"/>
                <w:sz w:val="20"/>
                <w:szCs w:val="20"/>
              </w:rPr>
              <w:t>117</w:t>
            </w:r>
          </w:p>
        </w:tc>
      </w:tr>
      <w:tr w:rsidR="00E137E1" w:rsidRPr="00F27FBD" w:rsidTr="00854541">
        <w:trPr>
          <w:trHeight w:val="415"/>
        </w:trPr>
        <w:tc>
          <w:tcPr>
            <w:tcW w:w="1384" w:type="dxa"/>
            <w:shd w:val="clear" w:color="auto" w:fill="auto"/>
          </w:tcPr>
          <w:p w:rsidR="00E137E1" w:rsidRPr="00196524" w:rsidRDefault="00E137E1" w:rsidP="00854541">
            <w:pPr>
              <w:pStyle w:val="BodyText"/>
              <w:spacing w:before="60" w:after="60"/>
              <w:rPr>
                <w:sz w:val="20"/>
                <w:szCs w:val="20"/>
              </w:rPr>
            </w:pPr>
            <w:r w:rsidRPr="00196524">
              <w:rPr>
                <w:sz w:val="20"/>
                <w:szCs w:val="20"/>
              </w:rPr>
              <w:t>One</w:t>
            </w:r>
          </w:p>
        </w:tc>
        <w:tc>
          <w:tcPr>
            <w:tcW w:w="6946" w:type="dxa"/>
            <w:shd w:val="clear" w:color="auto" w:fill="auto"/>
          </w:tcPr>
          <w:p w:rsidR="00E137E1" w:rsidRPr="00196524" w:rsidRDefault="00E137E1" w:rsidP="00854541">
            <w:pPr>
              <w:spacing w:before="60" w:after="60" w:line="240" w:lineRule="auto"/>
              <w:rPr>
                <w:rFonts w:ascii="Arial" w:hAnsi="Arial" w:cs="Arial"/>
                <w:sz w:val="20"/>
                <w:szCs w:val="20"/>
              </w:rPr>
            </w:pPr>
            <w:r w:rsidRPr="00196524">
              <w:rPr>
                <w:rFonts w:ascii="Arial" w:hAnsi="Arial" w:cs="Arial"/>
                <w:sz w:val="20"/>
                <w:szCs w:val="20"/>
              </w:rPr>
              <w:t>Average cost per application/claim processed</w:t>
            </w:r>
          </w:p>
        </w:tc>
        <w:tc>
          <w:tcPr>
            <w:tcW w:w="1105" w:type="dxa"/>
            <w:shd w:val="clear" w:color="auto" w:fill="auto"/>
          </w:tcPr>
          <w:p w:rsidR="00E137E1" w:rsidRPr="00196524" w:rsidRDefault="00E137E1" w:rsidP="00854541">
            <w:pPr>
              <w:pStyle w:val="BasicParagraph"/>
              <w:suppressAutoHyphens/>
              <w:spacing w:before="60" w:after="60" w:line="240" w:lineRule="auto"/>
              <w:jc w:val="center"/>
              <w:rPr>
                <w:rFonts w:ascii="Arial" w:hAnsi="Arial" w:cs="Arial"/>
                <w:sz w:val="20"/>
                <w:szCs w:val="20"/>
              </w:rPr>
            </w:pPr>
            <w:r w:rsidRPr="00196524">
              <w:rPr>
                <w:rFonts w:ascii="Arial" w:hAnsi="Arial" w:cs="Arial"/>
                <w:sz w:val="20"/>
                <w:szCs w:val="20"/>
              </w:rPr>
              <w:t>$</w:t>
            </w:r>
          </w:p>
        </w:tc>
        <w:tc>
          <w:tcPr>
            <w:tcW w:w="1106" w:type="dxa"/>
            <w:shd w:val="clear" w:color="auto" w:fill="auto"/>
          </w:tcPr>
          <w:p w:rsidR="00E137E1" w:rsidRPr="00196524" w:rsidRDefault="00E137E1" w:rsidP="00854541">
            <w:pPr>
              <w:pStyle w:val="BasicParagraph"/>
              <w:suppressAutoHyphens/>
              <w:spacing w:before="60" w:after="60" w:line="240" w:lineRule="auto"/>
              <w:jc w:val="right"/>
              <w:rPr>
                <w:rFonts w:ascii="Arial" w:hAnsi="Arial" w:cs="Arial"/>
                <w:sz w:val="20"/>
                <w:szCs w:val="20"/>
              </w:rPr>
            </w:pPr>
            <w:r w:rsidRPr="00196524">
              <w:rPr>
                <w:rFonts w:ascii="Arial" w:hAnsi="Arial" w:cs="Arial"/>
                <w:sz w:val="20"/>
                <w:szCs w:val="20"/>
              </w:rPr>
              <w:t>12.17</w:t>
            </w:r>
          </w:p>
        </w:tc>
        <w:tc>
          <w:tcPr>
            <w:tcW w:w="1105" w:type="dxa"/>
            <w:shd w:val="clear" w:color="auto" w:fill="auto"/>
          </w:tcPr>
          <w:p w:rsidR="00E137E1" w:rsidRPr="00196524" w:rsidRDefault="00E137E1" w:rsidP="00854541">
            <w:pPr>
              <w:pStyle w:val="NoParagraphStyle"/>
              <w:spacing w:before="60" w:after="60" w:line="240" w:lineRule="auto"/>
              <w:jc w:val="right"/>
              <w:textAlignment w:val="auto"/>
              <w:rPr>
                <w:rFonts w:ascii="Arial" w:hAnsi="Arial" w:cs="Arial"/>
                <w:color w:val="auto"/>
                <w:sz w:val="20"/>
                <w:szCs w:val="20"/>
              </w:rPr>
            </w:pPr>
            <w:r w:rsidRPr="00196524">
              <w:rPr>
                <w:rFonts w:ascii="Arial" w:hAnsi="Arial" w:cs="Arial"/>
                <w:color w:val="auto"/>
                <w:sz w:val="20"/>
                <w:szCs w:val="20"/>
              </w:rPr>
              <w:t>11.58</w:t>
            </w:r>
          </w:p>
        </w:tc>
        <w:tc>
          <w:tcPr>
            <w:tcW w:w="1106" w:type="dxa"/>
            <w:shd w:val="clear" w:color="auto" w:fill="auto"/>
          </w:tcPr>
          <w:p w:rsidR="00E137E1" w:rsidRPr="00556326" w:rsidRDefault="00E137E1" w:rsidP="00854541">
            <w:pPr>
              <w:pStyle w:val="NoParagraphStyle"/>
              <w:spacing w:before="60" w:after="60" w:line="240" w:lineRule="auto"/>
              <w:jc w:val="center"/>
              <w:textAlignment w:val="auto"/>
              <w:rPr>
                <w:rFonts w:ascii="Wingdings 2" w:hAnsi="Wingdings 2" w:cs="Arial"/>
                <w:color w:val="auto"/>
                <w:sz w:val="28"/>
                <w:szCs w:val="28"/>
              </w:rPr>
            </w:pPr>
            <w:r w:rsidRPr="00556326">
              <w:rPr>
                <w:rFonts w:ascii="Wingdings 2" w:hAnsi="Wingdings 2" w:cs="Arial"/>
                <w:color w:val="auto"/>
                <w:sz w:val="28"/>
                <w:szCs w:val="28"/>
              </w:rPr>
              <w:t></w:t>
            </w:r>
          </w:p>
        </w:tc>
        <w:tc>
          <w:tcPr>
            <w:tcW w:w="1106" w:type="dxa"/>
            <w:shd w:val="clear" w:color="auto" w:fill="auto"/>
          </w:tcPr>
          <w:p w:rsidR="00E137E1" w:rsidRPr="00196524" w:rsidRDefault="00E137E1" w:rsidP="00854541">
            <w:pPr>
              <w:pStyle w:val="NoParagraphStyle"/>
              <w:spacing w:before="60" w:after="60" w:line="240" w:lineRule="auto"/>
              <w:jc w:val="center"/>
              <w:textAlignment w:val="auto"/>
              <w:rPr>
                <w:rFonts w:ascii="Arial" w:hAnsi="Arial" w:cs="Arial"/>
                <w:color w:val="auto"/>
                <w:sz w:val="20"/>
                <w:szCs w:val="20"/>
              </w:rPr>
            </w:pPr>
            <w:r>
              <w:rPr>
                <w:rFonts w:ascii="Arial" w:hAnsi="Arial" w:cs="Arial"/>
                <w:color w:val="auto"/>
                <w:sz w:val="20"/>
                <w:szCs w:val="20"/>
              </w:rPr>
              <w:t>117</w:t>
            </w:r>
          </w:p>
        </w:tc>
      </w:tr>
      <w:tr w:rsidR="00E137E1" w:rsidRPr="00F27FBD" w:rsidTr="00854541">
        <w:trPr>
          <w:trHeight w:val="578"/>
        </w:trPr>
        <w:tc>
          <w:tcPr>
            <w:tcW w:w="1384" w:type="dxa"/>
            <w:shd w:val="clear" w:color="auto" w:fill="auto"/>
          </w:tcPr>
          <w:p w:rsidR="00E137E1" w:rsidRPr="00196524" w:rsidRDefault="00E137E1" w:rsidP="00854541">
            <w:pPr>
              <w:pStyle w:val="BodyText"/>
              <w:spacing w:before="60" w:after="60"/>
              <w:rPr>
                <w:sz w:val="20"/>
                <w:szCs w:val="20"/>
              </w:rPr>
            </w:pPr>
            <w:r w:rsidRPr="00196524">
              <w:rPr>
                <w:sz w:val="20"/>
                <w:szCs w:val="20"/>
              </w:rPr>
              <w:t>Two</w:t>
            </w:r>
          </w:p>
        </w:tc>
        <w:tc>
          <w:tcPr>
            <w:tcW w:w="6946" w:type="dxa"/>
            <w:shd w:val="clear" w:color="auto" w:fill="auto"/>
          </w:tcPr>
          <w:p w:rsidR="00E137E1" w:rsidRPr="00196524" w:rsidRDefault="00E137E1" w:rsidP="00854541">
            <w:pPr>
              <w:spacing w:before="60" w:after="60" w:line="240" w:lineRule="auto"/>
              <w:rPr>
                <w:rFonts w:ascii="Arial" w:hAnsi="Arial" w:cs="Arial"/>
                <w:sz w:val="20"/>
                <w:szCs w:val="20"/>
              </w:rPr>
            </w:pPr>
            <w:r w:rsidRPr="00196524">
              <w:rPr>
                <w:rFonts w:ascii="Arial" w:hAnsi="Arial" w:cs="Arial"/>
                <w:sz w:val="20"/>
                <w:szCs w:val="20"/>
              </w:rPr>
              <w:t>Average administrative cost per vehicle for financing and managing the State Fleet service</w:t>
            </w:r>
          </w:p>
        </w:tc>
        <w:tc>
          <w:tcPr>
            <w:tcW w:w="1105" w:type="dxa"/>
            <w:shd w:val="clear" w:color="auto" w:fill="auto"/>
          </w:tcPr>
          <w:p w:rsidR="00E137E1" w:rsidRPr="00196524" w:rsidRDefault="00E137E1" w:rsidP="00854541">
            <w:pPr>
              <w:pStyle w:val="BasicParagraph"/>
              <w:suppressAutoHyphens/>
              <w:spacing w:before="60" w:after="60" w:line="240" w:lineRule="auto"/>
              <w:jc w:val="center"/>
              <w:rPr>
                <w:rFonts w:ascii="Arial" w:hAnsi="Arial" w:cs="Arial"/>
                <w:sz w:val="20"/>
                <w:szCs w:val="20"/>
              </w:rPr>
            </w:pPr>
            <w:r w:rsidRPr="00196524">
              <w:rPr>
                <w:rFonts w:ascii="Arial" w:hAnsi="Arial" w:cs="Arial"/>
                <w:sz w:val="20"/>
                <w:szCs w:val="20"/>
              </w:rPr>
              <w:t>$</w:t>
            </w:r>
          </w:p>
        </w:tc>
        <w:tc>
          <w:tcPr>
            <w:tcW w:w="1106" w:type="dxa"/>
            <w:shd w:val="clear" w:color="auto" w:fill="auto"/>
          </w:tcPr>
          <w:p w:rsidR="00E137E1" w:rsidRPr="00196524" w:rsidRDefault="00E137E1" w:rsidP="00854541">
            <w:pPr>
              <w:pStyle w:val="BasicParagraph"/>
              <w:suppressAutoHyphens/>
              <w:spacing w:before="60" w:after="60" w:line="240" w:lineRule="auto"/>
              <w:jc w:val="right"/>
              <w:rPr>
                <w:rFonts w:ascii="Arial" w:hAnsi="Arial" w:cs="Arial"/>
                <w:sz w:val="20"/>
                <w:szCs w:val="20"/>
              </w:rPr>
            </w:pPr>
            <w:r w:rsidRPr="00196524">
              <w:rPr>
                <w:rFonts w:ascii="Arial" w:hAnsi="Arial" w:cs="Arial"/>
                <w:sz w:val="20"/>
                <w:szCs w:val="20"/>
              </w:rPr>
              <w:t>100</w:t>
            </w:r>
          </w:p>
        </w:tc>
        <w:tc>
          <w:tcPr>
            <w:tcW w:w="1105" w:type="dxa"/>
            <w:shd w:val="clear" w:color="auto" w:fill="auto"/>
          </w:tcPr>
          <w:p w:rsidR="00E137E1" w:rsidRPr="00196524" w:rsidRDefault="00E137E1" w:rsidP="00854541">
            <w:pPr>
              <w:pStyle w:val="NoParagraphStyle"/>
              <w:spacing w:before="60" w:after="60" w:line="240" w:lineRule="auto"/>
              <w:jc w:val="right"/>
              <w:textAlignment w:val="auto"/>
              <w:rPr>
                <w:rFonts w:ascii="Arial" w:hAnsi="Arial" w:cs="Arial"/>
                <w:color w:val="auto"/>
                <w:sz w:val="20"/>
                <w:szCs w:val="20"/>
              </w:rPr>
            </w:pPr>
            <w:r w:rsidRPr="00196524">
              <w:rPr>
                <w:rFonts w:ascii="Arial" w:hAnsi="Arial" w:cs="Arial"/>
                <w:color w:val="auto"/>
                <w:sz w:val="20"/>
                <w:szCs w:val="20"/>
              </w:rPr>
              <w:t>94</w:t>
            </w:r>
          </w:p>
        </w:tc>
        <w:tc>
          <w:tcPr>
            <w:tcW w:w="1106" w:type="dxa"/>
            <w:shd w:val="clear" w:color="auto" w:fill="auto"/>
          </w:tcPr>
          <w:p w:rsidR="00E137E1" w:rsidRPr="00556326" w:rsidRDefault="00E137E1" w:rsidP="00854541">
            <w:pPr>
              <w:pStyle w:val="NoParagraphStyle"/>
              <w:spacing w:before="60" w:after="60" w:line="240" w:lineRule="auto"/>
              <w:jc w:val="center"/>
              <w:textAlignment w:val="auto"/>
              <w:rPr>
                <w:rFonts w:ascii="Wingdings 2" w:hAnsi="Wingdings 2" w:cs="Arial"/>
                <w:color w:val="auto"/>
                <w:sz w:val="28"/>
                <w:szCs w:val="28"/>
              </w:rPr>
            </w:pPr>
            <w:r w:rsidRPr="00556326">
              <w:rPr>
                <w:rFonts w:ascii="Wingdings 2" w:hAnsi="Wingdings 2" w:cs="Arial"/>
                <w:color w:val="auto"/>
                <w:sz w:val="28"/>
                <w:szCs w:val="28"/>
              </w:rPr>
              <w:t></w:t>
            </w:r>
          </w:p>
        </w:tc>
        <w:tc>
          <w:tcPr>
            <w:tcW w:w="1106" w:type="dxa"/>
            <w:shd w:val="clear" w:color="auto" w:fill="auto"/>
          </w:tcPr>
          <w:p w:rsidR="00E137E1" w:rsidRPr="00196524" w:rsidRDefault="00E137E1" w:rsidP="00854541">
            <w:pPr>
              <w:pStyle w:val="NoParagraphStyle"/>
              <w:spacing w:before="60" w:after="60" w:line="240" w:lineRule="auto"/>
              <w:jc w:val="center"/>
              <w:textAlignment w:val="auto"/>
              <w:rPr>
                <w:rFonts w:ascii="Arial" w:hAnsi="Arial" w:cs="Arial"/>
                <w:color w:val="auto"/>
                <w:sz w:val="20"/>
                <w:szCs w:val="20"/>
              </w:rPr>
            </w:pPr>
            <w:r>
              <w:rPr>
                <w:rFonts w:ascii="Arial" w:hAnsi="Arial" w:cs="Arial"/>
                <w:color w:val="auto"/>
                <w:sz w:val="20"/>
                <w:szCs w:val="20"/>
              </w:rPr>
              <w:t>119</w:t>
            </w:r>
          </w:p>
        </w:tc>
      </w:tr>
      <w:tr w:rsidR="00E137E1" w:rsidRPr="00F27FBD" w:rsidTr="00854541">
        <w:trPr>
          <w:trHeight w:val="844"/>
        </w:trPr>
        <w:tc>
          <w:tcPr>
            <w:tcW w:w="1384" w:type="dxa"/>
            <w:shd w:val="clear" w:color="auto" w:fill="auto"/>
          </w:tcPr>
          <w:p w:rsidR="00E137E1" w:rsidRPr="00196524" w:rsidRDefault="00E137E1" w:rsidP="00854541">
            <w:pPr>
              <w:pStyle w:val="BodyText"/>
              <w:spacing w:before="60" w:after="60"/>
              <w:rPr>
                <w:sz w:val="20"/>
                <w:szCs w:val="20"/>
              </w:rPr>
            </w:pPr>
            <w:r w:rsidRPr="00196524">
              <w:rPr>
                <w:sz w:val="20"/>
                <w:szCs w:val="20"/>
              </w:rPr>
              <w:t>Two</w:t>
            </w:r>
          </w:p>
        </w:tc>
        <w:tc>
          <w:tcPr>
            <w:tcW w:w="6946" w:type="dxa"/>
            <w:shd w:val="clear" w:color="auto" w:fill="auto"/>
          </w:tcPr>
          <w:p w:rsidR="00E137E1" w:rsidRPr="00196524" w:rsidRDefault="00E137E1" w:rsidP="00854541">
            <w:pPr>
              <w:spacing w:before="60" w:after="60" w:line="240" w:lineRule="auto"/>
              <w:rPr>
                <w:rFonts w:ascii="Arial" w:hAnsi="Arial" w:cs="Arial"/>
                <w:sz w:val="20"/>
                <w:szCs w:val="20"/>
              </w:rPr>
            </w:pPr>
            <w:r w:rsidRPr="00196524">
              <w:rPr>
                <w:rFonts w:ascii="Arial" w:hAnsi="Arial" w:cs="Arial"/>
                <w:sz w:val="20"/>
                <w:szCs w:val="20"/>
              </w:rPr>
              <w:t>Cost of developing and managing whole-of-government common use contract arrangements as a percentage of the total annual value of purchases through the arrangements</w:t>
            </w:r>
          </w:p>
        </w:tc>
        <w:tc>
          <w:tcPr>
            <w:tcW w:w="1105" w:type="dxa"/>
            <w:shd w:val="clear" w:color="auto" w:fill="auto"/>
          </w:tcPr>
          <w:p w:rsidR="00E137E1" w:rsidRPr="00196524" w:rsidRDefault="00E137E1" w:rsidP="00854541">
            <w:pPr>
              <w:pStyle w:val="BasicParagraph"/>
              <w:suppressAutoHyphens/>
              <w:spacing w:before="60" w:after="60" w:line="240" w:lineRule="auto"/>
              <w:jc w:val="center"/>
              <w:rPr>
                <w:rFonts w:ascii="Arial" w:hAnsi="Arial" w:cs="Arial"/>
                <w:sz w:val="20"/>
                <w:szCs w:val="20"/>
              </w:rPr>
            </w:pPr>
            <w:r w:rsidRPr="00196524">
              <w:rPr>
                <w:rFonts w:ascii="Arial" w:hAnsi="Arial" w:cs="Arial"/>
                <w:sz w:val="20"/>
                <w:szCs w:val="20"/>
              </w:rPr>
              <w:t>%</w:t>
            </w:r>
          </w:p>
        </w:tc>
        <w:tc>
          <w:tcPr>
            <w:tcW w:w="1106" w:type="dxa"/>
            <w:shd w:val="clear" w:color="auto" w:fill="auto"/>
          </w:tcPr>
          <w:p w:rsidR="00E137E1" w:rsidRPr="00196524" w:rsidRDefault="00E137E1" w:rsidP="00854541">
            <w:pPr>
              <w:pStyle w:val="BasicParagraph"/>
              <w:suppressAutoHyphens/>
              <w:spacing w:before="60" w:after="60" w:line="240" w:lineRule="auto"/>
              <w:jc w:val="right"/>
              <w:rPr>
                <w:rFonts w:ascii="Arial" w:hAnsi="Arial" w:cs="Arial"/>
                <w:sz w:val="20"/>
                <w:szCs w:val="20"/>
              </w:rPr>
            </w:pPr>
            <w:r w:rsidRPr="00196524">
              <w:rPr>
                <w:rFonts w:ascii="Arial" w:hAnsi="Arial" w:cs="Arial"/>
                <w:sz w:val="20"/>
                <w:szCs w:val="20"/>
              </w:rPr>
              <w:t>2.2</w:t>
            </w:r>
          </w:p>
        </w:tc>
        <w:tc>
          <w:tcPr>
            <w:tcW w:w="1105" w:type="dxa"/>
            <w:shd w:val="clear" w:color="auto" w:fill="auto"/>
          </w:tcPr>
          <w:p w:rsidR="00E137E1" w:rsidRPr="00196524" w:rsidRDefault="00E137E1" w:rsidP="00854541">
            <w:pPr>
              <w:pStyle w:val="NoParagraphStyle"/>
              <w:spacing w:before="60" w:after="60" w:line="240" w:lineRule="auto"/>
              <w:jc w:val="right"/>
              <w:textAlignment w:val="auto"/>
              <w:rPr>
                <w:rFonts w:ascii="Arial" w:hAnsi="Arial" w:cs="Arial"/>
                <w:color w:val="auto"/>
                <w:sz w:val="20"/>
                <w:szCs w:val="20"/>
              </w:rPr>
            </w:pPr>
            <w:r w:rsidRPr="00196524">
              <w:rPr>
                <w:rFonts w:ascii="Arial" w:hAnsi="Arial" w:cs="Arial"/>
                <w:color w:val="auto"/>
                <w:sz w:val="20"/>
                <w:szCs w:val="20"/>
              </w:rPr>
              <w:t>1.4</w:t>
            </w:r>
          </w:p>
        </w:tc>
        <w:tc>
          <w:tcPr>
            <w:tcW w:w="1106" w:type="dxa"/>
            <w:shd w:val="clear" w:color="auto" w:fill="auto"/>
          </w:tcPr>
          <w:p w:rsidR="00E137E1" w:rsidRPr="00556326" w:rsidRDefault="00E137E1" w:rsidP="00854541">
            <w:pPr>
              <w:pStyle w:val="NoParagraphStyle"/>
              <w:spacing w:before="60" w:after="60" w:line="240" w:lineRule="auto"/>
              <w:jc w:val="center"/>
              <w:textAlignment w:val="auto"/>
              <w:rPr>
                <w:rFonts w:ascii="Wingdings 2" w:hAnsi="Wingdings 2" w:cs="Arial"/>
                <w:color w:val="auto"/>
                <w:sz w:val="28"/>
                <w:szCs w:val="28"/>
              </w:rPr>
            </w:pPr>
            <w:r w:rsidRPr="00556326">
              <w:rPr>
                <w:rFonts w:ascii="Wingdings 2" w:hAnsi="Wingdings 2" w:cs="Arial"/>
                <w:color w:val="auto"/>
                <w:sz w:val="28"/>
                <w:szCs w:val="28"/>
              </w:rPr>
              <w:t></w:t>
            </w:r>
          </w:p>
        </w:tc>
        <w:tc>
          <w:tcPr>
            <w:tcW w:w="1106" w:type="dxa"/>
            <w:shd w:val="clear" w:color="auto" w:fill="auto"/>
          </w:tcPr>
          <w:p w:rsidR="00E137E1" w:rsidRPr="00196524" w:rsidRDefault="00E137E1" w:rsidP="00854541">
            <w:pPr>
              <w:pStyle w:val="NoParagraphStyle"/>
              <w:spacing w:before="60" w:after="60" w:line="240" w:lineRule="auto"/>
              <w:jc w:val="center"/>
              <w:textAlignment w:val="auto"/>
              <w:rPr>
                <w:rFonts w:ascii="Arial" w:hAnsi="Arial" w:cs="Arial"/>
                <w:color w:val="auto"/>
                <w:sz w:val="20"/>
                <w:szCs w:val="20"/>
              </w:rPr>
            </w:pPr>
            <w:r>
              <w:rPr>
                <w:rFonts w:ascii="Arial" w:hAnsi="Arial" w:cs="Arial"/>
                <w:color w:val="auto"/>
                <w:sz w:val="20"/>
                <w:szCs w:val="20"/>
              </w:rPr>
              <w:t>119</w:t>
            </w:r>
          </w:p>
        </w:tc>
      </w:tr>
      <w:tr w:rsidR="00E137E1" w:rsidRPr="00F27FBD" w:rsidTr="00854541">
        <w:trPr>
          <w:trHeight w:val="574"/>
        </w:trPr>
        <w:tc>
          <w:tcPr>
            <w:tcW w:w="1384" w:type="dxa"/>
            <w:shd w:val="clear" w:color="auto" w:fill="auto"/>
          </w:tcPr>
          <w:p w:rsidR="00E137E1" w:rsidRPr="00196524" w:rsidRDefault="00E137E1" w:rsidP="00854541">
            <w:pPr>
              <w:pStyle w:val="BodyText"/>
              <w:spacing w:before="60" w:after="60"/>
              <w:rPr>
                <w:sz w:val="20"/>
                <w:szCs w:val="20"/>
              </w:rPr>
            </w:pPr>
            <w:r w:rsidRPr="00196524">
              <w:rPr>
                <w:sz w:val="20"/>
                <w:szCs w:val="20"/>
              </w:rPr>
              <w:t>Two</w:t>
            </w:r>
          </w:p>
        </w:tc>
        <w:tc>
          <w:tcPr>
            <w:tcW w:w="6946" w:type="dxa"/>
            <w:shd w:val="clear" w:color="auto" w:fill="auto"/>
          </w:tcPr>
          <w:p w:rsidR="00E137E1" w:rsidRPr="00196524" w:rsidRDefault="00E137E1" w:rsidP="00854541">
            <w:pPr>
              <w:spacing w:before="60" w:after="60" w:line="240" w:lineRule="auto"/>
              <w:rPr>
                <w:rFonts w:ascii="Arial" w:hAnsi="Arial" w:cs="Arial"/>
                <w:sz w:val="20"/>
                <w:szCs w:val="20"/>
              </w:rPr>
            </w:pPr>
            <w:r w:rsidRPr="00196524">
              <w:rPr>
                <w:rFonts w:ascii="Arial" w:hAnsi="Arial" w:cs="Arial"/>
                <w:sz w:val="20"/>
                <w:szCs w:val="20"/>
              </w:rPr>
              <w:t>Cost of facilitating the development and management of agency specific contracts as a percentage of the contract award value</w:t>
            </w:r>
          </w:p>
        </w:tc>
        <w:tc>
          <w:tcPr>
            <w:tcW w:w="1105" w:type="dxa"/>
            <w:shd w:val="clear" w:color="auto" w:fill="auto"/>
          </w:tcPr>
          <w:p w:rsidR="00E137E1" w:rsidRPr="00196524" w:rsidRDefault="00E137E1" w:rsidP="00854541">
            <w:pPr>
              <w:pStyle w:val="BasicParagraph"/>
              <w:suppressAutoHyphens/>
              <w:spacing w:before="60" w:after="60" w:line="240" w:lineRule="auto"/>
              <w:jc w:val="center"/>
              <w:rPr>
                <w:rFonts w:ascii="Arial" w:hAnsi="Arial" w:cs="Arial"/>
                <w:sz w:val="20"/>
                <w:szCs w:val="20"/>
              </w:rPr>
            </w:pPr>
            <w:r w:rsidRPr="00196524">
              <w:rPr>
                <w:rFonts w:ascii="Arial" w:hAnsi="Arial" w:cs="Arial"/>
                <w:sz w:val="20"/>
                <w:szCs w:val="20"/>
              </w:rPr>
              <w:t>%</w:t>
            </w:r>
          </w:p>
        </w:tc>
        <w:tc>
          <w:tcPr>
            <w:tcW w:w="1106" w:type="dxa"/>
            <w:shd w:val="clear" w:color="auto" w:fill="auto"/>
          </w:tcPr>
          <w:p w:rsidR="00E137E1" w:rsidRPr="00196524" w:rsidRDefault="00E137E1" w:rsidP="00854541">
            <w:pPr>
              <w:pStyle w:val="BasicParagraph"/>
              <w:suppressAutoHyphens/>
              <w:spacing w:before="60" w:after="60" w:line="240" w:lineRule="auto"/>
              <w:jc w:val="right"/>
              <w:rPr>
                <w:rFonts w:ascii="Arial" w:hAnsi="Arial" w:cs="Arial"/>
                <w:sz w:val="20"/>
                <w:szCs w:val="20"/>
              </w:rPr>
            </w:pPr>
            <w:r w:rsidRPr="00196524">
              <w:rPr>
                <w:rFonts w:ascii="Arial" w:hAnsi="Arial" w:cs="Arial"/>
                <w:sz w:val="20"/>
                <w:szCs w:val="20"/>
              </w:rPr>
              <w:t>2.2</w:t>
            </w:r>
          </w:p>
        </w:tc>
        <w:tc>
          <w:tcPr>
            <w:tcW w:w="1105" w:type="dxa"/>
            <w:shd w:val="clear" w:color="auto" w:fill="auto"/>
          </w:tcPr>
          <w:p w:rsidR="00E137E1" w:rsidRPr="00196524" w:rsidRDefault="00E137E1" w:rsidP="00854541">
            <w:pPr>
              <w:pStyle w:val="NoParagraphStyle"/>
              <w:spacing w:before="60" w:after="60" w:line="240" w:lineRule="auto"/>
              <w:jc w:val="right"/>
              <w:textAlignment w:val="auto"/>
              <w:rPr>
                <w:rFonts w:ascii="Arial" w:hAnsi="Arial" w:cs="Arial"/>
                <w:color w:val="auto"/>
                <w:sz w:val="20"/>
                <w:szCs w:val="20"/>
              </w:rPr>
            </w:pPr>
            <w:r w:rsidRPr="00196524">
              <w:rPr>
                <w:rFonts w:ascii="Arial" w:hAnsi="Arial" w:cs="Arial"/>
                <w:color w:val="auto"/>
                <w:sz w:val="20"/>
                <w:szCs w:val="20"/>
              </w:rPr>
              <w:t>1.9</w:t>
            </w:r>
          </w:p>
        </w:tc>
        <w:tc>
          <w:tcPr>
            <w:tcW w:w="1106" w:type="dxa"/>
            <w:shd w:val="clear" w:color="auto" w:fill="auto"/>
          </w:tcPr>
          <w:p w:rsidR="00E137E1" w:rsidRPr="00556326" w:rsidRDefault="00E137E1" w:rsidP="00854541">
            <w:pPr>
              <w:pStyle w:val="NoParagraphStyle"/>
              <w:spacing w:before="60" w:after="60" w:line="240" w:lineRule="auto"/>
              <w:jc w:val="center"/>
              <w:textAlignment w:val="auto"/>
              <w:rPr>
                <w:rFonts w:ascii="Wingdings 2" w:hAnsi="Wingdings 2" w:cs="Arial"/>
                <w:color w:val="auto"/>
                <w:sz w:val="28"/>
                <w:szCs w:val="28"/>
              </w:rPr>
            </w:pPr>
            <w:r w:rsidRPr="00556326">
              <w:rPr>
                <w:rFonts w:ascii="Wingdings 2" w:hAnsi="Wingdings 2" w:cs="Arial"/>
                <w:color w:val="auto"/>
                <w:sz w:val="28"/>
                <w:szCs w:val="28"/>
              </w:rPr>
              <w:t></w:t>
            </w:r>
          </w:p>
        </w:tc>
        <w:tc>
          <w:tcPr>
            <w:tcW w:w="1106" w:type="dxa"/>
            <w:shd w:val="clear" w:color="auto" w:fill="auto"/>
          </w:tcPr>
          <w:p w:rsidR="00E137E1" w:rsidRPr="00196524" w:rsidRDefault="00E137E1" w:rsidP="00854541">
            <w:pPr>
              <w:pStyle w:val="NoParagraphStyle"/>
              <w:spacing w:before="60" w:after="60" w:line="240" w:lineRule="auto"/>
              <w:jc w:val="center"/>
              <w:textAlignment w:val="auto"/>
              <w:rPr>
                <w:rFonts w:ascii="Arial" w:hAnsi="Arial" w:cs="Arial"/>
                <w:color w:val="auto"/>
                <w:sz w:val="20"/>
                <w:szCs w:val="20"/>
              </w:rPr>
            </w:pPr>
            <w:r>
              <w:rPr>
                <w:rFonts w:ascii="Arial" w:hAnsi="Arial" w:cs="Arial"/>
                <w:color w:val="auto"/>
                <w:sz w:val="20"/>
                <w:szCs w:val="20"/>
              </w:rPr>
              <w:t>119</w:t>
            </w:r>
          </w:p>
        </w:tc>
      </w:tr>
      <w:tr w:rsidR="00E137E1" w:rsidRPr="00F27FBD" w:rsidTr="00854541">
        <w:trPr>
          <w:trHeight w:val="419"/>
        </w:trPr>
        <w:tc>
          <w:tcPr>
            <w:tcW w:w="1384" w:type="dxa"/>
            <w:shd w:val="clear" w:color="auto" w:fill="auto"/>
          </w:tcPr>
          <w:p w:rsidR="00E137E1" w:rsidRPr="00196524" w:rsidRDefault="00E137E1" w:rsidP="00854541">
            <w:pPr>
              <w:pStyle w:val="BodyText"/>
              <w:spacing w:before="60" w:after="60"/>
              <w:rPr>
                <w:sz w:val="20"/>
                <w:szCs w:val="20"/>
              </w:rPr>
            </w:pPr>
            <w:r w:rsidRPr="00196524">
              <w:rPr>
                <w:sz w:val="20"/>
                <w:szCs w:val="20"/>
              </w:rPr>
              <w:t>Three</w:t>
            </w:r>
          </w:p>
        </w:tc>
        <w:tc>
          <w:tcPr>
            <w:tcW w:w="6946" w:type="dxa"/>
            <w:shd w:val="clear" w:color="auto" w:fill="auto"/>
          </w:tcPr>
          <w:p w:rsidR="00E137E1" w:rsidRPr="00196524" w:rsidRDefault="00E137E1" w:rsidP="00854541">
            <w:pPr>
              <w:spacing w:before="60" w:after="60" w:line="240" w:lineRule="auto"/>
              <w:rPr>
                <w:rFonts w:ascii="Arial" w:hAnsi="Arial" w:cs="Arial"/>
                <w:sz w:val="20"/>
                <w:szCs w:val="20"/>
              </w:rPr>
            </w:pPr>
            <w:r w:rsidRPr="00196524">
              <w:rPr>
                <w:rFonts w:ascii="Arial" w:hAnsi="Arial" w:cs="Arial"/>
                <w:sz w:val="20"/>
                <w:szCs w:val="20"/>
              </w:rPr>
              <w:t>An efficiency indicator is not reported for this service</w:t>
            </w:r>
          </w:p>
        </w:tc>
        <w:tc>
          <w:tcPr>
            <w:tcW w:w="1105" w:type="dxa"/>
            <w:shd w:val="clear" w:color="auto" w:fill="auto"/>
          </w:tcPr>
          <w:p w:rsidR="00E137E1" w:rsidRPr="00196524" w:rsidRDefault="00E137E1" w:rsidP="00854541">
            <w:pPr>
              <w:pStyle w:val="NoParagraphStyle"/>
              <w:spacing w:before="60" w:after="60" w:line="240" w:lineRule="auto"/>
              <w:textAlignment w:val="auto"/>
              <w:rPr>
                <w:rFonts w:ascii="Arial" w:hAnsi="Arial" w:cs="Arial"/>
                <w:color w:val="auto"/>
                <w:sz w:val="20"/>
                <w:szCs w:val="20"/>
              </w:rPr>
            </w:pPr>
          </w:p>
        </w:tc>
        <w:tc>
          <w:tcPr>
            <w:tcW w:w="1106" w:type="dxa"/>
            <w:shd w:val="clear" w:color="auto" w:fill="auto"/>
          </w:tcPr>
          <w:p w:rsidR="00E137E1" w:rsidRPr="00196524" w:rsidRDefault="00E137E1" w:rsidP="00854541">
            <w:pPr>
              <w:pStyle w:val="BasicParagraph"/>
              <w:suppressAutoHyphens/>
              <w:spacing w:before="60" w:after="60" w:line="240" w:lineRule="auto"/>
              <w:jc w:val="right"/>
              <w:rPr>
                <w:rFonts w:ascii="Arial" w:hAnsi="Arial" w:cs="Arial"/>
                <w:sz w:val="20"/>
                <w:szCs w:val="20"/>
              </w:rPr>
            </w:pPr>
            <w:r w:rsidRPr="00196524">
              <w:rPr>
                <w:rFonts w:ascii="Arial" w:hAnsi="Arial" w:cs="Arial"/>
                <w:sz w:val="20"/>
                <w:szCs w:val="20"/>
              </w:rPr>
              <w:t>N/A</w:t>
            </w:r>
          </w:p>
        </w:tc>
        <w:tc>
          <w:tcPr>
            <w:tcW w:w="1105" w:type="dxa"/>
            <w:shd w:val="clear" w:color="auto" w:fill="auto"/>
          </w:tcPr>
          <w:p w:rsidR="00E137E1" w:rsidRPr="00196524" w:rsidRDefault="00E137E1" w:rsidP="00854541">
            <w:pPr>
              <w:pStyle w:val="NoParagraphStyle"/>
              <w:spacing w:before="60" w:after="60" w:line="240" w:lineRule="auto"/>
              <w:jc w:val="right"/>
              <w:textAlignment w:val="auto"/>
              <w:rPr>
                <w:rFonts w:ascii="Arial" w:hAnsi="Arial" w:cs="Arial"/>
                <w:color w:val="auto"/>
                <w:sz w:val="20"/>
                <w:szCs w:val="20"/>
              </w:rPr>
            </w:pPr>
            <w:r w:rsidRPr="00196524">
              <w:rPr>
                <w:rFonts w:ascii="Arial" w:hAnsi="Arial" w:cs="Arial"/>
                <w:color w:val="auto"/>
                <w:sz w:val="20"/>
                <w:szCs w:val="20"/>
              </w:rPr>
              <w:t>N/A</w:t>
            </w:r>
          </w:p>
        </w:tc>
        <w:tc>
          <w:tcPr>
            <w:tcW w:w="1106" w:type="dxa"/>
            <w:shd w:val="clear" w:color="auto" w:fill="auto"/>
          </w:tcPr>
          <w:p w:rsidR="00E137E1" w:rsidRPr="00196524" w:rsidRDefault="00E137E1" w:rsidP="00854541">
            <w:pPr>
              <w:pStyle w:val="NoParagraphStyle"/>
              <w:spacing w:before="60" w:after="60" w:line="240" w:lineRule="auto"/>
              <w:jc w:val="center"/>
              <w:textAlignment w:val="auto"/>
              <w:rPr>
                <w:rFonts w:ascii="Arial" w:hAnsi="Arial" w:cs="Arial"/>
                <w:color w:val="auto"/>
                <w:sz w:val="20"/>
                <w:szCs w:val="20"/>
              </w:rPr>
            </w:pPr>
            <w:r w:rsidRPr="005251C2">
              <w:rPr>
                <w:rFonts w:ascii="Arial" w:hAnsi="Arial" w:cs="Arial"/>
                <w:sz w:val="20"/>
                <w:szCs w:val="20"/>
              </w:rPr>
              <w:t>N/A</w:t>
            </w:r>
          </w:p>
        </w:tc>
        <w:tc>
          <w:tcPr>
            <w:tcW w:w="1106" w:type="dxa"/>
            <w:shd w:val="clear" w:color="auto" w:fill="auto"/>
          </w:tcPr>
          <w:p w:rsidR="00E137E1" w:rsidRPr="00196524" w:rsidRDefault="00E137E1" w:rsidP="00854541">
            <w:pPr>
              <w:pStyle w:val="NoParagraphStyle"/>
              <w:spacing w:before="60" w:after="60" w:line="240" w:lineRule="auto"/>
              <w:jc w:val="center"/>
              <w:textAlignment w:val="auto"/>
              <w:rPr>
                <w:rFonts w:ascii="Arial" w:hAnsi="Arial" w:cs="Arial"/>
                <w:color w:val="auto"/>
                <w:sz w:val="20"/>
                <w:szCs w:val="20"/>
              </w:rPr>
            </w:pPr>
            <w:r w:rsidRPr="00196524">
              <w:rPr>
                <w:rFonts w:ascii="Arial" w:hAnsi="Arial" w:cs="Arial"/>
                <w:color w:val="auto"/>
                <w:sz w:val="20"/>
                <w:szCs w:val="20"/>
              </w:rPr>
              <w:t>-</w:t>
            </w:r>
          </w:p>
        </w:tc>
      </w:tr>
      <w:tr w:rsidR="00E137E1" w:rsidRPr="00F27FBD" w:rsidTr="00854541">
        <w:trPr>
          <w:trHeight w:val="420"/>
        </w:trPr>
        <w:tc>
          <w:tcPr>
            <w:tcW w:w="1384" w:type="dxa"/>
            <w:shd w:val="clear" w:color="auto" w:fill="auto"/>
          </w:tcPr>
          <w:p w:rsidR="00E137E1" w:rsidRPr="00196524" w:rsidRDefault="00E137E1" w:rsidP="00854541">
            <w:pPr>
              <w:pStyle w:val="BodyText"/>
              <w:spacing w:before="60" w:after="60"/>
              <w:rPr>
                <w:sz w:val="20"/>
                <w:szCs w:val="20"/>
              </w:rPr>
            </w:pPr>
            <w:r w:rsidRPr="00196524">
              <w:rPr>
                <w:sz w:val="20"/>
                <w:szCs w:val="20"/>
              </w:rPr>
              <w:t>Four</w:t>
            </w:r>
          </w:p>
        </w:tc>
        <w:tc>
          <w:tcPr>
            <w:tcW w:w="6946" w:type="dxa"/>
            <w:shd w:val="clear" w:color="auto" w:fill="auto"/>
          </w:tcPr>
          <w:p w:rsidR="00E137E1" w:rsidRPr="00196524" w:rsidRDefault="00E137E1" w:rsidP="00854541">
            <w:pPr>
              <w:spacing w:before="60" w:after="60" w:line="240" w:lineRule="auto"/>
              <w:rPr>
                <w:rFonts w:ascii="Arial" w:hAnsi="Arial" w:cs="Arial"/>
                <w:sz w:val="20"/>
                <w:szCs w:val="20"/>
              </w:rPr>
            </w:pPr>
            <w:r w:rsidRPr="00196524">
              <w:rPr>
                <w:rFonts w:ascii="Arial" w:hAnsi="Arial" w:cs="Arial"/>
                <w:sz w:val="20"/>
                <w:szCs w:val="20"/>
              </w:rPr>
              <w:t>Average office accommodation floor space per work point</w:t>
            </w:r>
          </w:p>
        </w:tc>
        <w:tc>
          <w:tcPr>
            <w:tcW w:w="1105" w:type="dxa"/>
            <w:shd w:val="clear" w:color="auto" w:fill="auto"/>
          </w:tcPr>
          <w:p w:rsidR="00E137E1" w:rsidRPr="00196524" w:rsidRDefault="00E137E1" w:rsidP="00854541">
            <w:pPr>
              <w:pStyle w:val="BasicParagraph"/>
              <w:suppressAutoHyphens/>
              <w:spacing w:before="60" w:after="60" w:line="240" w:lineRule="auto"/>
              <w:jc w:val="center"/>
              <w:rPr>
                <w:rFonts w:ascii="Arial" w:hAnsi="Arial" w:cs="Arial"/>
                <w:sz w:val="20"/>
                <w:szCs w:val="20"/>
              </w:rPr>
            </w:pPr>
            <w:r w:rsidRPr="00196524">
              <w:rPr>
                <w:rFonts w:ascii="Arial" w:hAnsi="Arial" w:cs="Arial"/>
                <w:sz w:val="20"/>
                <w:szCs w:val="20"/>
              </w:rPr>
              <w:t>m</w:t>
            </w:r>
            <w:r w:rsidRPr="00196524">
              <w:rPr>
                <w:rFonts w:ascii="Arial" w:hAnsi="Arial" w:cs="Arial"/>
                <w:sz w:val="20"/>
                <w:szCs w:val="20"/>
                <w:vertAlign w:val="superscript"/>
              </w:rPr>
              <w:t>2</w:t>
            </w:r>
          </w:p>
        </w:tc>
        <w:tc>
          <w:tcPr>
            <w:tcW w:w="1106" w:type="dxa"/>
            <w:shd w:val="clear" w:color="auto" w:fill="auto"/>
          </w:tcPr>
          <w:p w:rsidR="00E137E1" w:rsidRPr="00196524" w:rsidRDefault="00E137E1" w:rsidP="00854541">
            <w:pPr>
              <w:pStyle w:val="BasicParagraph"/>
              <w:suppressAutoHyphens/>
              <w:spacing w:before="60" w:after="60" w:line="240" w:lineRule="auto"/>
              <w:jc w:val="right"/>
              <w:rPr>
                <w:rFonts w:ascii="Arial" w:hAnsi="Arial" w:cs="Arial"/>
                <w:sz w:val="20"/>
                <w:szCs w:val="20"/>
              </w:rPr>
            </w:pPr>
            <w:r w:rsidRPr="00196524">
              <w:rPr>
                <w:rFonts w:ascii="Arial" w:hAnsi="Arial" w:cs="Arial"/>
                <w:sz w:val="20"/>
                <w:szCs w:val="20"/>
              </w:rPr>
              <w:t>15.0</w:t>
            </w:r>
          </w:p>
        </w:tc>
        <w:tc>
          <w:tcPr>
            <w:tcW w:w="1105" w:type="dxa"/>
            <w:shd w:val="clear" w:color="auto" w:fill="auto"/>
          </w:tcPr>
          <w:p w:rsidR="00E137E1" w:rsidRPr="00196524" w:rsidRDefault="00E137E1" w:rsidP="00854541">
            <w:pPr>
              <w:pStyle w:val="NoParagraphStyle"/>
              <w:spacing w:before="60" w:after="60" w:line="240" w:lineRule="auto"/>
              <w:jc w:val="right"/>
              <w:textAlignment w:val="auto"/>
              <w:rPr>
                <w:rFonts w:ascii="Arial" w:hAnsi="Arial" w:cs="Arial"/>
                <w:color w:val="auto"/>
                <w:sz w:val="20"/>
                <w:szCs w:val="20"/>
              </w:rPr>
            </w:pPr>
            <w:r w:rsidRPr="00196524">
              <w:rPr>
                <w:rFonts w:ascii="Arial" w:hAnsi="Arial" w:cs="Arial"/>
                <w:color w:val="auto"/>
                <w:sz w:val="20"/>
                <w:szCs w:val="20"/>
              </w:rPr>
              <w:t>15.2</w:t>
            </w:r>
          </w:p>
        </w:tc>
        <w:tc>
          <w:tcPr>
            <w:tcW w:w="1106" w:type="dxa"/>
            <w:shd w:val="clear" w:color="auto" w:fill="auto"/>
          </w:tcPr>
          <w:p w:rsidR="00E137E1" w:rsidRPr="00556326" w:rsidRDefault="00E137E1" w:rsidP="00854541">
            <w:pPr>
              <w:pStyle w:val="NoParagraphStyle"/>
              <w:spacing w:before="60" w:after="60" w:line="240" w:lineRule="auto"/>
              <w:jc w:val="center"/>
              <w:textAlignment w:val="auto"/>
              <w:rPr>
                <w:rFonts w:ascii="Wingdings 2" w:hAnsi="Wingdings 2" w:cs="Arial"/>
                <w:color w:val="auto"/>
                <w:sz w:val="28"/>
                <w:szCs w:val="28"/>
              </w:rPr>
            </w:pPr>
            <w:r w:rsidRPr="00556326">
              <w:rPr>
                <w:rFonts w:ascii="Wingdings 2" w:hAnsi="Wingdings 2" w:cs="Arial"/>
                <w:color w:val="auto"/>
                <w:sz w:val="28"/>
                <w:szCs w:val="28"/>
              </w:rPr>
              <w:t></w:t>
            </w:r>
          </w:p>
        </w:tc>
        <w:tc>
          <w:tcPr>
            <w:tcW w:w="1106" w:type="dxa"/>
            <w:shd w:val="clear" w:color="auto" w:fill="auto"/>
          </w:tcPr>
          <w:p w:rsidR="00E137E1" w:rsidRPr="00196524" w:rsidRDefault="00E137E1" w:rsidP="00854541">
            <w:pPr>
              <w:pStyle w:val="NoParagraphStyle"/>
              <w:spacing w:before="60" w:after="60" w:line="240" w:lineRule="auto"/>
              <w:jc w:val="center"/>
              <w:textAlignment w:val="auto"/>
              <w:rPr>
                <w:rFonts w:ascii="Arial" w:hAnsi="Arial" w:cs="Arial"/>
                <w:color w:val="auto"/>
                <w:sz w:val="20"/>
                <w:szCs w:val="20"/>
              </w:rPr>
            </w:pPr>
            <w:r>
              <w:rPr>
                <w:rFonts w:ascii="Arial" w:hAnsi="Arial" w:cs="Arial"/>
                <w:color w:val="auto"/>
                <w:sz w:val="20"/>
                <w:szCs w:val="20"/>
              </w:rPr>
              <w:t>123</w:t>
            </w:r>
          </w:p>
        </w:tc>
      </w:tr>
      <w:tr w:rsidR="00E137E1" w:rsidRPr="00F27FBD" w:rsidTr="00854541">
        <w:trPr>
          <w:trHeight w:val="570"/>
        </w:trPr>
        <w:tc>
          <w:tcPr>
            <w:tcW w:w="1384" w:type="dxa"/>
            <w:shd w:val="clear" w:color="auto" w:fill="auto"/>
          </w:tcPr>
          <w:p w:rsidR="00E137E1" w:rsidRPr="00196524" w:rsidRDefault="00E137E1" w:rsidP="00854541">
            <w:pPr>
              <w:pStyle w:val="BodyText"/>
              <w:spacing w:before="60" w:after="60"/>
              <w:rPr>
                <w:sz w:val="20"/>
                <w:szCs w:val="20"/>
              </w:rPr>
            </w:pPr>
            <w:r w:rsidRPr="00196524">
              <w:rPr>
                <w:sz w:val="20"/>
                <w:szCs w:val="20"/>
              </w:rPr>
              <w:t>Four</w:t>
            </w:r>
          </w:p>
        </w:tc>
        <w:tc>
          <w:tcPr>
            <w:tcW w:w="6946" w:type="dxa"/>
            <w:shd w:val="clear" w:color="auto" w:fill="auto"/>
          </w:tcPr>
          <w:p w:rsidR="00E137E1" w:rsidRPr="00196524" w:rsidRDefault="00E137E1" w:rsidP="00854541">
            <w:pPr>
              <w:spacing w:before="60" w:after="60" w:line="240" w:lineRule="auto"/>
              <w:rPr>
                <w:rFonts w:ascii="Arial" w:hAnsi="Arial" w:cs="Arial"/>
                <w:sz w:val="20"/>
                <w:szCs w:val="20"/>
              </w:rPr>
            </w:pPr>
            <w:r w:rsidRPr="00196524">
              <w:rPr>
                <w:rFonts w:ascii="Arial" w:hAnsi="Arial" w:cs="Arial"/>
                <w:sz w:val="20"/>
                <w:szCs w:val="20"/>
              </w:rPr>
              <w:t xml:space="preserve">Percentage of maintenance services delivered within 10% of approved timeframe  </w:t>
            </w:r>
          </w:p>
        </w:tc>
        <w:tc>
          <w:tcPr>
            <w:tcW w:w="1105" w:type="dxa"/>
            <w:shd w:val="clear" w:color="auto" w:fill="auto"/>
          </w:tcPr>
          <w:p w:rsidR="00E137E1" w:rsidRPr="00196524" w:rsidRDefault="00E137E1" w:rsidP="00854541">
            <w:pPr>
              <w:pStyle w:val="BasicParagraph"/>
              <w:suppressAutoHyphens/>
              <w:spacing w:before="60" w:after="60" w:line="240" w:lineRule="auto"/>
              <w:jc w:val="center"/>
              <w:rPr>
                <w:rFonts w:ascii="Arial" w:hAnsi="Arial" w:cs="Arial"/>
                <w:sz w:val="20"/>
                <w:szCs w:val="20"/>
              </w:rPr>
            </w:pPr>
            <w:r w:rsidRPr="00196524">
              <w:rPr>
                <w:rFonts w:ascii="Arial" w:hAnsi="Arial" w:cs="Arial"/>
                <w:sz w:val="20"/>
                <w:szCs w:val="20"/>
              </w:rPr>
              <w:t>%</w:t>
            </w:r>
          </w:p>
        </w:tc>
        <w:tc>
          <w:tcPr>
            <w:tcW w:w="1106" w:type="dxa"/>
            <w:shd w:val="clear" w:color="auto" w:fill="auto"/>
          </w:tcPr>
          <w:p w:rsidR="00E137E1" w:rsidRPr="00196524" w:rsidRDefault="00E137E1" w:rsidP="00854541">
            <w:pPr>
              <w:pStyle w:val="BasicParagraph"/>
              <w:suppressAutoHyphens/>
              <w:spacing w:before="60" w:after="60" w:line="240" w:lineRule="auto"/>
              <w:jc w:val="right"/>
              <w:rPr>
                <w:rFonts w:ascii="Arial" w:hAnsi="Arial" w:cs="Arial"/>
                <w:sz w:val="20"/>
                <w:szCs w:val="20"/>
              </w:rPr>
            </w:pPr>
            <w:r w:rsidRPr="00196524">
              <w:rPr>
                <w:rFonts w:ascii="Arial" w:hAnsi="Arial" w:cs="Arial"/>
                <w:sz w:val="20"/>
                <w:szCs w:val="20"/>
              </w:rPr>
              <w:t>80</w:t>
            </w:r>
          </w:p>
        </w:tc>
        <w:tc>
          <w:tcPr>
            <w:tcW w:w="1105" w:type="dxa"/>
            <w:shd w:val="clear" w:color="auto" w:fill="auto"/>
          </w:tcPr>
          <w:p w:rsidR="00E137E1" w:rsidRPr="00196524" w:rsidRDefault="00E137E1" w:rsidP="00854541">
            <w:pPr>
              <w:pStyle w:val="NoParagraphStyle"/>
              <w:spacing w:before="60" w:after="60" w:line="240" w:lineRule="auto"/>
              <w:jc w:val="right"/>
              <w:textAlignment w:val="auto"/>
              <w:rPr>
                <w:rFonts w:ascii="Arial" w:hAnsi="Arial" w:cs="Arial"/>
                <w:color w:val="auto"/>
                <w:sz w:val="20"/>
                <w:szCs w:val="20"/>
              </w:rPr>
            </w:pPr>
            <w:r w:rsidRPr="00196524">
              <w:rPr>
                <w:rFonts w:ascii="Arial" w:hAnsi="Arial" w:cs="Arial"/>
                <w:color w:val="auto"/>
                <w:sz w:val="20"/>
                <w:szCs w:val="20"/>
              </w:rPr>
              <w:t>75.4</w:t>
            </w:r>
          </w:p>
        </w:tc>
        <w:tc>
          <w:tcPr>
            <w:tcW w:w="1106" w:type="dxa"/>
            <w:shd w:val="clear" w:color="auto" w:fill="auto"/>
          </w:tcPr>
          <w:p w:rsidR="00E137E1" w:rsidRPr="00556326" w:rsidRDefault="00E137E1" w:rsidP="00854541">
            <w:pPr>
              <w:pStyle w:val="NoParagraphStyle"/>
              <w:spacing w:before="60" w:after="60" w:line="240" w:lineRule="auto"/>
              <w:jc w:val="center"/>
              <w:textAlignment w:val="auto"/>
              <w:rPr>
                <w:rFonts w:ascii="Wingdings 2" w:hAnsi="Wingdings 2" w:cs="Arial"/>
                <w:color w:val="auto"/>
                <w:sz w:val="28"/>
                <w:szCs w:val="28"/>
              </w:rPr>
            </w:pPr>
            <w:r w:rsidRPr="00556326">
              <w:rPr>
                <w:rFonts w:ascii="Wingdings 2" w:hAnsi="Wingdings 2" w:cs="Arial"/>
                <w:color w:val="auto"/>
                <w:sz w:val="28"/>
                <w:szCs w:val="28"/>
              </w:rPr>
              <w:t></w:t>
            </w:r>
          </w:p>
        </w:tc>
        <w:tc>
          <w:tcPr>
            <w:tcW w:w="1106" w:type="dxa"/>
            <w:shd w:val="clear" w:color="auto" w:fill="auto"/>
          </w:tcPr>
          <w:p w:rsidR="00E137E1" w:rsidRPr="00196524" w:rsidRDefault="00E137E1" w:rsidP="00854541">
            <w:pPr>
              <w:pStyle w:val="NoParagraphStyle"/>
              <w:spacing w:before="60" w:after="60" w:line="240" w:lineRule="auto"/>
              <w:jc w:val="center"/>
              <w:textAlignment w:val="auto"/>
              <w:rPr>
                <w:rFonts w:ascii="Arial" w:hAnsi="Arial" w:cs="Arial"/>
                <w:color w:val="auto"/>
                <w:sz w:val="20"/>
                <w:szCs w:val="20"/>
              </w:rPr>
            </w:pPr>
            <w:r>
              <w:rPr>
                <w:rFonts w:ascii="Arial" w:hAnsi="Arial" w:cs="Arial"/>
                <w:color w:val="auto"/>
                <w:sz w:val="20"/>
                <w:szCs w:val="20"/>
              </w:rPr>
              <w:t>123</w:t>
            </w:r>
          </w:p>
        </w:tc>
      </w:tr>
      <w:tr w:rsidR="00E137E1" w:rsidRPr="00F27FBD" w:rsidTr="00854541">
        <w:trPr>
          <w:trHeight w:val="581"/>
        </w:trPr>
        <w:tc>
          <w:tcPr>
            <w:tcW w:w="1384" w:type="dxa"/>
            <w:shd w:val="clear" w:color="auto" w:fill="auto"/>
          </w:tcPr>
          <w:p w:rsidR="00E137E1" w:rsidRPr="00196524" w:rsidRDefault="00E137E1" w:rsidP="00854541">
            <w:pPr>
              <w:pStyle w:val="BodyText"/>
              <w:spacing w:before="60" w:after="60"/>
              <w:rPr>
                <w:sz w:val="20"/>
                <w:szCs w:val="20"/>
              </w:rPr>
            </w:pPr>
            <w:r w:rsidRPr="00196524">
              <w:rPr>
                <w:sz w:val="20"/>
                <w:szCs w:val="20"/>
              </w:rPr>
              <w:t>Four</w:t>
            </w:r>
          </w:p>
        </w:tc>
        <w:tc>
          <w:tcPr>
            <w:tcW w:w="6946" w:type="dxa"/>
            <w:shd w:val="clear" w:color="auto" w:fill="auto"/>
          </w:tcPr>
          <w:p w:rsidR="00E137E1" w:rsidRPr="00196524" w:rsidRDefault="00E137E1" w:rsidP="00854541">
            <w:pPr>
              <w:spacing w:before="60" w:after="60" w:line="240" w:lineRule="auto"/>
              <w:rPr>
                <w:rFonts w:ascii="Arial" w:hAnsi="Arial" w:cs="Arial"/>
                <w:sz w:val="20"/>
                <w:szCs w:val="20"/>
              </w:rPr>
            </w:pPr>
            <w:r w:rsidRPr="00196524">
              <w:rPr>
                <w:rFonts w:ascii="Arial" w:hAnsi="Arial" w:cs="Arial"/>
                <w:sz w:val="20"/>
                <w:szCs w:val="20"/>
              </w:rPr>
              <w:t>Percentage of significant projects in New Buildings Program delivered within thre</w:t>
            </w:r>
            <w:r>
              <w:rPr>
                <w:rFonts w:ascii="Arial" w:hAnsi="Arial" w:cs="Arial"/>
                <w:sz w:val="20"/>
                <w:szCs w:val="20"/>
              </w:rPr>
              <w:t>e months of approved timeframe</w:t>
            </w:r>
          </w:p>
        </w:tc>
        <w:tc>
          <w:tcPr>
            <w:tcW w:w="1105" w:type="dxa"/>
            <w:shd w:val="clear" w:color="auto" w:fill="auto"/>
          </w:tcPr>
          <w:p w:rsidR="00E137E1" w:rsidRPr="00196524" w:rsidRDefault="00E137E1" w:rsidP="00854541">
            <w:pPr>
              <w:pStyle w:val="BasicParagraph"/>
              <w:suppressAutoHyphens/>
              <w:spacing w:before="60" w:after="60" w:line="240" w:lineRule="auto"/>
              <w:jc w:val="center"/>
              <w:rPr>
                <w:rFonts w:ascii="Arial" w:hAnsi="Arial" w:cs="Arial"/>
                <w:sz w:val="20"/>
                <w:szCs w:val="20"/>
              </w:rPr>
            </w:pPr>
            <w:r w:rsidRPr="00196524">
              <w:rPr>
                <w:rFonts w:ascii="Arial" w:hAnsi="Arial" w:cs="Arial"/>
                <w:sz w:val="20"/>
                <w:szCs w:val="20"/>
              </w:rPr>
              <w:t>%</w:t>
            </w:r>
          </w:p>
        </w:tc>
        <w:tc>
          <w:tcPr>
            <w:tcW w:w="1106" w:type="dxa"/>
            <w:shd w:val="clear" w:color="auto" w:fill="auto"/>
          </w:tcPr>
          <w:p w:rsidR="00E137E1" w:rsidRPr="00196524" w:rsidRDefault="00E137E1" w:rsidP="00854541">
            <w:pPr>
              <w:pStyle w:val="BasicParagraph"/>
              <w:suppressAutoHyphens/>
              <w:spacing w:before="60" w:after="60" w:line="240" w:lineRule="auto"/>
              <w:jc w:val="right"/>
              <w:rPr>
                <w:rFonts w:ascii="Arial" w:hAnsi="Arial" w:cs="Arial"/>
                <w:sz w:val="20"/>
                <w:szCs w:val="20"/>
              </w:rPr>
            </w:pPr>
            <w:r w:rsidRPr="00196524">
              <w:rPr>
                <w:rFonts w:ascii="Arial" w:hAnsi="Arial" w:cs="Arial"/>
                <w:sz w:val="20"/>
                <w:szCs w:val="20"/>
              </w:rPr>
              <w:t>90</w:t>
            </w:r>
          </w:p>
        </w:tc>
        <w:tc>
          <w:tcPr>
            <w:tcW w:w="1105" w:type="dxa"/>
            <w:shd w:val="clear" w:color="auto" w:fill="auto"/>
          </w:tcPr>
          <w:p w:rsidR="00E137E1" w:rsidRPr="00196524" w:rsidRDefault="00E137E1" w:rsidP="00854541">
            <w:pPr>
              <w:pStyle w:val="NoParagraphStyle"/>
              <w:spacing w:before="60" w:after="60" w:line="240" w:lineRule="auto"/>
              <w:jc w:val="right"/>
              <w:textAlignment w:val="auto"/>
              <w:rPr>
                <w:rFonts w:ascii="Arial" w:hAnsi="Arial" w:cs="Arial"/>
                <w:color w:val="auto"/>
                <w:sz w:val="20"/>
                <w:szCs w:val="20"/>
              </w:rPr>
            </w:pPr>
            <w:r w:rsidRPr="00196524">
              <w:rPr>
                <w:rFonts w:ascii="Arial" w:hAnsi="Arial" w:cs="Arial"/>
                <w:color w:val="auto"/>
                <w:sz w:val="20"/>
                <w:szCs w:val="20"/>
              </w:rPr>
              <w:t>100</w:t>
            </w:r>
          </w:p>
        </w:tc>
        <w:tc>
          <w:tcPr>
            <w:tcW w:w="1106" w:type="dxa"/>
            <w:shd w:val="clear" w:color="auto" w:fill="auto"/>
          </w:tcPr>
          <w:p w:rsidR="00E137E1" w:rsidRPr="00556326" w:rsidRDefault="00E137E1" w:rsidP="00854541">
            <w:pPr>
              <w:pStyle w:val="NoParagraphStyle"/>
              <w:spacing w:before="60" w:after="60" w:line="240" w:lineRule="auto"/>
              <w:jc w:val="center"/>
              <w:textAlignment w:val="auto"/>
              <w:rPr>
                <w:rFonts w:ascii="Wingdings 2" w:hAnsi="Wingdings 2" w:cs="Arial"/>
                <w:color w:val="auto"/>
                <w:sz w:val="28"/>
                <w:szCs w:val="28"/>
              </w:rPr>
            </w:pPr>
            <w:r w:rsidRPr="00556326">
              <w:rPr>
                <w:rFonts w:ascii="Wingdings 2" w:hAnsi="Wingdings 2" w:cs="Arial"/>
                <w:color w:val="auto"/>
                <w:sz w:val="28"/>
                <w:szCs w:val="28"/>
              </w:rPr>
              <w:t></w:t>
            </w:r>
          </w:p>
        </w:tc>
        <w:tc>
          <w:tcPr>
            <w:tcW w:w="1106" w:type="dxa"/>
            <w:shd w:val="clear" w:color="auto" w:fill="auto"/>
          </w:tcPr>
          <w:p w:rsidR="00E137E1" w:rsidRPr="00196524" w:rsidRDefault="00E137E1" w:rsidP="00854541">
            <w:pPr>
              <w:pStyle w:val="NoParagraphStyle"/>
              <w:spacing w:before="60" w:after="60" w:line="240" w:lineRule="auto"/>
              <w:jc w:val="center"/>
              <w:textAlignment w:val="auto"/>
              <w:rPr>
                <w:rFonts w:ascii="Arial" w:hAnsi="Arial" w:cs="Arial"/>
                <w:color w:val="auto"/>
                <w:sz w:val="20"/>
                <w:szCs w:val="20"/>
              </w:rPr>
            </w:pPr>
            <w:r>
              <w:rPr>
                <w:rFonts w:ascii="Arial" w:hAnsi="Arial" w:cs="Arial"/>
                <w:color w:val="auto"/>
                <w:sz w:val="20"/>
                <w:szCs w:val="20"/>
              </w:rPr>
              <w:t>123</w:t>
            </w:r>
          </w:p>
        </w:tc>
      </w:tr>
      <w:tr w:rsidR="00E137E1" w:rsidRPr="00F27FBD" w:rsidTr="00854541">
        <w:trPr>
          <w:trHeight w:val="421"/>
        </w:trPr>
        <w:tc>
          <w:tcPr>
            <w:tcW w:w="1384" w:type="dxa"/>
            <w:shd w:val="clear" w:color="auto" w:fill="auto"/>
          </w:tcPr>
          <w:p w:rsidR="00E137E1" w:rsidRPr="00196524" w:rsidRDefault="00E137E1" w:rsidP="00854541">
            <w:pPr>
              <w:pStyle w:val="BodyText"/>
              <w:spacing w:before="60" w:after="60"/>
              <w:rPr>
                <w:sz w:val="20"/>
                <w:szCs w:val="20"/>
              </w:rPr>
            </w:pPr>
            <w:r w:rsidRPr="00196524">
              <w:rPr>
                <w:sz w:val="20"/>
                <w:szCs w:val="20"/>
              </w:rPr>
              <w:t>Five</w:t>
            </w:r>
          </w:p>
        </w:tc>
        <w:tc>
          <w:tcPr>
            <w:tcW w:w="6946" w:type="dxa"/>
            <w:shd w:val="clear" w:color="auto" w:fill="auto"/>
          </w:tcPr>
          <w:p w:rsidR="00E137E1" w:rsidRPr="00196524" w:rsidRDefault="00E137E1" w:rsidP="00854541">
            <w:pPr>
              <w:spacing w:before="60" w:after="60" w:line="240" w:lineRule="auto"/>
              <w:rPr>
                <w:rFonts w:ascii="Arial" w:hAnsi="Arial" w:cs="Arial"/>
                <w:sz w:val="20"/>
                <w:szCs w:val="20"/>
              </w:rPr>
            </w:pPr>
            <w:r w:rsidRPr="00196524">
              <w:rPr>
                <w:rFonts w:ascii="Arial" w:hAnsi="Arial" w:cs="Arial"/>
                <w:sz w:val="20"/>
                <w:szCs w:val="20"/>
              </w:rPr>
              <w:t>Average cost of routine energy policy and program tasks</w:t>
            </w:r>
          </w:p>
        </w:tc>
        <w:tc>
          <w:tcPr>
            <w:tcW w:w="1105" w:type="dxa"/>
            <w:shd w:val="clear" w:color="auto" w:fill="auto"/>
          </w:tcPr>
          <w:p w:rsidR="00E137E1" w:rsidRPr="00196524" w:rsidRDefault="00E137E1" w:rsidP="00854541">
            <w:pPr>
              <w:pStyle w:val="BasicParagraph"/>
              <w:suppressAutoHyphens/>
              <w:spacing w:before="60" w:after="60" w:line="240" w:lineRule="auto"/>
              <w:jc w:val="center"/>
              <w:rPr>
                <w:rFonts w:ascii="Arial" w:hAnsi="Arial" w:cs="Arial"/>
                <w:sz w:val="20"/>
                <w:szCs w:val="20"/>
              </w:rPr>
            </w:pPr>
            <w:r w:rsidRPr="00196524">
              <w:rPr>
                <w:rFonts w:ascii="Arial" w:hAnsi="Arial" w:cs="Arial"/>
                <w:sz w:val="20"/>
                <w:szCs w:val="20"/>
              </w:rPr>
              <w:t>$</w:t>
            </w:r>
          </w:p>
        </w:tc>
        <w:tc>
          <w:tcPr>
            <w:tcW w:w="1106" w:type="dxa"/>
            <w:shd w:val="clear" w:color="auto" w:fill="auto"/>
          </w:tcPr>
          <w:p w:rsidR="00E137E1" w:rsidRPr="00196524" w:rsidRDefault="00E137E1" w:rsidP="00854541">
            <w:pPr>
              <w:pStyle w:val="BasicParagraph"/>
              <w:suppressAutoHyphens/>
              <w:spacing w:before="60" w:after="60" w:line="240" w:lineRule="auto"/>
              <w:jc w:val="right"/>
              <w:rPr>
                <w:rFonts w:ascii="Arial" w:hAnsi="Arial" w:cs="Arial"/>
                <w:sz w:val="20"/>
                <w:szCs w:val="20"/>
              </w:rPr>
            </w:pPr>
            <w:r w:rsidRPr="00196524">
              <w:rPr>
                <w:rFonts w:ascii="Arial" w:hAnsi="Arial" w:cs="Arial"/>
                <w:sz w:val="20"/>
                <w:szCs w:val="20"/>
              </w:rPr>
              <w:t>12,593</w:t>
            </w:r>
          </w:p>
        </w:tc>
        <w:tc>
          <w:tcPr>
            <w:tcW w:w="1105" w:type="dxa"/>
            <w:shd w:val="clear" w:color="auto" w:fill="auto"/>
          </w:tcPr>
          <w:p w:rsidR="00E137E1" w:rsidRPr="00196524" w:rsidRDefault="00E137E1" w:rsidP="00854541">
            <w:pPr>
              <w:pStyle w:val="NoParagraphStyle"/>
              <w:spacing w:before="60" w:after="60" w:line="240" w:lineRule="auto"/>
              <w:jc w:val="right"/>
              <w:textAlignment w:val="auto"/>
              <w:rPr>
                <w:rFonts w:ascii="Arial" w:hAnsi="Arial" w:cs="Arial"/>
                <w:color w:val="auto"/>
                <w:sz w:val="20"/>
                <w:szCs w:val="20"/>
              </w:rPr>
            </w:pPr>
            <w:r w:rsidRPr="00196524">
              <w:rPr>
                <w:rFonts w:ascii="Arial" w:hAnsi="Arial" w:cs="Arial"/>
                <w:color w:val="auto"/>
                <w:sz w:val="20"/>
                <w:szCs w:val="20"/>
              </w:rPr>
              <w:t>11,936</w:t>
            </w:r>
          </w:p>
        </w:tc>
        <w:tc>
          <w:tcPr>
            <w:tcW w:w="1106" w:type="dxa"/>
            <w:shd w:val="clear" w:color="auto" w:fill="auto"/>
          </w:tcPr>
          <w:p w:rsidR="00E137E1" w:rsidRPr="00556326" w:rsidRDefault="00E137E1" w:rsidP="00854541">
            <w:pPr>
              <w:pStyle w:val="NoParagraphStyle"/>
              <w:spacing w:before="60" w:after="60" w:line="240" w:lineRule="auto"/>
              <w:jc w:val="center"/>
              <w:textAlignment w:val="auto"/>
              <w:rPr>
                <w:rFonts w:ascii="Wingdings 2" w:hAnsi="Wingdings 2" w:cs="Arial"/>
                <w:color w:val="auto"/>
                <w:sz w:val="28"/>
                <w:szCs w:val="28"/>
              </w:rPr>
            </w:pPr>
            <w:r w:rsidRPr="00556326">
              <w:rPr>
                <w:rFonts w:ascii="Wingdings 2" w:hAnsi="Wingdings 2" w:cs="Arial"/>
                <w:color w:val="auto"/>
                <w:sz w:val="28"/>
                <w:szCs w:val="28"/>
              </w:rPr>
              <w:t></w:t>
            </w:r>
          </w:p>
        </w:tc>
        <w:tc>
          <w:tcPr>
            <w:tcW w:w="1106" w:type="dxa"/>
            <w:shd w:val="clear" w:color="auto" w:fill="auto"/>
          </w:tcPr>
          <w:p w:rsidR="00E137E1" w:rsidRPr="00196524" w:rsidRDefault="00E137E1" w:rsidP="00854541">
            <w:pPr>
              <w:pStyle w:val="NoParagraphStyle"/>
              <w:spacing w:before="60" w:after="60" w:line="240" w:lineRule="auto"/>
              <w:jc w:val="center"/>
              <w:textAlignment w:val="auto"/>
              <w:rPr>
                <w:rFonts w:ascii="Arial" w:hAnsi="Arial" w:cs="Arial"/>
                <w:color w:val="auto"/>
                <w:sz w:val="20"/>
                <w:szCs w:val="20"/>
              </w:rPr>
            </w:pPr>
            <w:r>
              <w:rPr>
                <w:rFonts w:ascii="Arial" w:hAnsi="Arial" w:cs="Arial"/>
                <w:color w:val="auto"/>
                <w:sz w:val="20"/>
                <w:szCs w:val="20"/>
              </w:rPr>
              <w:t>126</w:t>
            </w:r>
          </w:p>
        </w:tc>
      </w:tr>
      <w:tr w:rsidR="00E137E1" w:rsidRPr="00F27FBD" w:rsidTr="00854541">
        <w:trPr>
          <w:trHeight w:val="429"/>
        </w:trPr>
        <w:tc>
          <w:tcPr>
            <w:tcW w:w="1384" w:type="dxa"/>
            <w:shd w:val="clear" w:color="auto" w:fill="auto"/>
          </w:tcPr>
          <w:p w:rsidR="00E137E1" w:rsidRPr="00196524" w:rsidRDefault="00E137E1" w:rsidP="00854541">
            <w:pPr>
              <w:pStyle w:val="BodyText"/>
              <w:spacing w:before="60" w:after="60"/>
              <w:rPr>
                <w:sz w:val="20"/>
                <w:szCs w:val="20"/>
              </w:rPr>
            </w:pPr>
            <w:r w:rsidRPr="00196524">
              <w:rPr>
                <w:sz w:val="20"/>
                <w:szCs w:val="20"/>
              </w:rPr>
              <w:t>Five</w:t>
            </w:r>
          </w:p>
        </w:tc>
        <w:tc>
          <w:tcPr>
            <w:tcW w:w="6946" w:type="dxa"/>
            <w:shd w:val="clear" w:color="auto" w:fill="auto"/>
          </w:tcPr>
          <w:p w:rsidR="00E137E1" w:rsidRPr="00196524" w:rsidRDefault="00E137E1" w:rsidP="00854541">
            <w:pPr>
              <w:spacing w:before="60" w:after="60" w:line="240" w:lineRule="auto"/>
              <w:rPr>
                <w:rFonts w:ascii="Arial" w:hAnsi="Arial" w:cs="Arial"/>
                <w:sz w:val="20"/>
                <w:szCs w:val="20"/>
              </w:rPr>
            </w:pPr>
            <w:r w:rsidRPr="00196524">
              <w:rPr>
                <w:rFonts w:ascii="Arial" w:hAnsi="Arial" w:cs="Arial"/>
                <w:sz w:val="20"/>
                <w:szCs w:val="20"/>
              </w:rPr>
              <w:t>Average cost of energy policy projects and programs</w:t>
            </w:r>
          </w:p>
        </w:tc>
        <w:tc>
          <w:tcPr>
            <w:tcW w:w="1105" w:type="dxa"/>
            <w:shd w:val="clear" w:color="auto" w:fill="auto"/>
          </w:tcPr>
          <w:p w:rsidR="00E137E1" w:rsidRPr="00196524" w:rsidRDefault="00E137E1" w:rsidP="00854541">
            <w:pPr>
              <w:pStyle w:val="BasicParagraph"/>
              <w:suppressAutoHyphens/>
              <w:spacing w:before="60" w:after="60" w:line="240" w:lineRule="auto"/>
              <w:jc w:val="center"/>
              <w:rPr>
                <w:rFonts w:ascii="Arial" w:hAnsi="Arial" w:cs="Arial"/>
                <w:sz w:val="20"/>
                <w:szCs w:val="20"/>
              </w:rPr>
            </w:pPr>
            <w:r w:rsidRPr="00196524">
              <w:rPr>
                <w:rFonts w:ascii="Arial" w:hAnsi="Arial" w:cs="Arial"/>
                <w:sz w:val="20"/>
                <w:szCs w:val="20"/>
              </w:rPr>
              <w:t>$</w:t>
            </w:r>
          </w:p>
        </w:tc>
        <w:tc>
          <w:tcPr>
            <w:tcW w:w="1106" w:type="dxa"/>
            <w:shd w:val="clear" w:color="auto" w:fill="auto"/>
          </w:tcPr>
          <w:p w:rsidR="00E137E1" w:rsidRPr="00196524" w:rsidRDefault="00E137E1" w:rsidP="00854541">
            <w:pPr>
              <w:pStyle w:val="BasicParagraph"/>
              <w:suppressAutoHyphens/>
              <w:spacing w:before="60" w:after="60" w:line="240" w:lineRule="auto"/>
              <w:jc w:val="right"/>
              <w:rPr>
                <w:rFonts w:ascii="Arial" w:hAnsi="Arial" w:cs="Arial"/>
                <w:sz w:val="20"/>
                <w:szCs w:val="20"/>
              </w:rPr>
            </w:pPr>
            <w:r w:rsidRPr="00196524">
              <w:rPr>
                <w:rFonts w:ascii="Arial" w:hAnsi="Arial" w:cs="Arial"/>
                <w:sz w:val="20"/>
                <w:szCs w:val="20"/>
              </w:rPr>
              <w:t>123,278</w:t>
            </w:r>
          </w:p>
        </w:tc>
        <w:tc>
          <w:tcPr>
            <w:tcW w:w="1105" w:type="dxa"/>
            <w:shd w:val="clear" w:color="auto" w:fill="auto"/>
          </w:tcPr>
          <w:p w:rsidR="00E137E1" w:rsidRPr="00196524" w:rsidRDefault="00E137E1" w:rsidP="00854541">
            <w:pPr>
              <w:pStyle w:val="NoParagraphStyle"/>
              <w:spacing w:before="60" w:after="60" w:line="240" w:lineRule="auto"/>
              <w:jc w:val="right"/>
              <w:textAlignment w:val="auto"/>
              <w:rPr>
                <w:rFonts w:ascii="Arial" w:hAnsi="Arial" w:cs="Arial"/>
                <w:color w:val="auto"/>
                <w:sz w:val="20"/>
                <w:szCs w:val="20"/>
              </w:rPr>
            </w:pPr>
            <w:r w:rsidRPr="00196524">
              <w:rPr>
                <w:rFonts w:ascii="Arial" w:hAnsi="Arial" w:cs="Arial"/>
                <w:color w:val="auto"/>
                <w:sz w:val="20"/>
                <w:szCs w:val="20"/>
              </w:rPr>
              <w:t>87,294</w:t>
            </w:r>
          </w:p>
        </w:tc>
        <w:tc>
          <w:tcPr>
            <w:tcW w:w="1106" w:type="dxa"/>
            <w:shd w:val="clear" w:color="auto" w:fill="auto"/>
          </w:tcPr>
          <w:p w:rsidR="00E137E1" w:rsidRPr="00556326" w:rsidRDefault="00E137E1" w:rsidP="00854541">
            <w:pPr>
              <w:pStyle w:val="NoParagraphStyle"/>
              <w:spacing w:before="60" w:after="60" w:line="240" w:lineRule="auto"/>
              <w:jc w:val="center"/>
              <w:textAlignment w:val="auto"/>
              <w:rPr>
                <w:rFonts w:ascii="Wingdings 2" w:hAnsi="Wingdings 2" w:cs="Arial"/>
                <w:color w:val="auto"/>
                <w:sz w:val="28"/>
                <w:szCs w:val="28"/>
              </w:rPr>
            </w:pPr>
            <w:r w:rsidRPr="00556326">
              <w:rPr>
                <w:rFonts w:ascii="Wingdings 2" w:hAnsi="Wingdings 2" w:cs="Arial"/>
                <w:color w:val="auto"/>
                <w:sz w:val="28"/>
                <w:szCs w:val="28"/>
              </w:rPr>
              <w:t></w:t>
            </w:r>
          </w:p>
        </w:tc>
        <w:tc>
          <w:tcPr>
            <w:tcW w:w="1106" w:type="dxa"/>
            <w:shd w:val="clear" w:color="auto" w:fill="auto"/>
          </w:tcPr>
          <w:p w:rsidR="00E137E1" w:rsidRPr="00196524" w:rsidRDefault="00E137E1" w:rsidP="00854541">
            <w:pPr>
              <w:pStyle w:val="NoParagraphStyle"/>
              <w:spacing w:before="60" w:after="60" w:line="240" w:lineRule="auto"/>
              <w:jc w:val="center"/>
              <w:textAlignment w:val="auto"/>
              <w:rPr>
                <w:rFonts w:ascii="Arial" w:hAnsi="Arial" w:cs="Arial"/>
                <w:color w:val="auto"/>
                <w:sz w:val="20"/>
                <w:szCs w:val="20"/>
              </w:rPr>
            </w:pPr>
            <w:r>
              <w:rPr>
                <w:rFonts w:ascii="Arial" w:hAnsi="Arial" w:cs="Arial"/>
                <w:color w:val="auto"/>
                <w:sz w:val="20"/>
                <w:szCs w:val="20"/>
              </w:rPr>
              <w:t>126</w:t>
            </w:r>
          </w:p>
        </w:tc>
      </w:tr>
      <w:tr w:rsidR="00E137E1" w:rsidRPr="00F27FBD" w:rsidTr="00854541">
        <w:trPr>
          <w:trHeight w:val="579"/>
        </w:trPr>
        <w:tc>
          <w:tcPr>
            <w:tcW w:w="1384" w:type="dxa"/>
            <w:shd w:val="clear" w:color="auto" w:fill="auto"/>
          </w:tcPr>
          <w:p w:rsidR="00E137E1" w:rsidRPr="00196524" w:rsidRDefault="00E137E1" w:rsidP="00854541">
            <w:pPr>
              <w:pStyle w:val="BodyText"/>
              <w:spacing w:before="60" w:after="60"/>
              <w:rPr>
                <w:sz w:val="20"/>
                <w:szCs w:val="20"/>
              </w:rPr>
            </w:pPr>
            <w:r w:rsidRPr="00196524">
              <w:rPr>
                <w:sz w:val="20"/>
                <w:szCs w:val="20"/>
              </w:rPr>
              <w:t>Five</w:t>
            </w:r>
          </w:p>
        </w:tc>
        <w:tc>
          <w:tcPr>
            <w:tcW w:w="6946" w:type="dxa"/>
            <w:shd w:val="clear" w:color="auto" w:fill="auto"/>
          </w:tcPr>
          <w:p w:rsidR="00E137E1" w:rsidRPr="00196524" w:rsidRDefault="00E137E1" w:rsidP="00854541">
            <w:pPr>
              <w:spacing w:before="60" w:after="60" w:line="240" w:lineRule="auto"/>
              <w:rPr>
                <w:rFonts w:ascii="Arial" w:hAnsi="Arial" w:cs="Arial"/>
                <w:sz w:val="20"/>
                <w:szCs w:val="20"/>
              </w:rPr>
            </w:pPr>
            <w:r w:rsidRPr="00196524">
              <w:rPr>
                <w:rFonts w:ascii="Arial" w:hAnsi="Arial" w:cs="Arial"/>
                <w:sz w:val="20"/>
                <w:szCs w:val="20"/>
              </w:rPr>
              <w:t>Percentage of Regulatory Impact Statements ass</w:t>
            </w:r>
            <w:r>
              <w:rPr>
                <w:rFonts w:ascii="Arial" w:hAnsi="Arial" w:cs="Arial"/>
                <w:sz w:val="20"/>
                <w:szCs w:val="20"/>
              </w:rPr>
              <w:t>essed within agreed timeframes</w:t>
            </w:r>
          </w:p>
        </w:tc>
        <w:tc>
          <w:tcPr>
            <w:tcW w:w="1105" w:type="dxa"/>
            <w:shd w:val="clear" w:color="auto" w:fill="auto"/>
          </w:tcPr>
          <w:p w:rsidR="00E137E1" w:rsidRPr="00196524" w:rsidRDefault="00E137E1" w:rsidP="00854541">
            <w:pPr>
              <w:pStyle w:val="BasicParagraph"/>
              <w:suppressAutoHyphens/>
              <w:spacing w:before="60" w:after="60" w:line="240" w:lineRule="auto"/>
              <w:jc w:val="center"/>
              <w:rPr>
                <w:rFonts w:ascii="Arial" w:hAnsi="Arial" w:cs="Arial"/>
                <w:sz w:val="20"/>
                <w:szCs w:val="20"/>
              </w:rPr>
            </w:pPr>
            <w:r w:rsidRPr="00196524">
              <w:rPr>
                <w:rFonts w:ascii="Arial" w:hAnsi="Arial" w:cs="Arial"/>
                <w:sz w:val="20"/>
                <w:szCs w:val="20"/>
              </w:rPr>
              <w:t>%</w:t>
            </w:r>
          </w:p>
        </w:tc>
        <w:tc>
          <w:tcPr>
            <w:tcW w:w="1106" w:type="dxa"/>
            <w:shd w:val="clear" w:color="auto" w:fill="auto"/>
          </w:tcPr>
          <w:p w:rsidR="00E137E1" w:rsidRPr="00196524" w:rsidRDefault="00E137E1" w:rsidP="00854541">
            <w:pPr>
              <w:pStyle w:val="BasicParagraph"/>
              <w:suppressAutoHyphens/>
              <w:spacing w:before="60" w:after="60" w:line="240" w:lineRule="auto"/>
              <w:jc w:val="right"/>
              <w:rPr>
                <w:rFonts w:ascii="Arial" w:hAnsi="Arial" w:cs="Arial"/>
                <w:sz w:val="20"/>
                <w:szCs w:val="20"/>
              </w:rPr>
            </w:pPr>
            <w:r w:rsidRPr="00196524">
              <w:rPr>
                <w:rFonts w:ascii="Arial" w:hAnsi="Arial" w:cs="Arial"/>
                <w:sz w:val="20"/>
                <w:szCs w:val="20"/>
              </w:rPr>
              <w:t>90</w:t>
            </w:r>
          </w:p>
        </w:tc>
        <w:tc>
          <w:tcPr>
            <w:tcW w:w="1105" w:type="dxa"/>
            <w:shd w:val="clear" w:color="auto" w:fill="auto"/>
          </w:tcPr>
          <w:p w:rsidR="00E137E1" w:rsidRPr="00196524" w:rsidRDefault="00E137E1" w:rsidP="00854541">
            <w:pPr>
              <w:pStyle w:val="NoParagraphStyle"/>
              <w:spacing w:before="60" w:after="60" w:line="240" w:lineRule="auto"/>
              <w:jc w:val="right"/>
              <w:textAlignment w:val="auto"/>
              <w:rPr>
                <w:rFonts w:ascii="Arial" w:hAnsi="Arial" w:cs="Arial"/>
                <w:color w:val="auto"/>
                <w:sz w:val="20"/>
                <w:szCs w:val="20"/>
              </w:rPr>
            </w:pPr>
            <w:r w:rsidRPr="00196524">
              <w:rPr>
                <w:rFonts w:ascii="Arial" w:hAnsi="Arial" w:cs="Arial"/>
                <w:color w:val="auto"/>
                <w:sz w:val="20"/>
                <w:szCs w:val="20"/>
              </w:rPr>
              <w:t>100</w:t>
            </w:r>
          </w:p>
        </w:tc>
        <w:tc>
          <w:tcPr>
            <w:tcW w:w="1106" w:type="dxa"/>
            <w:shd w:val="clear" w:color="auto" w:fill="auto"/>
          </w:tcPr>
          <w:p w:rsidR="00E137E1" w:rsidRPr="00556326" w:rsidRDefault="00E137E1" w:rsidP="00854541">
            <w:pPr>
              <w:pStyle w:val="NoParagraphStyle"/>
              <w:spacing w:before="60" w:after="60" w:line="240" w:lineRule="auto"/>
              <w:jc w:val="center"/>
              <w:textAlignment w:val="auto"/>
              <w:rPr>
                <w:rFonts w:ascii="Wingdings 2" w:hAnsi="Wingdings 2" w:cs="Arial"/>
                <w:color w:val="auto"/>
                <w:sz w:val="28"/>
                <w:szCs w:val="28"/>
              </w:rPr>
            </w:pPr>
            <w:r w:rsidRPr="00556326">
              <w:rPr>
                <w:rFonts w:ascii="Wingdings 2" w:hAnsi="Wingdings 2" w:cs="Arial"/>
                <w:color w:val="auto"/>
                <w:sz w:val="28"/>
                <w:szCs w:val="28"/>
              </w:rPr>
              <w:t></w:t>
            </w:r>
          </w:p>
        </w:tc>
        <w:tc>
          <w:tcPr>
            <w:tcW w:w="1106" w:type="dxa"/>
            <w:shd w:val="clear" w:color="auto" w:fill="auto"/>
          </w:tcPr>
          <w:p w:rsidR="00E137E1" w:rsidRPr="00196524" w:rsidRDefault="00E137E1" w:rsidP="00854541">
            <w:pPr>
              <w:pStyle w:val="NoParagraphStyle"/>
              <w:spacing w:before="60" w:after="60" w:line="240" w:lineRule="auto"/>
              <w:jc w:val="center"/>
              <w:textAlignment w:val="auto"/>
              <w:rPr>
                <w:rFonts w:ascii="Arial" w:hAnsi="Arial" w:cs="Arial"/>
                <w:color w:val="auto"/>
                <w:sz w:val="20"/>
                <w:szCs w:val="20"/>
              </w:rPr>
            </w:pPr>
            <w:r>
              <w:rPr>
                <w:rFonts w:ascii="Arial" w:hAnsi="Arial" w:cs="Arial"/>
                <w:color w:val="auto"/>
                <w:sz w:val="20"/>
                <w:szCs w:val="20"/>
              </w:rPr>
              <w:t>126</w:t>
            </w:r>
          </w:p>
        </w:tc>
      </w:tr>
    </w:tbl>
    <w:p w:rsidR="004456B0" w:rsidRPr="00482D6D" w:rsidRDefault="00482D6D" w:rsidP="00482D6D">
      <w:pPr>
        <w:spacing w:before="141" w:after="0" w:line="240" w:lineRule="auto"/>
        <w:rPr>
          <w:rFonts w:ascii="Arial" w:hAnsi="Arial" w:cs="Arial"/>
          <w:sz w:val="24"/>
          <w:szCs w:val="24"/>
        </w:rPr>
        <w:sectPr w:rsidR="004456B0" w:rsidRPr="00482D6D" w:rsidSect="00273795">
          <w:pgSz w:w="16838" w:h="11906" w:orient="landscape" w:code="9"/>
          <w:pgMar w:top="1276" w:right="1440" w:bottom="1276" w:left="1440" w:header="709" w:footer="709" w:gutter="0"/>
          <w:cols w:space="708"/>
          <w:docGrid w:linePitch="360"/>
        </w:sectPr>
      </w:pPr>
      <w:r w:rsidRPr="00482D6D">
        <w:rPr>
          <w:rFonts w:ascii="Arial" w:hAnsi="Arial" w:cs="Arial"/>
          <w:sz w:val="24"/>
          <w:szCs w:val="24"/>
        </w:rPr>
        <w:t xml:space="preserve">For further explanations see the ‘Key Performance Indicators’ section of this report on page </w:t>
      </w:r>
      <w:r w:rsidR="000523BD">
        <w:rPr>
          <w:rFonts w:ascii="Arial" w:hAnsi="Arial" w:cs="Arial"/>
          <w:sz w:val="24"/>
          <w:szCs w:val="24"/>
        </w:rPr>
        <w:t>113 to 126.</w:t>
      </w:r>
    </w:p>
    <w:p w:rsidR="00617CB0" w:rsidRPr="00022D33" w:rsidRDefault="00617CB0" w:rsidP="00617CB0">
      <w:pPr>
        <w:pStyle w:val="Heading2"/>
      </w:pPr>
      <w:r w:rsidRPr="00022D33">
        <w:lastRenderedPageBreak/>
        <w:t xml:space="preserve">FINANCIAL STATEMENTS </w:t>
      </w:r>
    </w:p>
    <w:p w:rsidR="00617CB0" w:rsidRPr="00022D33" w:rsidRDefault="00617CB0" w:rsidP="00617CB0">
      <w:pPr>
        <w:pStyle w:val="BodyText"/>
        <w:numPr>
          <w:ilvl w:val="0"/>
          <w:numId w:val="1"/>
        </w:numPr>
        <w:ind w:left="1134"/>
        <w:rPr>
          <w:sz w:val="36"/>
          <w:szCs w:val="36"/>
        </w:rPr>
      </w:pPr>
      <w:r w:rsidRPr="00022D33">
        <w:rPr>
          <w:sz w:val="36"/>
          <w:szCs w:val="36"/>
        </w:rPr>
        <w:t>Certification of financial statements</w:t>
      </w:r>
    </w:p>
    <w:p w:rsidR="00617CB0" w:rsidRPr="00022D33" w:rsidRDefault="00617CB0" w:rsidP="00617CB0">
      <w:pPr>
        <w:pStyle w:val="BodyText"/>
        <w:numPr>
          <w:ilvl w:val="0"/>
          <w:numId w:val="1"/>
        </w:numPr>
        <w:ind w:left="1134"/>
        <w:rPr>
          <w:sz w:val="36"/>
          <w:szCs w:val="36"/>
        </w:rPr>
      </w:pPr>
      <w:r w:rsidRPr="00022D33">
        <w:rPr>
          <w:sz w:val="36"/>
          <w:szCs w:val="36"/>
        </w:rPr>
        <w:t>Independent audit opinion</w:t>
      </w:r>
    </w:p>
    <w:p w:rsidR="00617CB0" w:rsidRPr="00022D33" w:rsidRDefault="003E1591" w:rsidP="00617CB0">
      <w:pPr>
        <w:pStyle w:val="BodyText"/>
        <w:numPr>
          <w:ilvl w:val="0"/>
          <w:numId w:val="1"/>
        </w:numPr>
        <w:ind w:left="1134"/>
        <w:rPr>
          <w:sz w:val="36"/>
          <w:szCs w:val="36"/>
        </w:rPr>
      </w:pPr>
      <w:hyperlink w:anchor="bookmark5" w:history="1">
        <w:r w:rsidR="00617CB0" w:rsidRPr="00022D33">
          <w:rPr>
            <w:sz w:val="36"/>
            <w:szCs w:val="36"/>
          </w:rPr>
          <w:t>Statement</w:t>
        </w:r>
      </w:hyperlink>
      <w:r w:rsidR="00617CB0" w:rsidRPr="00022D33">
        <w:rPr>
          <w:sz w:val="36"/>
          <w:szCs w:val="36"/>
        </w:rPr>
        <w:t xml:space="preserve"> of Comprehensive Income</w:t>
      </w:r>
    </w:p>
    <w:p w:rsidR="00617CB0" w:rsidRPr="00022D33" w:rsidRDefault="00617CB0" w:rsidP="00617CB0">
      <w:pPr>
        <w:pStyle w:val="BodyText"/>
        <w:numPr>
          <w:ilvl w:val="0"/>
          <w:numId w:val="1"/>
        </w:numPr>
        <w:ind w:left="1134"/>
        <w:rPr>
          <w:sz w:val="36"/>
          <w:szCs w:val="36"/>
        </w:rPr>
      </w:pPr>
      <w:r w:rsidRPr="00022D33">
        <w:rPr>
          <w:sz w:val="36"/>
          <w:szCs w:val="36"/>
        </w:rPr>
        <w:t>Statement of Financial Position</w:t>
      </w:r>
    </w:p>
    <w:p w:rsidR="00617CB0" w:rsidRPr="00022D33" w:rsidRDefault="00617CB0" w:rsidP="00617CB0">
      <w:pPr>
        <w:pStyle w:val="BodyText"/>
        <w:numPr>
          <w:ilvl w:val="0"/>
          <w:numId w:val="1"/>
        </w:numPr>
        <w:ind w:left="1134"/>
        <w:rPr>
          <w:sz w:val="36"/>
          <w:szCs w:val="36"/>
        </w:rPr>
      </w:pPr>
      <w:r w:rsidRPr="00022D33">
        <w:rPr>
          <w:sz w:val="36"/>
          <w:szCs w:val="36"/>
        </w:rPr>
        <w:t>Statement of Changes in Equity</w:t>
      </w:r>
    </w:p>
    <w:p w:rsidR="00617CB0" w:rsidRPr="00022D33" w:rsidRDefault="00617CB0" w:rsidP="00617CB0">
      <w:pPr>
        <w:pStyle w:val="BodyText"/>
        <w:numPr>
          <w:ilvl w:val="0"/>
          <w:numId w:val="1"/>
        </w:numPr>
        <w:ind w:left="1134"/>
        <w:rPr>
          <w:sz w:val="36"/>
          <w:szCs w:val="36"/>
        </w:rPr>
      </w:pPr>
      <w:r w:rsidRPr="00022D33">
        <w:rPr>
          <w:sz w:val="36"/>
          <w:szCs w:val="36"/>
        </w:rPr>
        <w:t>Statement of Cash Flows</w:t>
      </w:r>
    </w:p>
    <w:p w:rsidR="00617CB0" w:rsidRPr="00022D33" w:rsidRDefault="003E1591" w:rsidP="00617CB0">
      <w:pPr>
        <w:pStyle w:val="BodyText"/>
        <w:numPr>
          <w:ilvl w:val="0"/>
          <w:numId w:val="1"/>
        </w:numPr>
        <w:ind w:left="1134"/>
        <w:rPr>
          <w:sz w:val="36"/>
          <w:szCs w:val="36"/>
        </w:rPr>
      </w:pPr>
      <w:hyperlink w:anchor="bookmark6" w:history="1">
        <w:r w:rsidR="00617CB0" w:rsidRPr="00022D33">
          <w:rPr>
            <w:sz w:val="36"/>
            <w:szCs w:val="36"/>
          </w:rPr>
          <w:t>Summary</w:t>
        </w:r>
      </w:hyperlink>
      <w:r w:rsidR="00617CB0" w:rsidRPr="00022D33">
        <w:rPr>
          <w:sz w:val="36"/>
          <w:szCs w:val="36"/>
        </w:rPr>
        <w:t xml:space="preserve"> of Consolidated Account Appropriations and Income Estimates</w:t>
      </w:r>
    </w:p>
    <w:p w:rsidR="00617CB0" w:rsidRPr="00022D33" w:rsidRDefault="00617CB0" w:rsidP="00617CB0">
      <w:pPr>
        <w:pStyle w:val="BodyText"/>
        <w:numPr>
          <w:ilvl w:val="0"/>
          <w:numId w:val="1"/>
        </w:numPr>
        <w:ind w:left="1134"/>
        <w:rPr>
          <w:sz w:val="36"/>
          <w:szCs w:val="36"/>
        </w:rPr>
      </w:pPr>
      <w:r w:rsidRPr="00022D33">
        <w:rPr>
          <w:sz w:val="36"/>
          <w:szCs w:val="36"/>
        </w:rPr>
        <w:t>Schedule of Income and Expenses by Service</w:t>
      </w:r>
    </w:p>
    <w:p w:rsidR="00617CB0" w:rsidRPr="00022D33" w:rsidRDefault="00617CB0" w:rsidP="00617CB0">
      <w:pPr>
        <w:pStyle w:val="BodyText"/>
        <w:numPr>
          <w:ilvl w:val="0"/>
          <w:numId w:val="1"/>
        </w:numPr>
        <w:ind w:left="1134"/>
        <w:rPr>
          <w:sz w:val="36"/>
          <w:szCs w:val="36"/>
        </w:rPr>
      </w:pPr>
      <w:r w:rsidRPr="00022D33">
        <w:rPr>
          <w:sz w:val="36"/>
          <w:szCs w:val="36"/>
        </w:rPr>
        <w:t>Schedule of Assets and Liabilities by Service</w:t>
      </w:r>
    </w:p>
    <w:p w:rsidR="00617CB0" w:rsidRPr="00022D33" w:rsidRDefault="00617CB0" w:rsidP="00617CB0">
      <w:pPr>
        <w:pStyle w:val="BodyText"/>
        <w:numPr>
          <w:ilvl w:val="0"/>
          <w:numId w:val="1"/>
        </w:numPr>
        <w:ind w:left="1134"/>
        <w:rPr>
          <w:sz w:val="36"/>
          <w:szCs w:val="36"/>
        </w:rPr>
      </w:pPr>
      <w:r w:rsidRPr="00022D33">
        <w:rPr>
          <w:sz w:val="36"/>
          <w:szCs w:val="36"/>
        </w:rPr>
        <w:t>Notes to the financial statements</w:t>
      </w:r>
    </w:p>
    <w:p w:rsidR="00617CB0" w:rsidRPr="00022D33" w:rsidRDefault="00617CB0" w:rsidP="00617CB0">
      <w:pPr>
        <w:pStyle w:val="Heading2"/>
      </w:pPr>
      <w:r w:rsidRPr="00022D33">
        <w:br w:type="page"/>
      </w:r>
      <w:r w:rsidRPr="00022D33">
        <w:lastRenderedPageBreak/>
        <w:t>Certification of financial statements</w:t>
      </w:r>
    </w:p>
    <w:p w:rsidR="00617CB0" w:rsidRPr="00022D33" w:rsidRDefault="00617CB0" w:rsidP="00617CB0">
      <w:pPr>
        <w:autoSpaceDE w:val="0"/>
        <w:autoSpaceDN w:val="0"/>
        <w:adjustRightInd w:val="0"/>
        <w:spacing w:before="200" w:after="0" w:line="240" w:lineRule="auto"/>
        <w:rPr>
          <w:rFonts w:ascii="Arial" w:hAnsi="Arial" w:cs="Arial"/>
          <w:sz w:val="28"/>
          <w:szCs w:val="28"/>
          <w:lang w:eastAsia="en-AU"/>
        </w:rPr>
      </w:pPr>
      <w:r w:rsidRPr="00022D33">
        <w:rPr>
          <w:rFonts w:ascii="Arial" w:hAnsi="Arial" w:cs="Arial"/>
          <w:sz w:val="28"/>
          <w:szCs w:val="28"/>
          <w:lang w:eastAsia="en-AU"/>
        </w:rPr>
        <w:t>For the year ended 30 June 2016</w:t>
      </w:r>
    </w:p>
    <w:p w:rsidR="00617CB0" w:rsidRPr="00022D33" w:rsidRDefault="00617CB0" w:rsidP="00617CB0">
      <w:pPr>
        <w:pStyle w:val="BodyText"/>
      </w:pPr>
      <w:r w:rsidRPr="00022D33">
        <w:t xml:space="preserve">The accompanying financial statements of the Department of Finance have been prepared in compliance with the provisions of the Financial Management Act 2006 from proper accounts and records to present fairly the financial transactions for the financial year ended 30 June 2016 and the financial position as at 30 June 2016. </w:t>
      </w:r>
    </w:p>
    <w:p w:rsidR="00617CB0" w:rsidRPr="00022D33" w:rsidRDefault="00617CB0" w:rsidP="00617CB0">
      <w:pPr>
        <w:pStyle w:val="BodyText"/>
      </w:pPr>
      <w:r w:rsidRPr="00022D33">
        <w:t>At the date of signing we are not aware of any circumstances which would render the particulars included in the financial statements misleading or inaccurate.</w:t>
      </w:r>
    </w:p>
    <w:p w:rsidR="00617CB0" w:rsidRPr="00022D33" w:rsidRDefault="00617CB0" w:rsidP="00617CB0">
      <w:pPr>
        <w:pStyle w:val="BodyText"/>
      </w:pPr>
    </w:p>
    <w:p w:rsidR="00617CB0" w:rsidRDefault="00617CB0" w:rsidP="00617CB0">
      <w:pPr>
        <w:pStyle w:val="BodyText"/>
      </w:pPr>
    </w:p>
    <w:p w:rsidR="00617CB0" w:rsidRPr="00022D33" w:rsidRDefault="00617CB0" w:rsidP="00617CB0">
      <w:pPr>
        <w:pStyle w:val="BodyText"/>
      </w:pPr>
    </w:p>
    <w:p w:rsidR="00617CB0" w:rsidRPr="00022D33" w:rsidRDefault="00617CB0" w:rsidP="00617CB0">
      <w:pPr>
        <w:pStyle w:val="BodyText"/>
      </w:pPr>
      <w:r w:rsidRPr="00022D33">
        <w:t>Anne Nolan</w:t>
      </w:r>
      <w:r w:rsidRPr="00022D33">
        <w:tab/>
      </w:r>
    </w:p>
    <w:p w:rsidR="00617CB0" w:rsidRPr="00022D33" w:rsidRDefault="00617CB0" w:rsidP="00617CB0">
      <w:pPr>
        <w:pStyle w:val="BodyText"/>
      </w:pPr>
      <w:r w:rsidRPr="00022D33">
        <w:t>Director General</w:t>
      </w:r>
      <w:r w:rsidRPr="00022D33">
        <w:tab/>
      </w:r>
    </w:p>
    <w:p w:rsidR="00617CB0" w:rsidRPr="00022D33" w:rsidRDefault="00617CB0" w:rsidP="00617CB0">
      <w:pPr>
        <w:pStyle w:val="BodyText"/>
      </w:pPr>
      <w:r w:rsidRPr="00022D33">
        <w:t>24 August 2016</w:t>
      </w:r>
    </w:p>
    <w:p w:rsidR="00617CB0" w:rsidRPr="00022D33" w:rsidRDefault="00617CB0" w:rsidP="00617CB0">
      <w:pPr>
        <w:pStyle w:val="BodyText"/>
      </w:pPr>
    </w:p>
    <w:p w:rsidR="00617CB0" w:rsidRPr="00022D33" w:rsidRDefault="00617CB0" w:rsidP="00617CB0">
      <w:pPr>
        <w:pStyle w:val="BodyText"/>
      </w:pPr>
    </w:p>
    <w:p w:rsidR="00617CB0" w:rsidRDefault="00617CB0" w:rsidP="00617CB0">
      <w:pPr>
        <w:pStyle w:val="BodyText"/>
      </w:pPr>
    </w:p>
    <w:p w:rsidR="00617CB0" w:rsidRPr="00022D33" w:rsidRDefault="00617CB0" w:rsidP="00617CB0">
      <w:pPr>
        <w:pStyle w:val="BodyText"/>
      </w:pPr>
    </w:p>
    <w:p w:rsidR="00617CB0" w:rsidRPr="00022D33" w:rsidRDefault="00617CB0" w:rsidP="00617CB0">
      <w:pPr>
        <w:pStyle w:val="BodyText"/>
      </w:pPr>
      <w:r w:rsidRPr="00022D33">
        <w:t>Liam Carren</w:t>
      </w:r>
    </w:p>
    <w:p w:rsidR="00617CB0" w:rsidRPr="00022D33" w:rsidRDefault="00617CB0" w:rsidP="00617CB0">
      <w:pPr>
        <w:pStyle w:val="BodyText"/>
      </w:pPr>
      <w:r w:rsidRPr="00022D33">
        <w:t>Chief Finance Officer</w:t>
      </w:r>
    </w:p>
    <w:p w:rsidR="00617CB0" w:rsidRPr="00022D33" w:rsidRDefault="00617CB0" w:rsidP="00617CB0">
      <w:pPr>
        <w:pStyle w:val="BodyText"/>
      </w:pPr>
      <w:r w:rsidRPr="00022D33">
        <w:t>24 August 2016</w:t>
      </w:r>
    </w:p>
    <w:p w:rsidR="00617CB0" w:rsidRPr="00022D33" w:rsidRDefault="00617CB0" w:rsidP="00617CB0">
      <w:pPr>
        <w:pStyle w:val="BodyText"/>
      </w:pPr>
    </w:p>
    <w:p w:rsidR="00617CB0" w:rsidRPr="00022D33" w:rsidRDefault="00617CB0" w:rsidP="00617CB0">
      <w:pPr>
        <w:pStyle w:val="BodyText"/>
      </w:pPr>
      <w:r w:rsidRPr="00022D33">
        <w:br w:type="page"/>
      </w:r>
    </w:p>
    <w:p w:rsidR="00617CB0" w:rsidRPr="00022D33" w:rsidRDefault="0077611B" w:rsidP="00617CB0">
      <w:pPr>
        <w:pStyle w:val="BodyText"/>
      </w:pPr>
      <w:r w:rsidRPr="009C054D">
        <w:rPr>
          <w:noProof/>
        </w:rPr>
        <w:drawing>
          <wp:inline distT="0" distB="0" distL="0" distR="0">
            <wp:extent cx="5726810" cy="8102600"/>
            <wp:effectExtent l="0" t="0" r="0" b="0"/>
            <wp:docPr id="2" name="Picture 2" descr="Auditor General&#10;&#10;INDEPENDENT AUDITOR'S REPORT&#10;&#10;DEPARTMENT OF FINANCE&#10;&#10;Report on the Financial Statements&#10;&#10;I have audited the accounts and financial statements of the Department of Finance.&#10;&#10;The financial statements comprise the Statement of Financial Position as at 30 June 2016, the Statement of Comprehensive Income, Statement of Changes in Equity, Statement of Cash Flows, Schedule of Income and Expenses by Service, Schedule of Assets and Liabilities by Service, and Summary of Consolidated Account Appropriations and Income Estimates for the year then ended, and Notes comprising a summary of significant accounting policies and other explanatory information, including Administered transactions and balances.&#10;&#10;Opinion&#10;In my opinion, the financial statements are based on proper accounts and present fairly, in all material respects, the financial position of the Department of Finance at 30 June 2016 and its financial performance and cash flows for the year then ended. They are in accordance with Australian Accounting Standards and the Treasurer's Instructions.&#10;&#10;Director General's Responsibility for the Financial Statements&#10;The Director General is responsible for keeping proper accounts, and the preparation and fair presentation of the financial statements in accordance with Australian Accounting Standards and the Treasurer's Instructions, and for such internal control as the Director General determines is necessary to enable the preparation of financial statements that are free from material misstatement, whether due to fraud or error.&#10;&#10;Auditor's Responsibility for the Audit of the Financial Statements&#10;As required by the Auditor General Act 2006, my responsibility is to express an opinion on the financial statements based on my audit. The audit was conducted in accordance with Australian Auditing Standards. Those Standards require compliance with relevant ethical requirements relating to audit engagements and that the audit be planned and performed to obtain reasonable assurance about whether the financial statements are free from material misstatement.&#10;&#10;An audit involves performing procedures to obtain audit evidence about the amounts and disclosures in the financial statements. The procedures selected depend on the auditor's judgement, including the assessment of the risks of material misstatement of the financial statements, whether due to fraud or error. In making those risk assessments, the auditor considers internal control relevant to the Department's preparation and fair presentation of the financial statements in order to design audit procedures that are appropriate in the circumstances. An audit also includes evaluating the appropriateness of the accounting policies used and the reasonableness of accounting estimates made by the Director General, as well as evaluating the overall presentation of the financial statements.&#10;&#10;I believe that the audit evidence obtained is sufficient and appropriate to provide a basis for my audit opinion." title="Independent Auditor's Report Page 1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ditor General&#10;&#10;INDEPENDENT AUDITOR'S REPORT&#10;&#10;DEPARTMENT OF FINANCE&#10;&#10;Report on the Financial Statements&#10;&#10;I have audited the accounts and financial statements of the Department of Finance.&#10;&#10;The financial statements comprise the Statement of Financial Position as at 30 June 2016, the Statement of Comprehensive Income, Statement of Changes in Equity, Statement of Cash Flows, Schedule of Income and Expenses by Service, Schedule of Assets and Liabilities by Service, and Summary of Consolidated Account Appropriations and Income Estimates for the year then ended, and Notes comprising a summary of significant accounting policies and other explanatory information, including Administered transactions and balances.&#10;&#10;Opinion&#10;In my opinion, the financial statements are based on proper accounts and present fairly, in all material respects, the financial position of the Department of Finance at 30 June 2016 and its financial performance and cash flows for the year then ended. They are in accordance with Australian Accounting Standards and the Treasurer's Instructions.&#10;&#10;Director General's Responsibility for the Financial Statements&#10;The Director General is responsible for keeping proper accounts, and the preparation and fair presentation of the financial statements in accordance with Australian Accounting Standards and the Treasurer's Instructions, and for such internal control as the Director General determines is necessary to enable the preparation of financial statements that are free from material misstatement, whether due to fraud or error.&#10;&#10;Auditor's Responsibility for the Audit of the Financial Statements&#10;As required by the Auditor General Act 2006, my responsibility is to express an opinion on the financial statements based on my audit. The audit was conducted in accordance with Australian Auditing Standards. Those Standards require compliance with relevant ethical requirements relating to audit engagements and that the audit be planned and performed to obtain reasonable assurance about whether the financial statements are free from material misstatement.&#10;&#10;An audit involves performing procedures to obtain audit evidence about the amounts and disclosures in the financial statements. The procedures selected depend on the auditor's judgement, including the assessment of the risks of material misstatement of the financial statements, whether due to fraud or error. In making those risk assessments, the auditor considers internal control relevant to the Department's preparation and fair presentation of the financial statements in order to design audit procedures that are appropriate in the circumstances. An audit also includes evaluating the appropriateness of the accounting policies used and the reasonableness of accounting estimates made by the Director General, as well as evaluating the overall presentation of the financial statements.&#10;&#10;I believe that the audit evidence obtained is sufficient and appropriate to provide a basis for my audit opinion." title="Independent Auditor's Report Page 1 of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6430" cy="8102600"/>
                    </a:xfrm>
                    <a:prstGeom prst="rect">
                      <a:avLst/>
                    </a:prstGeom>
                    <a:noFill/>
                    <a:ln>
                      <a:noFill/>
                    </a:ln>
                  </pic:spPr>
                </pic:pic>
              </a:graphicData>
            </a:graphic>
          </wp:inline>
        </w:drawing>
      </w:r>
    </w:p>
    <w:p w:rsidR="00617CB0" w:rsidRPr="00022D33" w:rsidRDefault="00617CB0" w:rsidP="00617CB0">
      <w:pPr>
        <w:pStyle w:val="BodyText"/>
      </w:pPr>
      <w:r w:rsidRPr="00022D33">
        <w:br w:type="page"/>
      </w:r>
    </w:p>
    <w:p w:rsidR="00617CB0" w:rsidRPr="00022D33" w:rsidRDefault="0077611B" w:rsidP="00617CB0">
      <w:pPr>
        <w:pStyle w:val="BodyText"/>
      </w:pPr>
      <w:r w:rsidRPr="009C054D">
        <w:rPr>
          <w:noProof/>
        </w:rPr>
        <w:drawing>
          <wp:inline distT="0" distB="0" distL="0" distR="0">
            <wp:extent cx="5726810" cy="8077200"/>
            <wp:effectExtent l="0" t="0" r="0" b="0"/>
            <wp:docPr id="3" name="Picture 3" descr="Report on Controls&#10;&#10;I have audited the controls exercised by the Department of Finance during the year ended 30 June 2016.&#10;&#10;Controls exercised by the Department of Finance are those policies and procedures established by the Director General to ensure that the receipt, expenditure and investment of money, the acquisition and disposal of property, and the incurring of liabilities have been in accordance with legislative provisions.&#10;&#10;Opinion&#10;In my opinion, in all material respects, the controls exercised by the Department of Finance are sufficiently adequate to provide reasonable assurance that the receipt, expenditure and investment of money, the acquisition and disposal of property, and the incurring of liabilities have been in accordance with legislative provisions during the year ended 30 June 2016.&#10;&#10;Director General's Responsibility for Controls&#10;The Director General is responsible for maintaining an adequate system of internal control to ensure that the receipt, expenditure and investment of money, the acquisition and disposal of public and other property, and the incurring of liabilities are in accordance with the Financial Management Act 2006 and the Treasurer's Instructions, and other relevant written law.&#10;&#10;Auditor's Responsibility for the Audit of Controls&#10;As required by the Auditor General Act 2006, my responsibility is to express an opinion on the controls exercised by the Department of Finance based on my audit conducted in accordance with Australian Auditing and Assurance Standards.&#10;&#10;An audit involves performing procedures to obtain audit evidence about the adequacy of controls to ensure that the Department complies with the legislative provisions. The procedures selected depend on the auditor's judgement and include an evaluation of the design and implementation of relevant controls.&#10;&#10;I believe that the audit evidence obtained is sufficient and appropriate to provide a basis for my audit opinion.&#10;&#10;Report on the Key Performance Indicators&#10;&#10;I have audited the key performance indicators of the Department of Finance for the year ended 30 June 2016.&#10;&#10;The key performance indicators are the key effectiveness indicators and the key efficiency indicators that provide information on outcome achievement and service provision.&#10;&#10;Opinion&#10;In my opinion, in all material respects, the key performance indicators of the Department of Finance are relevant and appropriate to assist users to assess the Department's performance and fairly represent indicated performance for the year ended 30 June 2016.&#10;&#10;Director General's Responsibility for the Key Performance Indicators&#10;The Director General is responsible for the preparation and fair presentation of the key performance indicators in accordance with the Financial Management Act 2006 and the Treasurer's Instructions and for such controls as the Director General determines necessary to ensure that the key performance indicators fairly represent indicated performance.&#10;" title="Independent Auditor's Report Page 2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eport on Controls&#10;&#10;I have audited the controls exercised by the Department of Finance during the year ended 30 June 2016.&#10;&#10;Controls exercised by the Department of Finance are those policies and procedures established by the Director General to ensure that the receipt, expenditure and investment of money, the acquisition and disposal of property, and the incurring of liabilities have been in accordance with legislative provisions.&#10;&#10;Opinion&#10;In my opinion, in all material respects, the controls exercised by the Department of Finance are sufficiently adequate to provide reasonable assurance that the receipt, expenditure and investment of money, the acquisition and disposal of property, and the incurring of liabilities have been in accordance with legislative provisions during the year ended 30 June 2016.&#10;&#10;Director General's Responsibility for Controls&#10;The Director General is responsible for maintaining an adequate system of internal control to ensure that the receipt, expenditure and investment of money, the acquisition and disposal of public and other property, and the incurring of liabilities are in accordance with the Financial Management Act 2006 and the Treasurer's Instructions, and other relevant written law.&#10;&#10;Auditor's Responsibility for the Audit of Controls&#10;As required by the Auditor General Act 2006, my responsibility is to express an opinion on the controls exercised by the Department of Finance based on my audit conducted in accordance with Australian Auditing and Assurance Standards.&#10;&#10;An audit involves performing procedures to obtain audit evidence about the adequacy of controls to ensure that the Department complies with the legislative provisions. The procedures selected depend on the auditor's judgement and include an evaluation of the design and implementation of relevant controls.&#10;&#10;I believe that the audit evidence obtained is sufficient and appropriate to provide a basis for my audit opinion.&#10;&#10;Report on the Key Performance Indicators&#10;&#10;I have audited the key performance indicators of the Department of Finance for the year ended 30 June 2016.&#10;&#10;The key performance indicators are the key effectiveness indicators and the key efficiency indicators that provide information on outcome achievement and service provision.&#10;&#10;Opinion&#10;In my opinion, in all material respects, the key performance indicators of the Department of Finance are relevant and appropriate to assist users to assess the Department's performance and fairly represent indicated performance for the year ended 30 June 2016.&#10;&#10;Director General's Responsibility for the Key Performance Indicators&#10;The Director General is responsible for the preparation and fair presentation of the key performance indicators in accordance with the Financial Management Act 2006 and the Treasurer's Instructions and for such controls as the Director General determines necessary to ensure that the key performance indicators fairly represent indicated performance.&#10;" title="Independent Auditor's Report Page 2 of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6430" cy="8077200"/>
                    </a:xfrm>
                    <a:prstGeom prst="rect">
                      <a:avLst/>
                    </a:prstGeom>
                    <a:noFill/>
                    <a:ln>
                      <a:noFill/>
                    </a:ln>
                  </pic:spPr>
                </pic:pic>
              </a:graphicData>
            </a:graphic>
          </wp:inline>
        </w:drawing>
      </w:r>
    </w:p>
    <w:p w:rsidR="00617CB0" w:rsidRPr="00022D33" w:rsidRDefault="00617CB0" w:rsidP="00617CB0">
      <w:pPr>
        <w:pStyle w:val="BodyText"/>
      </w:pPr>
      <w:r w:rsidRPr="00022D33">
        <w:br w:type="page"/>
      </w:r>
    </w:p>
    <w:p w:rsidR="00617CB0" w:rsidRPr="00022D33" w:rsidRDefault="0077611B" w:rsidP="00617CB0">
      <w:pPr>
        <w:pStyle w:val="BodyText"/>
      </w:pPr>
      <w:r w:rsidRPr="009C054D">
        <w:rPr>
          <w:noProof/>
        </w:rPr>
        <w:drawing>
          <wp:inline distT="0" distB="0" distL="0" distR="0">
            <wp:extent cx="5726810" cy="8077200"/>
            <wp:effectExtent l="0" t="0" r="0" b="0"/>
            <wp:docPr id="4" name="Picture 4" descr="Auditor's Responsibility for the Audit of Key Performance Indicators&#10;As required by the Auditor General Act 2006, my responsibility is to express an opinion on the key performance indicators based on my audit conducted in accordance with Australian&#10;Auditing and Assurance Standards.&#10;&#10;An audit involves performing procedures to obtain audit evidence about the key performance indicators. The procedures selected depend on the auditor's judgement, including the assessment of the risks of material misstatement of the key performance indicators. In making these risk assessments the auditor considers internal control relevant to the Director General's preparation and fair presentation of the key performance indicators in order to design audit procedures that are appropriate in the circumstances. An audit also includes evaluating the relevance and appropriateness of the key performance indicators for measuring the extent of outcome achievement and service provision.&#10;&#10;I believe that the audit evidence obtained is sufficient and appropriate to provide a basis for my audit opinion.&#10;&#10;Independence&#10;In conducting the above audits, I have complied with the independence requirements of the Auditor General Act 2006 and Australian Auditing and Assurance Standards, and other relevant ethical requirements. &#10;&#10;Matters Relating to the Electronic Publication of the Audited Financial Statements and Key Performance Indicators&#10;This auditor's report relates to the financial statements and key performance indicators of the Department of Finance for the year ended 30 June 2016 included on the Department's website. The Department's management is responsible for the integrity of the Department's website. This audit does not provide assurance on the integrity of the Department's website. The auditor's report refers only to the financial statements and key performance indicators described above. It does not provide an opinion on any other information which may have been hyperlinked to/from these financial statements or key performance indicators. If users of the financial statements and key performance indicators are concerned with the inherent risks arising from publication on a website, they are advised to refer to the hard copy of the audited financial statements and key performance indicators to confirm the information contained in this website version of the financial statements and key performance indicators.&#10;&#10;COLIN MURPHY&#10;AUDITOR GENERAL&#10;FOR WESTERN AUSTRALIA&#10;Perth, Western Australia&#10;26 August 2016" title="Independent Auditor's Report Page 3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ditor's Responsibility for the Audit of Key Performance Indicators&#10;As required by the Auditor General Act 2006, my responsibility is to express an opinion on the key performance indicators based on my audit conducted in accordance with Australian&#10;Auditing and Assurance Standards.&#10;&#10;An audit involves performing procedures to obtain audit evidence about the key performance indicators. The procedures selected depend on the auditor's judgement, including the assessment of the risks of material misstatement of the key performance indicators. In making these risk assessments the auditor considers internal control relevant to the Director General's preparation and fair presentation of the key performance indicators in order to design audit procedures that are appropriate in the circumstances. An audit also includes evaluating the relevance and appropriateness of the key performance indicators for measuring the extent of outcome achievement and service provision.&#10;&#10;I believe that the audit evidence obtained is sufficient and appropriate to provide a basis for my audit opinion.&#10;&#10;Independence&#10;In conducting the above audits, I have complied with the independence requirements of the Auditor General Act 2006 and Australian Auditing and Assurance Standards, and other relevant ethical requirements. &#10;&#10;Matters Relating to the Electronic Publication of the Audited Financial Statements and Key Performance Indicators&#10;This auditor's report relates to the financial statements and key performance indicators of the Department of Finance for the year ended 30 June 2016 included on the Department's website. The Department's management is responsible for the integrity of the Department's website. This audit does not provide assurance on the integrity of the Department's website. The auditor's report refers only to the financial statements and key performance indicators described above. It does not provide an opinion on any other information which may have been hyperlinked to/from these financial statements or key performance indicators. If users of the financial statements and key performance indicators are concerned with the inherent risks arising from publication on a website, they are advised to refer to the hard copy of the audited financial statements and key performance indicators to confirm the information contained in this website version of the financial statements and key performance indicators.&#10;&#10;COLIN MURPHY&#10;AUDITOR GENERAL&#10;FOR WESTERN AUSTRALIA&#10;Perth, Western Australia&#10;26 August 2016" title="Independent Auditor's Report Page 3 of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6430" cy="8077200"/>
                    </a:xfrm>
                    <a:prstGeom prst="rect">
                      <a:avLst/>
                    </a:prstGeom>
                    <a:noFill/>
                    <a:ln>
                      <a:noFill/>
                    </a:ln>
                  </pic:spPr>
                </pic:pic>
              </a:graphicData>
            </a:graphic>
          </wp:inline>
        </w:drawing>
      </w:r>
    </w:p>
    <w:p w:rsidR="00617CB0" w:rsidRPr="00022D33" w:rsidRDefault="00617CB0" w:rsidP="00617CB0">
      <w:pPr>
        <w:pStyle w:val="Heading2"/>
      </w:pPr>
      <w:r w:rsidRPr="00022D33">
        <w:br w:type="page"/>
      </w:r>
      <w:r w:rsidRPr="00022D33">
        <w:lastRenderedPageBreak/>
        <w:t xml:space="preserve">Statement of Comprehensive Income </w:t>
      </w:r>
    </w:p>
    <w:p w:rsidR="00617CB0" w:rsidRPr="00022D33" w:rsidRDefault="00617CB0" w:rsidP="00617CB0">
      <w:pPr>
        <w:pStyle w:val="Heading3"/>
      </w:pPr>
      <w:r w:rsidRPr="00022D33">
        <w:t>For the year ended 30 June 2016</w:t>
      </w:r>
    </w:p>
    <w:p w:rsidR="00617CB0" w:rsidRPr="00022D33" w:rsidRDefault="00196F4C" w:rsidP="00617CB0">
      <w:pPr>
        <w:pStyle w:val="Caption"/>
        <w:keepNext/>
        <w:spacing w:after="60"/>
      </w:pPr>
      <w:fldSimple w:instr=" SEQ Table \* ARABIC \r5 ">
        <w:r w:rsidR="00D8778B">
          <w:rPr>
            <w:noProof/>
          </w:rPr>
          <w:t>5</w:t>
        </w:r>
      </w:fldSimple>
      <w:r w:rsidR="00617CB0" w:rsidRPr="00022D33">
        <w:t xml:space="preserve"> Statement of Comprehensive Income. For the year ended 30 June 2016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9"/>
        <w:gridCol w:w="754"/>
        <w:gridCol w:w="1191"/>
        <w:gridCol w:w="1191"/>
      </w:tblGrid>
      <w:tr w:rsidR="00617CB0" w:rsidRPr="00022D33" w:rsidTr="000D7011">
        <w:tc>
          <w:tcPr>
            <w:tcW w:w="5059" w:type="dxa"/>
            <w:tcBorders>
              <w:top w:val="nil"/>
              <w:left w:val="nil"/>
              <w:bottom w:val="nil"/>
              <w:right w:val="nil"/>
            </w:tcBorders>
            <w:shd w:val="clear" w:color="auto" w:fill="auto"/>
          </w:tcPr>
          <w:p w:rsidR="00617CB0" w:rsidRPr="00022D33" w:rsidRDefault="00617CB0" w:rsidP="000D7011">
            <w:pPr>
              <w:pStyle w:val="Tableboldedtext"/>
            </w:pPr>
          </w:p>
        </w:tc>
        <w:tc>
          <w:tcPr>
            <w:tcW w:w="754" w:type="dxa"/>
            <w:tcBorders>
              <w:top w:val="nil"/>
              <w:left w:val="nil"/>
              <w:bottom w:val="nil"/>
              <w:right w:val="nil"/>
            </w:tcBorders>
            <w:shd w:val="clear" w:color="auto" w:fill="auto"/>
          </w:tcPr>
          <w:p w:rsidR="00617CB0" w:rsidRPr="00022D33" w:rsidRDefault="00617CB0" w:rsidP="000D7011">
            <w:pPr>
              <w:pStyle w:val="Tableboldedtext"/>
              <w:jc w:val="center"/>
            </w:pPr>
            <w:r w:rsidRPr="00022D33">
              <w:t>Note</w:t>
            </w:r>
          </w:p>
        </w:tc>
        <w:tc>
          <w:tcPr>
            <w:tcW w:w="1191" w:type="dxa"/>
            <w:tcBorders>
              <w:top w:val="nil"/>
              <w:left w:val="nil"/>
              <w:bottom w:val="nil"/>
              <w:right w:val="nil"/>
            </w:tcBorders>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191"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059" w:type="dxa"/>
            <w:tcBorders>
              <w:top w:val="nil"/>
              <w:left w:val="nil"/>
              <w:bottom w:val="nil"/>
              <w:right w:val="nil"/>
            </w:tcBorders>
            <w:shd w:val="clear" w:color="auto" w:fill="auto"/>
          </w:tcPr>
          <w:p w:rsidR="00617CB0" w:rsidRPr="00022D33" w:rsidRDefault="00617CB0" w:rsidP="000D7011">
            <w:pPr>
              <w:pStyle w:val="Tableboldedtext"/>
            </w:pPr>
            <w:r w:rsidRPr="00022D33">
              <w:t>COST OF SERVICES</w:t>
            </w:r>
          </w:p>
        </w:tc>
        <w:tc>
          <w:tcPr>
            <w:tcW w:w="754" w:type="dxa"/>
            <w:tcBorders>
              <w:top w:val="nil"/>
              <w:left w:val="nil"/>
              <w:bottom w:val="nil"/>
              <w:right w:val="nil"/>
            </w:tcBorders>
            <w:shd w:val="clear" w:color="auto" w:fill="auto"/>
          </w:tcPr>
          <w:p w:rsidR="00617CB0" w:rsidRPr="00022D33" w:rsidRDefault="00617CB0" w:rsidP="000D7011">
            <w:pPr>
              <w:pStyle w:val="Tabletext"/>
              <w:jc w:val="right"/>
            </w:pPr>
          </w:p>
        </w:tc>
        <w:tc>
          <w:tcPr>
            <w:tcW w:w="1191" w:type="dxa"/>
            <w:tcBorders>
              <w:top w:val="nil"/>
              <w:left w:val="nil"/>
              <w:bottom w:val="nil"/>
              <w:right w:val="nil"/>
            </w:tcBorders>
          </w:tcPr>
          <w:p w:rsidR="00617CB0" w:rsidRPr="00022D33" w:rsidRDefault="00617CB0" w:rsidP="000D7011">
            <w:pPr>
              <w:pStyle w:val="Tabletext"/>
              <w:jc w:val="right"/>
            </w:pPr>
          </w:p>
        </w:tc>
        <w:tc>
          <w:tcPr>
            <w:tcW w:w="1191"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059" w:type="dxa"/>
            <w:tcBorders>
              <w:top w:val="nil"/>
              <w:left w:val="nil"/>
              <w:bottom w:val="nil"/>
              <w:right w:val="nil"/>
            </w:tcBorders>
            <w:shd w:val="clear" w:color="auto" w:fill="auto"/>
          </w:tcPr>
          <w:p w:rsidR="00617CB0" w:rsidRPr="00022D33" w:rsidRDefault="00617CB0" w:rsidP="000D7011">
            <w:pPr>
              <w:pStyle w:val="Tableboldedtext"/>
            </w:pPr>
            <w:r w:rsidRPr="00022D33">
              <w:t>Expenses</w:t>
            </w:r>
          </w:p>
        </w:tc>
        <w:tc>
          <w:tcPr>
            <w:tcW w:w="754" w:type="dxa"/>
            <w:tcBorders>
              <w:top w:val="nil"/>
              <w:left w:val="nil"/>
              <w:bottom w:val="nil"/>
              <w:right w:val="nil"/>
            </w:tcBorders>
            <w:shd w:val="clear" w:color="auto" w:fill="auto"/>
          </w:tcPr>
          <w:p w:rsidR="00617CB0" w:rsidRPr="00022D33" w:rsidRDefault="00617CB0" w:rsidP="000D7011">
            <w:pPr>
              <w:pStyle w:val="Tabletext"/>
              <w:jc w:val="right"/>
            </w:pPr>
          </w:p>
        </w:tc>
        <w:tc>
          <w:tcPr>
            <w:tcW w:w="1191" w:type="dxa"/>
            <w:tcBorders>
              <w:top w:val="nil"/>
              <w:left w:val="nil"/>
              <w:bottom w:val="nil"/>
              <w:right w:val="nil"/>
            </w:tcBorders>
          </w:tcPr>
          <w:p w:rsidR="00617CB0" w:rsidRPr="00022D33" w:rsidRDefault="00617CB0" w:rsidP="000D7011">
            <w:pPr>
              <w:pStyle w:val="Tabletext"/>
              <w:jc w:val="right"/>
            </w:pPr>
          </w:p>
        </w:tc>
        <w:tc>
          <w:tcPr>
            <w:tcW w:w="1191"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059" w:type="dxa"/>
            <w:tcBorders>
              <w:top w:val="nil"/>
              <w:left w:val="nil"/>
              <w:bottom w:val="nil"/>
              <w:right w:val="nil"/>
            </w:tcBorders>
            <w:shd w:val="clear" w:color="auto" w:fill="auto"/>
          </w:tcPr>
          <w:p w:rsidR="00617CB0" w:rsidRPr="00022D33" w:rsidRDefault="00617CB0" w:rsidP="000D7011">
            <w:pPr>
              <w:pStyle w:val="Tabletext"/>
            </w:pPr>
            <w:r w:rsidRPr="00022D33">
              <w:t xml:space="preserve">Employee benefits expense </w:t>
            </w:r>
          </w:p>
        </w:tc>
        <w:tc>
          <w:tcPr>
            <w:tcW w:w="754" w:type="dxa"/>
            <w:tcBorders>
              <w:top w:val="nil"/>
              <w:left w:val="nil"/>
              <w:bottom w:val="nil"/>
              <w:right w:val="nil"/>
            </w:tcBorders>
            <w:shd w:val="clear" w:color="auto" w:fill="auto"/>
          </w:tcPr>
          <w:p w:rsidR="00617CB0" w:rsidRPr="00022D33" w:rsidRDefault="00617CB0" w:rsidP="000D7011">
            <w:pPr>
              <w:pStyle w:val="Tabletext"/>
              <w:jc w:val="right"/>
            </w:pPr>
            <w:r w:rsidRPr="00022D33">
              <w:t>7</w:t>
            </w:r>
          </w:p>
        </w:tc>
        <w:tc>
          <w:tcPr>
            <w:tcW w:w="1191" w:type="dxa"/>
            <w:tcBorders>
              <w:top w:val="nil"/>
              <w:left w:val="nil"/>
              <w:bottom w:val="nil"/>
              <w:right w:val="nil"/>
            </w:tcBorders>
          </w:tcPr>
          <w:p w:rsidR="00617CB0" w:rsidRPr="00022D33" w:rsidRDefault="00617CB0" w:rsidP="000D7011">
            <w:pPr>
              <w:pStyle w:val="Tabletext"/>
              <w:jc w:val="right"/>
            </w:pPr>
            <w:r w:rsidRPr="00022D33">
              <w:t>129,453</w:t>
            </w:r>
          </w:p>
        </w:tc>
        <w:tc>
          <w:tcPr>
            <w:tcW w:w="1191" w:type="dxa"/>
            <w:tcBorders>
              <w:top w:val="nil"/>
              <w:left w:val="nil"/>
              <w:bottom w:val="nil"/>
              <w:right w:val="nil"/>
            </w:tcBorders>
            <w:shd w:val="clear" w:color="auto" w:fill="auto"/>
          </w:tcPr>
          <w:p w:rsidR="00617CB0" w:rsidRPr="00022D33" w:rsidRDefault="00617CB0" w:rsidP="000D7011">
            <w:pPr>
              <w:pStyle w:val="Tabletext"/>
              <w:jc w:val="right"/>
            </w:pPr>
            <w:r w:rsidRPr="00022D33">
              <w:t>136,610</w:t>
            </w:r>
          </w:p>
        </w:tc>
      </w:tr>
      <w:tr w:rsidR="00617CB0" w:rsidRPr="00022D33" w:rsidTr="000D7011">
        <w:tc>
          <w:tcPr>
            <w:tcW w:w="5059" w:type="dxa"/>
            <w:tcBorders>
              <w:top w:val="nil"/>
              <w:left w:val="nil"/>
              <w:bottom w:val="nil"/>
              <w:right w:val="nil"/>
            </w:tcBorders>
            <w:shd w:val="clear" w:color="auto" w:fill="auto"/>
          </w:tcPr>
          <w:p w:rsidR="00617CB0" w:rsidRPr="00022D33" w:rsidRDefault="00617CB0" w:rsidP="000D7011">
            <w:pPr>
              <w:pStyle w:val="Tabletext"/>
            </w:pPr>
            <w:r w:rsidRPr="00022D33">
              <w:t>Supplies and services</w:t>
            </w:r>
          </w:p>
        </w:tc>
        <w:tc>
          <w:tcPr>
            <w:tcW w:w="754" w:type="dxa"/>
            <w:tcBorders>
              <w:top w:val="nil"/>
              <w:left w:val="nil"/>
              <w:bottom w:val="nil"/>
              <w:right w:val="nil"/>
            </w:tcBorders>
            <w:shd w:val="clear" w:color="auto" w:fill="auto"/>
          </w:tcPr>
          <w:p w:rsidR="00617CB0" w:rsidRPr="00022D33" w:rsidRDefault="00617CB0" w:rsidP="000D7011">
            <w:pPr>
              <w:pStyle w:val="Tabletext"/>
              <w:jc w:val="right"/>
            </w:pPr>
            <w:r w:rsidRPr="00022D33">
              <w:t>8</w:t>
            </w:r>
          </w:p>
        </w:tc>
        <w:tc>
          <w:tcPr>
            <w:tcW w:w="1191" w:type="dxa"/>
            <w:tcBorders>
              <w:top w:val="nil"/>
              <w:left w:val="nil"/>
              <w:bottom w:val="nil"/>
              <w:right w:val="nil"/>
            </w:tcBorders>
          </w:tcPr>
          <w:p w:rsidR="00617CB0" w:rsidRPr="00022D33" w:rsidRDefault="00617CB0" w:rsidP="000D7011">
            <w:pPr>
              <w:pStyle w:val="Tabletext"/>
              <w:jc w:val="right"/>
            </w:pPr>
            <w:r w:rsidRPr="00022D33">
              <w:t>885,072</w:t>
            </w:r>
          </w:p>
        </w:tc>
        <w:tc>
          <w:tcPr>
            <w:tcW w:w="1191" w:type="dxa"/>
            <w:tcBorders>
              <w:top w:val="nil"/>
              <w:left w:val="nil"/>
              <w:bottom w:val="nil"/>
              <w:right w:val="nil"/>
            </w:tcBorders>
            <w:shd w:val="clear" w:color="auto" w:fill="auto"/>
          </w:tcPr>
          <w:p w:rsidR="00617CB0" w:rsidRPr="00022D33" w:rsidRDefault="00617CB0" w:rsidP="000D7011">
            <w:pPr>
              <w:pStyle w:val="Tabletext"/>
              <w:jc w:val="right"/>
            </w:pPr>
            <w:r w:rsidRPr="00022D33">
              <w:t>1,060,765</w:t>
            </w:r>
          </w:p>
        </w:tc>
      </w:tr>
      <w:tr w:rsidR="00617CB0" w:rsidRPr="00022D33" w:rsidTr="000D7011">
        <w:tc>
          <w:tcPr>
            <w:tcW w:w="5059" w:type="dxa"/>
            <w:tcBorders>
              <w:top w:val="nil"/>
              <w:left w:val="nil"/>
              <w:bottom w:val="nil"/>
              <w:right w:val="nil"/>
            </w:tcBorders>
            <w:shd w:val="clear" w:color="auto" w:fill="auto"/>
          </w:tcPr>
          <w:p w:rsidR="00617CB0" w:rsidRPr="00022D33" w:rsidRDefault="00617CB0" w:rsidP="000D7011">
            <w:pPr>
              <w:pStyle w:val="Tabletext"/>
            </w:pPr>
            <w:r w:rsidRPr="00022D33">
              <w:t xml:space="preserve">Depreciation and amortisation expense </w:t>
            </w:r>
          </w:p>
        </w:tc>
        <w:tc>
          <w:tcPr>
            <w:tcW w:w="754" w:type="dxa"/>
            <w:tcBorders>
              <w:top w:val="nil"/>
              <w:left w:val="nil"/>
              <w:bottom w:val="nil"/>
              <w:right w:val="nil"/>
            </w:tcBorders>
            <w:shd w:val="clear" w:color="auto" w:fill="auto"/>
          </w:tcPr>
          <w:p w:rsidR="00617CB0" w:rsidRPr="00022D33" w:rsidRDefault="00617CB0" w:rsidP="000D7011">
            <w:pPr>
              <w:pStyle w:val="Tabletext"/>
              <w:jc w:val="right"/>
            </w:pPr>
            <w:r w:rsidRPr="00022D33">
              <w:t>9</w:t>
            </w:r>
          </w:p>
        </w:tc>
        <w:tc>
          <w:tcPr>
            <w:tcW w:w="1191" w:type="dxa"/>
            <w:tcBorders>
              <w:top w:val="nil"/>
              <w:left w:val="nil"/>
              <w:bottom w:val="nil"/>
              <w:right w:val="nil"/>
            </w:tcBorders>
          </w:tcPr>
          <w:p w:rsidR="00617CB0" w:rsidRPr="00022D33" w:rsidRDefault="00617CB0" w:rsidP="000D7011">
            <w:pPr>
              <w:pStyle w:val="Tabletext"/>
              <w:jc w:val="right"/>
            </w:pPr>
            <w:r w:rsidRPr="00022D33">
              <w:t>79,031</w:t>
            </w:r>
          </w:p>
        </w:tc>
        <w:tc>
          <w:tcPr>
            <w:tcW w:w="1191" w:type="dxa"/>
            <w:tcBorders>
              <w:top w:val="nil"/>
              <w:left w:val="nil"/>
              <w:bottom w:val="nil"/>
              <w:right w:val="nil"/>
            </w:tcBorders>
            <w:shd w:val="clear" w:color="auto" w:fill="auto"/>
          </w:tcPr>
          <w:p w:rsidR="00617CB0" w:rsidRPr="00022D33" w:rsidRDefault="00617CB0" w:rsidP="000D7011">
            <w:pPr>
              <w:pStyle w:val="Tabletext"/>
              <w:jc w:val="right"/>
            </w:pPr>
            <w:r w:rsidRPr="00022D33">
              <w:t>83,187</w:t>
            </w:r>
          </w:p>
        </w:tc>
      </w:tr>
      <w:tr w:rsidR="00617CB0" w:rsidRPr="00022D33" w:rsidTr="000D7011">
        <w:tc>
          <w:tcPr>
            <w:tcW w:w="5059" w:type="dxa"/>
            <w:tcBorders>
              <w:top w:val="nil"/>
              <w:left w:val="nil"/>
              <w:bottom w:val="nil"/>
              <w:right w:val="nil"/>
            </w:tcBorders>
            <w:shd w:val="clear" w:color="auto" w:fill="auto"/>
          </w:tcPr>
          <w:p w:rsidR="00617CB0" w:rsidRPr="00022D33" w:rsidRDefault="00617CB0" w:rsidP="000D7011">
            <w:pPr>
              <w:pStyle w:val="Tabletext"/>
            </w:pPr>
            <w:r w:rsidRPr="00022D33">
              <w:t>Finance costs</w:t>
            </w:r>
          </w:p>
        </w:tc>
        <w:tc>
          <w:tcPr>
            <w:tcW w:w="754" w:type="dxa"/>
            <w:tcBorders>
              <w:top w:val="nil"/>
              <w:left w:val="nil"/>
              <w:bottom w:val="nil"/>
              <w:right w:val="nil"/>
            </w:tcBorders>
            <w:shd w:val="clear" w:color="auto" w:fill="auto"/>
          </w:tcPr>
          <w:p w:rsidR="00617CB0" w:rsidRPr="00022D33" w:rsidRDefault="00617CB0" w:rsidP="000D7011">
            <w:pPr>
              <w:pStyle w:val="Tabletext"/>
              <w:jc w:val="right"/>
            </w:pPr>
            <w:r w:rsidRPr="00022D33">
              <w:t>10</w:t>
            </w:r>
          </w:p>
        </w:tc>
        <w:tc>
          <w:tcPr>
            <w:tcW w:w="1191" w:type="dxa"/>
            <w:tcBorders>
              <w:top w:val="nil"/>
              <w:left w:val="nil"/>
              <w:bottom w:val="nil"/>
              <w:right w:val="nil"/>
            </w:tcBorders>
          </w:tcPr>
          <w:p w:rsidR="00617CB0" w:rsidRPr="00022D33" w:rsidRDefault="00617CB0" w:rsidP="000D7011">
            <w:pPr>
              <w:pStyle w:val="Tabletext"/>
              <w:jc w:val="right"/>
            </w:pPr>
            <w:r w:rsidRPr="00022D33">
              <w:t>9,003</w:t>
            </w:r>
          </w:p>
        </w:tc>
        <w:tc>
          <w:tcPr>
            <w:tcW w:w="1191" w:type="dxa"/>
            <w:tcBorders>
              <w:top w:val="nil"/>
              <w:left w:val="nil"/>
              <w:bottom w:val="nil"/>
              <w:right w:val="nil"/>
            </w:tcBorders>
            <w:shd w:val="clear" w:color="auto" w:fill="auto"/>
          </w:tcPr>
          <w:p w:rsidR="00617CB0" w:rsidRPr="00022D33" w:rsidRDefault="00617CB0" w:rsidP="000D7011">
            <w:pPr>
              <w:pStyle w:val="Tabletext"/>
              <w:jc w:val="right"/>
            </w:pPr>
            <w:r w:rsidRPr="00022D33">
              <w:t>4,824</w:t>
            </w:r>
          </w:p>
        </w:tc>
      </w:tr>
      <w:tr w:rsidR="00617CB0" w:rsidRPr="00022D33" w:rsidTr="000D7011">
        <w:tc>
          <w:tcPr>
            <w:tcW w:w="5059" w:type="dxa"/>
            <w:tcBorders>
              <w:top w:val="nil"/>
              <w:left w:val="nil"/>
              <w:bottom w:val="nil"/>
              <w:right w:val="nil"/>
            </w:tcBorders>
            <w:shd w:val="clear" w:color="auto" w:fill="auto"/>
          </w:tcPr>
          <w:p w:rsidR="00617CB0" w:rsidRPr="00022D33" w:rsidRDefault="00617CB0" w:rsidP="000D7011">
            <w:pPr>
              <w:pStyle w:val="Tabletext"/>
            </w:pPr>
            <w:r w:rsidRPr="00022D33">
              <w:t xml:space="preserve">Accommodation expenses </w:t>
            </w:r>
          </w:p>
        </w:tc>
        <w:tc>
          <w:tcPr>
            <w:tcW w:w="754" w:type="dxa"/>
            <w:tcBorders>
              <w:top w:val="nil"/>
              <w:left w:val="nil"/>
              <w:bottom w:val="nil"/>
              <w:right w:val="nil"/>
            </w:tcBorders>
            <w:shd w:val="clear" w:color="auto" w:fill="auto"/>
          </w:tcPr>
          <w:p w:rsidR="00617CB0" w:rsidRPr="00022D33" w:rsidRDefault="00617CB0" w:rsidP="000D7011">
            <w:pPr>
              <w:pStyle w:val="Tabletext"/>
              <w:jc w:val="right"/>
            </w:pPr>
            <w:r w:rsidRPr="00022D33">
              <w:t>11</w:t>
            </w:r>
          </w:p>
        </w:tc>
        <w:tc>
          <w:tcPr>
            <w:tcW w:w="1191" w:type="dxa"/>
            <w:tcBorders>
              <w:top w:val="nil"/>
              <w:left w:val="nil"/>
              <w:bottom w:val="nil"/>
              <w:right w:val="nil"/>
            </w:tcBorders>
          </w:tcPr>
          <w:p w:rsidR="00617CB0" w:rsidRPr="00022D33" w:rsidRDefault="00617CB0" w:rsidP="000D7011">
            <w:pPr>
              <w:pStyle w:val="Tabletext"/>
              <w:jc w:val="right"/>
            </w:pPr>
            <w:r w:rsidRPr="00022D33">
              <w:t>38,894</w:t>
            </w:r>
          </w:p>
        </w:tc>
        <w:tc>
          <w:tcPr>
            <w:tcW w:w="1191" w:type="dxa"/>
            <w:tcBorders>
              <w:top w:val="nil"/>
              <w:left w:val="nil"/>
              <w:bottom w:val="nil"/>
              <w:right w:val="nil"/>
            </w:tcBorders>
            <w:shd w:val="clear" w:color="auto" w:fill="auto"/>
          </w:tcPr>
          <w:p w:rsidR="00617CB0" w:rsidRPr="00022D33" w:rsidRDefault="00617CB0" w:rsidP="000D7011">
            <w:pPr>
              <w:pStyle w:val="Tabletext"/>
              <w:jc w:val="right"/>
            </w:pPr>
            <w:r w:rsidRPr="00022D33">
              <w:t>35,481</w:t>
            </w:r>
          </w:p>
        </w:tc>
      </w:tr>
      <w:tr w:rsidR="00617CB0" w:rsidRPr="00022D33" w:rsidTr="000D7011">
        <w:tc>
          <w:tcPr>
            <w:tcW w:w="5059" w:type="dxa"/>
            <w:tcBorders>
              <w:top w:val="nil"/>
              <w:left w:val="nil"/>
              <w:bottom w:val="nil"/>
              <w:right w:val="nil"/>
            </w:tcBorders>
            <w:shd w:val="clear" w:color="auto" w:fill="auto"/>
          </w:tcPr>
          <w:p w:rsidR="00617CB0" w:rsidRPr="00022D33" w:rsidRDefault="00617CB0" w:rsidP="000D7011">
            <w:pPr>
              <w:pStyle w:val="Tabletext"/>
            </w:pPr>
            <w:r w:rsidRPr="00022D33">
              <w:t>Grants and subsidies</w:t>
            </w:r>
          </w:p>
        </w:tc>
        <w:tc>
          <w:tcPr>
            <w:tcW w:w="754" w:type="dxa"/>
            <w:tcBorders>
              <w:top w:val="nil"/>
              <w:left w:val="nil"/>
              <w:bottom w:val="nil"/>
              <w:right w:val="nil"/>
            </w:tcBorders>
            <w:shd w:val="clear" w:color="auto" w:fill="auto"/>
          </w:tcPr>
          <w:p w:rsidR="00617CB0" w:rsidRPr="00022D33" w:rsidRDefault="00617CB0" w:rsidP="000D7011">
            <w:pPr>
              <w:pStyle w:val="Tabletext"/>
              <w:jc w:val="right"/>
            </w:pPr>
            <w:r w:rsidRPr="00022D33">
              <w:t>12</w:t>
            </w:r>
          </w:p>
        </w:tc>
        <w:tc>
          <w:tcPr>
            <w:tcW w:w="1191" w:type="dxa"/>
            <w:tcBorders>
              <w:top w:val="nil"/>
              <w:left w:val="nil"/>
              <w:bottom w:val="nil"/>
              <w:right w:val="nil"/>
            </w:tcBorders>
          </w:tcPr>
          <w:p w:rsidR="00617CB0" w:rsidRPr="00022D33" w:rsidRDefault="00617CB0" w:rsidP="000D7011">
            <w:pPr>
              <w:pStyle w:val="Tabletext"/>
              <w:jc w:val="right"/>
            </w:pPr>
            <w:r w:rsidRPr="00022D33">
              <w:t>3,761</w:t>
            </w:r>
          </w:p>
        </w:tc>
        <w:tc>
          <w:tcPr>
            <w:tcW w:w="1191" w:type="dxa"/>
            <w:tcBorders>
              <w:top w:val="nil"/>
              <w:left w:val="nil"/>
              <w:bottom w:val="nil"/>
              <w:right w:val="nil"/>
            </w:tcBorders>
            <w:shd w:val="clear" w:color="auto" w:fill="auto"/>
          </w:tcPr>
          <w:p w:rsidR="00617CB0" w:rsidRPr="00022D33" w:rsidRDefault="00617CB0" w:rsidP="000D7011">
            <w:pPr>
              <w:pStyle w:val="Tabletext"/>
              <w:jc w:val="right"/>
            </w:pPr>
            <w:r w:rsidRPr="00022D33">
              <w:t>64,228</w:t>
            </w:r>
          </w:p>
        </w:tc>
      </w:tr>
      <w:tr w:rsidR="00617CB0" w:rsidRPr="00022D33" w:rsidTr="000D7011">
        <w:tc>
          <w:tcPr>
            <w:tcW w:w="5059" w:type="dxa"/>
            <w:tcBorders>
              <w:top w:val="nil"/>
              <w:left w:val="nil"/>
              <w:bottom w:val="nil"/>
              <w:right w:val="nil"/>
            </w:tcBorders>
            <w:shd w:val="clear" w:color="auto" w:fill="auto"/>
          </w:tcPr>
          <w:p w:rsidR="00617CB0" w:rsidRPr="00022D33" w:rsidRDefault="00617CB0" w:rsidP="000D7011">
            <w:pPr>
              <w:pStyle w:val="Tabletext"/>
            </w:pPr>
            <w:r w:rsidRPr="00022D33">
              <w:t xml:space="preserve">Loss on disposal of non-current assets </w:t>
            </w:r>
          </w:p>
        </w:tc>
        <w:tc>
          <w:tcPr>
            <w:tcW w:w="754" w:type="dxa"/>
            <w:tcBorders>
              <w:top w:val="nil"/>
              <w:left w:val="nil"/>
              <w:bottom w:val="nil"/>
              <w:right w:val="nil"/>
            </w:tcBorders>
            <w:shd w:val="clear" w:color="auto" w:fill="auto"/>
          </w:tcPr>
          <w:p w:rsidR="00617CB0" w:rsidRPr="00022D33" w:rsidRDefault="00617CB0" w:rsidP="000D7011">
            <w:pPr>
              <w:pStyle w:val="Tabletext"/>
              <w:jc w:val="right"/>
            </w:pPr>
            <w:r w:rsidRPr="00022D33">
              <w:t>15</w:t>
            </w:r>
          </w:p>
        </w:tc>
        <w:tc>
          <w:tcPr>
            <w:tcW w:w="1191" w:type="dxa"/>
            <w:tcBorders>
              <w:top w:val="nil"/>
              <w:left w:val="nil"/>
              <w:bottom w:val="nil"/>
              <w:right w:val="nil"/>
            </w:tcBorders>
          </w:tcPr>
          <w:p w:rsidR="00617CB0" w:rsidRPr="00022D33" w:rsidRDefault="00617CB0" w:rsidP="000D7011">
            <w:pPr>
              <w:pStyle w:val="Tabletext"/>
              <w:jc w:val="right"/>
            </w:pPr>
            <w:r w:rsidRPr="00022D33">
              <w:t>1</w:t>
            </w:r>
          </w:p>
        </w:tc>
        <w:tc>
          <w:tcPr>
            <w:tcW w:w="1191" w:type="dxa"/>
            <w:tcBorders>
              <w:top w:val="nil"/>
              <w:left w:val="nil"/>
              <w:bottom w:val="nil"/>
              <w:right w:val="nil"/>
            </w:tcBorders>
            <w:shd w:val="clear" w:color="auto" w:fill="auto"/>
          </w:tcPr>
          <w:p w:rsidR="00617CB0" w:rsidRPr="00022D33" w:rsidRDefault="00617CB0" w:rsidP="000D7011">
            <w:pPr>
              <w:pStyle w:val="Tabletext"/>
              <w:jc w:val="right"/>
            </w:pPr>
            <w:r w:rsidRPr="00022D33">
              <w:t>2</w:t>
            </w:r>
          </w:p>
        </w:tc>
      </w:tr>
      <w:tr w:rsidR="00617CB0" w:rsidRPr="00022D33" w:rsidTr="000D7011">
        <w:tc>
          <w:tcPr>
            <w:tcW w:w="5059" w:type="dxa"/>
            <w:tcBorders>
              <w:top w:val="nil"/>
              <w:left w:val="nil"/>
              <w:bottom w:val="nil"/>
              <w:right w:val="nil"/>
            </w:tcBorders>
            <w:shd w:val="clear" w:color="auto" w:fill="auto"/>
          </w:tcPr>
          <w:p w:rsidR="00617CB0" w:rsidRPr="00022D33" w:rsidRDefault="00617CB0" w:rsidP="000D7011">
            <w:pPr>
              <w:pStyle w:val="Tabletext"/>
            </w:pPr>
            <w:r w:rsidRPr="00022D33">
              <w:t>Other expenses</w:t>
            </w:r>
          </w:p>
        </w:tc>
        <w:tc>
          <w:tcPr>
            <w:tcW w:w="754" w:type="dxa"/>
            <w:tcBorders>
              <w:top w:val="nil"/>
              <w:left w:val="nil"/>
              <w:bottom w:val="nil"/>
              <w:right w:val="nil"/>
            </w:tcBorders>
            <w:shd w:val="clear" w:color="auto" w:fill="auto"/>
          </w:tcPr>
          <w:p w:rsidR="00617CB0" w:rsidRPr="00022D33" w:rsidRDefault="00617CB0" w:rsidP="000D7011">
            <w:pPr>
              <w:pStyle w:val="Tabletext"/>
              <w:jc w:val="right"/>
            </w:pPr>
            <w:r w:rsidRPr="00022D33">
              <w:t>13</w:t>
            </w:r>
          </w:p>
        </w:tc>
        <w:tc>
          <w:tcPr>
            <w:tcW w:w="1191" w:type="dxa"/>
            <w:tcBorders>
              <w:top w:val="nil"/>
              <w:left w:val="nil"/>
              <w:bottom w:val="single" w:sz="4" w:space="0" w:color="auto"/>
              <w:right w:val="nil"/>
            </w:tcBorders>
          </w:tcPr>
          <w:p w:rsidR="00617CB0" w:rsidRPr="00022D33" w:rsidRDefault="00617CB0" w:rsidP="000D7011">
            <w:pPr>
              <w:pStyle w:val="Tabletext"/>
              <w:jc w:val="right"/>
            </w:pPr>
            <w:r w:rsidRPr="00022D33">
              <w:t>51,783</w:t>
            </w:r>
          </w:p>
        </w:tc>
        <w:tc>
          <w:tcPr>
            <w:tcW w:w="1191"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1,538</w:t>
            </w:r>
          </w:p>
        </w:tc>
      </w:tr>
      <w:tr w:rsidR="00617CB0" w:rsidRPr="00022D33" w:rsidTr="000D7011">
        <w:tc>
          <w:tcPr>
            <w:tcW w:w="5059" w:type="dxa"/>
            <w:tcBorders>
              <w:top w:val="nil"/>
              <w:left w:val="nil"/>
              <w:bottom w:val="nil"/>
              <w:right w:val="nil"/>
            </w:tcBorders>
            <w:shd w:val="clear" w:color="auto" w:fill="auto"/>
          </w:tcPr>
          <w:p w:rsidR="00617CB0" w:rsidRPr="00022D33" w:rsidRDefault="00617CB0" w:rsidP="000D7011">
            <w:pPr>
              <w:pStyle w:val="Tableboldedtext"/>
            </w:pPr>
            <w:r w:rsidRPr="00022D33">
              <w:t>Total cost of services</w:t>
            </w:r>
          </w:p>
        </w:tc>
        <w:tc>
          <w:tcPr>
            <w:tcW w:w="754" w:type="dxa"/>
            <w:tcBorders>
              <w:top w:val="nil"/>
              <w:left w:val="nil"/>
              <w:bottom w:val="nil"/>
              <w:right w:val="nil"/>
            </w:tcBorders>
            <w:shd w:val="clear" w:color="auto" w:fill="auto"/>
          </w:tcPr>
          <w:p w:rsidR="00617CB0" w:rsidRPr="00022D33" w:rsidRDefault="00617CB0" w:rsidP="000D7011">
            <w:pPr>
              <w:pStyle w:val="Tabletext"/>
              <w:jc w:val="right"/>
            </w:pPr>
          </w:p>
        </w:tc>
        <w:tc>
          <w:tcPr>
            <w:tcW w:w="1191" w:type="dxa"/>
            <w:tcBorders>
              <w:top w:val="single" w:sz="4" w:space="0" w:color="auto"/>
              <w:left w:val="nil"/>
              <w:bottom w:val="single" w:sz="4" w:space="0" w:color="auto"/>
              <w:right w:val="nil"/>
            </w:tcBorders>
          </w:tcPr>
          <w:p w:rsidR="00617CB0" w:rsidRPr="00022D33" w:rsidRDefault="00617CB0" w:rsidP="000D7011">
            <w:pPr>
              <w:pStyle w:val="Tableboldedtext"/>
              <w:jc w:val="right"/>
            </w:pPr>
            <w:r w:rsidRPr="00022D33">
              <w:t>1,196,998</w:t>
            </w:r>
          </w:p>
        </w:tc>
        <w:tc>
          <w:tcPr>
            <w:tcW w:w="1191"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1,386,636</w:t>
            </w:r>
          </w:p>
        </w:tc>
      </w:tr>
      <w:tr w:rsidR="00617CB0" w:rsidRPr="00022D33" w:rsidTr="000D7011">
        <w:tc>
          <w:tcPr>
            <w:tcW w:w="5059" w:type="dxa"/>
            <w:tcBorders>
              <w:top w:val="nil"/>
              <w:left w:val="nil"/>
              <w:bottom w:val="nil"/>
              <w:right w:val="nil"/>
            </w:tcBorders>
            <w:shd w:val="clear" w:color="auto" w:fill="auto"/>
          </w:tcPr>
          <w:p w:rsidR="00617CB0" w:rsidRPr="00022D33" w:rsidRDefault="00617CB0" w:rsidP="000D7011">
            <w:pPr>
              <w:pStyle w:val="Tableboldedtext"/>
              <w:rPr>
                <w:b w:val="0"/>
                <w:i/>
              </w:rPr>
            </w:pPr>
          </w:p>
        </w:tc>
        <w:tc>
          <w:tcPr>
            <w:tcW w:w="754" w:type="dxa"/>
            <w:tcBorders>
              <w:top w:val="nil"/>
              <w:left w:val="nil"/>
              <w:bottom w:val="nil"/>
              <w:right w:val="nil"/>
            </w:tcBorders>
            <w:shd w:val="clear" w:color="auto" w:fill="auto"/>
          </w:tcPr>
          <w:p w:rsidR="00617CB0" w:rsidRPr="00022D33" w:rsidRDefault="00617CB0" w:rsidP="000D7011">
            <w:pPr>
              <w:pStyle w:val="Tabletext"/>
              <w:jc w:val="right"/>
            </w:pPr>
          </w:p>
        </w:tc>
        <w:tc>
          <w:tcPr>
            <w:tcW w:w="1191" w:type="dxa"/>
            <w:tcBorders>
              <w:top w:val="nil"/>
              <w:left w:val="nil"/>
              <w:bottom w:val="nil"/>
              <w:right w:val="nil"/>
            </w:tcBorders>
          </w:tcPr>
          <w:p w:rsidR="00617CB0" w:rsidRPr="00022D33" w:rsidRDefault="00617CB0" w:rsidP="000D7011">
            <w:pPr>
              <w:pStyle w:val="Tabletext"/>
            </w:pPr>
          </w:p>
        </w:tc>
        <w:tc>
          <w:tcPr>
            <w:tcW w:w="1191" w:type="dxa"/>
            <w:tcBorders>
              <w:top w:val="nil"/>
              <w:left w:val="nil"/>
              <w:bottom w:val="nil"/>
              <w:right w:val="nil"/>
            </w:tcBorders>
            <w:shd w:val="clear" w:color="auto" w:fill="auto"/>
          </w:tcPr>
          <w:p w:rsidR="00617CB0" w:rsidRPr="00022D33" w:rsidRDefault="00617CB0" w:rsidP="000D7011">
            <w:pPr>
              <w:pStyle w:val="Tabletext"/>
            </w:pPr>
          </w:p>
        </w:tc>
      </w:tr>
      <w:tr w:rsidR="00617CB0" w:rsidRPr="00022D33" w:rsidTr="000D7011">
        <w:tc>
          <w:tcPr>
            <w:tcW w:w="5059" w:type="dxa"/>
            <w:tcBorders>
              <w:top w:val="nil"/>
              <w:left w:val="nil"/>
              <w:bottom w:val="nil"/>
              <w:right w:val="nil"/>
            </w:tcBorders>
            <w:shd w:val="clear" w:color="auto" w:fill="auto"/>
          </w:tcPr>
          <w:p w:rsidR="00617CB0" w:rsidRPr="00022D33" w:rsidRDefault="00617CB0" w:rsidP="000D7011">
            <w:pPr>
              <w:pStyle w:val="Tableboldedtext"/>
              <w:rPr>
                <w:b w:val="0"/>
                <w:i/>
              </w:rPr>
            </w:pPr>
            <w:r w:rsidRPr="00022D33">
              <w:t>Income</w:t>
            </w:r>
          </w:p>
        </w:tc>
        <w:tc>
          <w:tcPr>
            <w:tcW w:w="754" w:type="dxa"/>
            <w:tcBorders>
              <w:top w:val="nil"/>
              <w:left w:val="nil"/>
              <w:bottom w:val="nil"/>
              <w:right w:val="nil"/>
            </w:tcBorders>
            <w:shd w:val="clear" w:color="auto" w:fill="auto"/>
          </w:tcPr>
          <w:p w:rsidR="00617CB0" w:rsidRPr="00022D33" w:rsidRDefault="00617CB0" w:rsidP="000D7011">
            <w:pPr>
              <w:pStyle w:val="Tabletext"/>
              <w:jc w:val="right"/>
            </w:pPr>
          </w:p>
        </w:tc>
        <w:tc>
          <w:tcPr>
            <w:tcW w:w="1191" w:type="dxa"/>
            <w:tcBorders>
              <w:top w:val="nil"/>
              <w:left w:val="nil"/>
              <w:bottom w:val="nil"/>
              <w:right w:val="nil"/>
            </w:tcBorders>
          </w:tcPr>
          <w:p w:rsidR="00617CB0" w:rsidRPr="00022D33" w:rsidRDefault="00617CB0" w:rsidP="000D7011">
            <w:pPr>
              <w:pStyle w:val="Tabletext"/>
            </w:pPr>
          </w:p>
        </w:tc>
        <w:tc>
          <w:tcPr>
            <w:tcW w:w="1191" w:type="dxa"/>
            <w:tcBorders>
              <w:top w:val="nil"/>
              <w:left w:val="nil"/>
              <w:bottom w:val="nil"/>
              <w:right w:val="nil"/>
            </w:tcBorders>
            <w:shd w:val="clear" w:color="auto" w:fill="auto"/>
          </w:tcPr>
          <w:p w:rsidR="00617CB0" w:rsidRPr="00022D33" w:rsidRDefault="00617CB0" w:rsidP="000D7011">
            <w:pPr>
              <w:pStyle w:val="Tabletext"/>
            </w:pPr>
          </w:p>
        </w:tc>
      </w:tr>
      <w:tr w:rsidR="00617CB0" w:rsidRPr="00022D33" w:rsidTr="000D7011">
        <w:tc>
          <w:tcPr>
            <w:tcW w:w="5059" w:type="dxa"/>
            <w:tcBorders>
              <w:top w:val="nil"/>
              <w:left w:val="nil"/>
              <w:bottom w:val="nil"/>
              <w:right w:val="nil"/>
            </w:tcBorders>
            <w:shd w:val="clear" w:color="auto" w:fill="auto"/>
          </w:tcPr>
          <w:p w:rsidR="00617CB0" w:rsidRPr="00022D33" w:rsidRDefault="00617CB0" w:rsidP="000D7011">
            <w:pPr>
              <w:pStyle w:val="Tableboldedtext"/>
              <w:rPr>
                <w:b w:val="0"/>
                <w:i/>
              </w:rPr>
            </w:pPr>
            <w:r w:rsidRPr="00022D33">
              <w:rPr>
                <w:b w:val="0"/>
                <w:i/>
              </w:rPr>
              <w:t>Revenue</w:t>
            </w:r>
          </w:p>
        </w:tc>
        <w:tc>
          <w:tcPr>
            <w:tcW w:w="754" w:type="dxa"/>
            <w:tcBorders>
              <w:top w:val="nil"/>
              <w:left w:val="nil"/>
              <w:bottom w:val="nil"/>
              <w:right w:val="nil"/>
            </w:tcBorders>
            <w:shd w:val="clear" w:color="auto" w:fill="auto"/>
          </w:tcPr>
          <w:p w:rsidR="00617CB0" w:rsidRPr="00022D33" w:rsidRDefault="00617CB0" w:rsidP="000D7011">
            <w:pPr>
              <w:pStyle w:val="Tabletext"/>
              <w:jc w:val="right"/>
            </w:pPr>
            <w:r w:rsidRPr="00022D33">
              <w:t>14</w:t>
            </w:r>
          </w:p>
        </w:tc>
        <w:tc>
          <w:tcPr>
            <w:tcW w:w="1191" w:type="dxa"/>
            <w:tcBorders>
              <w:top w:val="nil"/>
              <w:left w:val="nil"/>
              <w:bottom w:val="nil"/>
              <w:right w:val="nil"/>
            </w:tcBorders>
          </w:tcPr>
          <w:p w:rsidR="00617CB0" w:rsidRPr="00022D33" w:rsidRDefault="00617CB0" w:rsidP="000D7011">
            <w:pPr>
              <w:pStyle w:val="Tabletext"/>
            </w:pPr>
          </w:p>
        </w:tc>
        <w:tc>
          <w:tcPr>
            <w:tcW w:w="1191" w:type="dxa"/>
            <w:tcBorders>
              <w:top w:val="nil"/>
              <w:left w:val="nil"/>
              <w:bottom w:val="nil"/>
              <w:right w:val="nil"/>
            </w:tcBorders>
            <w:shd w:val="clear" w:color="auto" w:fill="auto"/>
          </w:tcPr>
          <w:p w:rsidR="00617CB0" w:rsidRPr="00022D33" w:rsidRDefault="00617CB0" w:rsidP="000D7011">
            <w:pPr>
              <w:pStyle w:val="Tabletext"/>
            </w:pPr>
          </w:p>
        </w:tc>
      </w:tr>
      <w:tr w:rsidR="00617CB0" w:rsidRPr="00022D33" w:rsidTr="000D7011">
        <w:tc>
          <w:tcPr>
            <w:tcW w:w="5059" w:type="dxa"/>
            <w:tcBorders>
              <w:top w:val="nil"/>
              <w:left w:val="nil"/>
              <w:bottom w:val="nil"/>
              <w:right w:val="nil"/>
            </w:tcBorders>
            <w:shd w:val="clear" w:color="auto" w:fill="auto"/>
          </w:tcPr>
          <w:p w:rsidR="00617CB0" w:rsidRPr="00022D33" w:rsidRDefault="00617CB0" w:rsidP="000D7011">
            <w:pPr>
              <w:pStyle w:val="Tabletext"/>
            </w:pPr>
            <w:r w:rsidRPr="00022D33">
              <w:t>User charges and fees</w:t>
            </w:r>
          </w:p>
        </w:tc>
        <w:tc>
          <w:tcPr>
            <w:tcW w:w="754" w:type="dxa"/>
            <w:tcBorders>
              <w:top w:val="nil"/>
              <w:left w:val="nil"/>
              <w:bottom w:val="nil"/>
              <w:right w:val="nil"/>
            </w:tcBorders>
            <w:shd w:val="clear" w:color="auto" w:fill="auto"/>
          </w:tcPr>
          <w:p w:rsidR="00617CB0" w:rsidRPr="00022D33" w:rsidRDefault="00617CB0" w:rsidP="000D7011">
            <w:pPr>
              <w:pStyle w:val="Tabletext"/>
            </w:pPr>
          </w:p>
        </w:tc>
        <w:tc>
          <w:tcPr>
            <w:tcW w:w="1191" w:type="dxa"/>
            <w:tcBorders>
              <w:top w:val="nil"/>
              <w:left w:val="nil"/>
              <w:bottom w:val="nil"/>
              <w:right w:val="nil"/>
            </w:tcBorders>
          </w:tcPr>
          <w:p w:rsidR="00617CB0" w:rsidRPr="00022D33" w:rsidRDefault="00617CB0" w:rsidP="000D7011">
            <w:pPr>
              <w:pStyle w:val="Tabletext"/>
              <w:jc w:val="right"/>
            </w:pPr>
            <w:r w:rsidRPr="00022D33">
              <w:t>961,918</w:t>
            </w:r>
          </w:p>
        </w:tc>
        <w:tc>
          <w:tcPr>
            <w:tcW w:w="1191" w:type="dxa"/>
            <w:tcBorders>
              <w:top w:val="nil"/>
              <w:left w:val="nil"/>
              <w:bottom w:val="nil"/>
              <w:right w:val="nil"/>
            </w:tcBorders>
            <w:shd w:val="clear" w:color="auto" w:fill="auto"/>
          </w:tcPr>
          <w:p w:rsidR="00617CB0" w:rsidRPr="00022D33" w:rsidRDefault="00617CB0" w:rsidP="000D7011">
            <w:pPr>
              <w:pStyle w:val="Tabletext"/>
              <w:jc w:val="right"/>
            </w:pPr>
            <w:r w:rsidRPr="00022D33">
              <w:t>1,149,378</w:t>
            </w:r>
          </w:p>
        </w:tc>
      </w:tr>
      <w:tr w:rsidR="00617CB0" w:rsidRPr="00022D33" w:rsidTr="000D7011">
        <w:tc>
          <w:tcPr>
            <w:tcW w:w="5059" w:type="dxa"/>
            <w:tcBorders>
              <w:top w:val="nil"/>
              <w:left w:val="nil"/>
              <w:bottom w:val="nil"/>
              <w:right w:val="nil"/>
            </w:tcBorders>
            <w:shd w:val="clear" w:color="auto" w:fill="auto"/>
          </w:tcPr>
          <w:p w:rsidR="00617CB0" w:rsidRPr="00022D33" w:rsidRDefault="00617CB0" w:rsidP="000D7011">
            <w:pPr>
              <w:pStyle w:val="Tabletext"/>
            </w:pPr>
            <w:r w:rsidRPr="00022D33">
              <w:t>Commonwealth grants and contributions</w:t>
            </w:r>
          </w:p>
        </w:tc>
        <w:tc>
          <w:tcPr>
            <w:tcW w:w="754" w:type="dxa"/>
            <w:tcBorders>
              <w:top w:val="nil"/>
              <w:left w:val="nil"/>
              <w:bottom w:val="nil"/>
              <w:right w:val="nil"/>
            </w:tcBorders>
            <w:shd w:val="clear" w:color="auto" w:fill="auto"/>
          </w:tcPr>
          <w:p w:rsidR="00617CB0" w:rsidRPr="00022D33" w:rsidRDefault="00617CB0" w:rsidP="000D7011">
            <w:pPr>
              <w:pStyle w:val="Tabletext"/>
            </w:pPr>
          </w:p>
        </w:tc>
        <w:tc>
          <w:tcPr>
            <w:tcW w:w="1191" w:type="dxa"/>
            <w:tcBorders>
              <w:top w:val="nil"/>
              <w:left w:val="nil"/>
              <w:bottom w:val="nil"/>
              <w:right w:val="nil"/>
            </w:tcBorders>
          </w:tcPr>
          <w:p w:rsidR="00617CB0" w:rsidRPr="00022D33" w:rsidRDefault="00617CB0" w:rsidP="000D7011">
            <w:pPr>
              <w:pStyle w:val="Tabletext"/>
              <w:jc w:val="right"/>
            </w:pPr>
            <w:r w:rsidRPr="00022D33">
              <w:t>1,684</w:t>
            </w:r>
          </w:p>
        </w:tc>
        <w:tc>
          <w:tcPr>
            <w:tcW w:w="1191" w:type="dxa"/>
            <w:tcBorders>
              <w:top w:val="nil"/>
              <w:left w:val="nil"/>
              <w:bottom w:val="nil"/>
              <w:right w:val="nil"/>
            </w:tcBorders>
            <w:shd w:val="clear" w:color="auto" w:fill="auto"/>
          </w:tcPr>
          <w:p w:rsidR="00617CB0" w:rsidRPr="00022D33" w:rsidRDefault="00617CB0" w:rsidP="000D7011">
            <w:pPr>
              <w:pStyle w:val="Tabletext"/>
              <w:jc w:val="right"/>
            </w:pPr>
            <w:r w:rsidRPr="00022D33">
              <w:t>1,376</w:t>
            </w:r>
          </w:p>
        </w:tc>
      </w:tr>
      <w:tr w:rsidR="00617CB0" w:rsidRPr="00022D33" w:rsidTr="000D7011">
        <w:tc>
          <w:tcPr>
            <w:tcW w:w="5059" w:type="dxa"/>
            <w:tcBorders>
              <w:top w:val="nil"/>
              <w:left w:val="nil"/>
              <w:bottom w:val="nil"/>
              <w:right w:val="nil"/>
            </w:tcBorders>
            <w:shd w:val="clear" w:color="auto" w:fill="auto"/>
          </w:tcPr>
          <w:p w:rsidR="00617CB0" w:rsidRPr="00022D33" w:rsidRDefault="00617CB0" w:rsidP="000D7011">
            <w:pPr>
              <w:pStyle w:val="Tabletext"/>
            </w:pPr>
            <w:r w:rsidRPr="00022D33">
              <w:t>Interest revenue</w:t>
            </w:r>
          </w:p>
        </w:tc>
        <w:tc>
          <w:tcPr>
            <w:tcW w:w="754" w:type="dxa"/>
            <w:tcBorders>
              <w:top w:val="nil"/>
              <w:left w:val="nil"/>
              <w:bottom w:val="nil"/>
              <w:right w:val="nil"/>
            </w:tcBorders>
            <w:shd w:val="clear" w:color="auto" w:fill="auto"/>
          </w:tcPr>
          <w:p w:rsidR="00617CB0" w:rsidRPr="00022D33" w:rsidRDefault="00617CB0" w:rsidP="000D7011">
            <w:pPr>
              <w:pStyle w:val="Tabletext"/>
            </w:pPr>
          </w:p>
        </w:tc>
        <w:tc>
          <w:tcPr>
            <w:tcW w:w="1191" w:type="dxa"/>
            <w:tcBorders>
              <w:top w:val="nil"/>
              <w:left w:val="nil"/>
              <w:bottom w:val="nil"/>
              <w:right w:val="nil"/>
            </w:tcBorders>
          </w:tcPr>
          <w:p w:rsidR="00617CB0" w:rsidRPr="00022D33" w:rsidRDefault="00617CB0" w:rsidP="000D7011">
            <w:pPr>
              <w:pStyle w:val="Tabletext"/>
              <w:jc w:val="right"/>
            </w:pPr>
            <w:r w:rsidRPr="00022D33">
              <w:t>219</w:t>
            </w:r>
          </w:p>
        </w:tc>
        <w:tc>
          <w:tcPr>
            <w:tcW w:w="1191" w:type="dxa"/>
            <w:tcBorders>
              <w:top w:val="nil"/>
              <w:left w:val="nil"/>
              <w:bottom w:val="nil"/>
              <w:right w:val="nil"/>
            </w:tcBorders>
            <w:shd w:val="clear" w:color="auto" w:fill="auto"/>
          </w:tcPr>
          <w:p w:rsidR="00617CB0" w:rsidRPr="00022D33" w:rsidRDefault="00617CB0" w:rsidP="000D7011">
            <w:pPr>
              <w:pStyle w:val="Tabletext"/>
              <w:jc w:val="right"/>
            </w:pPr>
            <w:r w:rsidRPr="00022D33">
              <w:t>262</w:t>
            </w:r>
          </w:p>
        </w:tc>
      </w:tr>
      <w:tr w:rsidR="00617CB0" w:rsidRPr="00022D33" w:rsidTr="000D7011">
        <w:tc>
          <w:tcPr>
            <w:tcW w:w="5059" w:type="dxa"/>
            <w:tcBorders>
              <w:top w:val="nil"/>
              <w:left w:val="nil"/>
              <w:bottom w:val="nil"/>
              <w:right w:val="nil"/>
            </w:tcBorders>
            <w:shd w:val="clear" w:color="auto" w:fill="auto"/>
          </w:tcPr>
          <w:p w:rsidR="00617CB0" w:rsidRPr="00022D33" w:rsidRDefault="00617CB0" w:rsidP="000D7011">
            <w:pPr>
              <w:pStyle w:val="Tabletext"/>
            </w:pPr>
            <w:r w:rsidRPr="00022D33">
              <w:t>Other revenue</w:t>
            </w:r>
          </w:p>
        </w:tc>
        <w:tc>
          <w:tcPr>
            <w:tcW w:w="754" w:type="dxa"/>
            <w:tcBorders>
              <w:top w:val="nil"/>
              <w:left w:val="nil"/>
              <w:bottom w:val="nil"/>
              <w:right w:val="nil"/>
            </w:tcBorders>
            <w:shd w:val="clear" w:color="auto" w:fill="auto"/>
          </w:tcPr>
          <w:p w:rsidR="00617CB0" w:rsidRPr="00022D33" w:rsidRDefault="00617CB0" w:rsidP="000D7011">
            <w:pPr>
              <w:pStyle w:val="Tabletext"/>
            </w:pPr>
          </w:p>
        </w:tc>
        <w:tc>
          <w:tcPr>
            <w:tcW w:w="1191" w:type="dxa"/>
            <w:tcBorders>
              <w:top w:val="nil"/>
              <w:left w:val="nil"/>
              <w:bottom w:val="single" w:sz="4" w:space="0" w:color="auto"/>
              <w:right w:val="nil"/>
            </w:tcBorders>
          </w:tcPr>
          <w:p w:rsidR="00617CB0" w:rsidRPr="00022D33" w:rsidRDefault="00617CB0" w:rsidP="000D7011">
            <w:pPr>
              <w:pStyle w:val="Tabletext"/>
              <w:jc w:val="right"/>
            </w:pPr>
            <w:r w:rsidRPr="00022D33">
              <w:t>8,443</w:t>
            </w:r>
          </w:p>
        </w:tc>
        <w:tc>
          <w:tcPr>
            <w:tcW w:w="1191"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8,018</w:t>
            </w:r>
          </w:p>
        </w:tc>
      </w:tr>
      <w:tr w:rsidR="00617CB0" w:rsidRPr="00022D33" w:rsidTr="000D7011">
        <w:tc>
          <w:tcPr>
            <w:tcW w:w="5059" w:type="dxa"/>
            <w:tcBorders>
              <w:top w:val="nil"/>
              <w:left w:val="nil"/>
              <w:bottom w:val="nil"/>
              <w:right w:val="nil"/>
            </w:tcBorders>
            <w:shd w:val="clear" w:color="auto" w:fill="auto"/>
          </w:tcPr>
          <w:p w:rsidR="00617CB0" w:rsidRPr="00022D33" w:rsidRDefault="00617CB0" w:rsidP="000D7011">
            <w:pPr>
              <w:pStyle w:val="Tableboldedtext"/>
            </w:pPr>
            <w:r w:rsidRPr="00022D33">
              <w:t>Total revenue</w:t>
            </w:r>
          </w:p>
        </w:tc>
        <w:tc>
          <w:tcPr>
            <w:tcW w:w="754" w:type="dxa"/>
            <w:tcBorders>
              <w:top w:val="nil"/>
              <w:left w:val="nil"/>
              <w:bottom w:val="nil"/>
              <w:right w:val="nil"/>
            </w:tcBorders>
            <w:shd w:val="clear" w:color="auto" w:fill="auto"/>
          </w:tcPr>
          <w:p w:rsidR="00617CB0" w:rsidRPr="00022D33" w:rsidRDefault="00617CB0" w:rsidP="000D7011">
            <w:pPr>
              <w:pStyle w:val="Tabletext"/>
            </w:pPr>
          </w:p>
        </w:tc>
        <w:tc>
          <w:tcPr>
            <w:tcW w:w="1191" w:type="dxa"/>
            <w:tcBorders>
              <w:top w:val="single" w:sz="4" w:space="0" w:color="auto"/>
              <w:left w:val="nil"/>
              <w:bottom w:val="single" w:sz="4" w:space="0" w:color="auto"/>
              <w:right w:val="nil"/>
            </w:tcBorders>
          </w:tcPr>
          <w:p w:rsidR="00617CB0" w:rsidRPr="00022D33" w:rsidRDefault="00617CB0" w:rsidP="000D7011">
            <w:pPr>
              <w:pStyle w:val="Tableboldedtext"/>
              <w:jc w:val="right"/>
            </w:pPr>
            <w:r w:rsidRPr="00022D33">
              <w:t>972,264</w:t>
            </w:r>
          </w:p>
        </w:tc>
        <w:tc>
          <w:tcPr>
            <w:tcW w:w="1191"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1,159,034</w:t>
            </w:r>
          </w:p>
        </w:tc>
      </w:tr>
      <w:tr w:rsidR="00617CB0" w:rsidRPr="00022D33" w:rsidTr="000D7011">
        <w:tc>
          <w:tcPr>
            <w:tcW w:w="5059" w:type="dxa"/>
            <w:tcBorders>
              <w:top w:val="nil"/>
              <w:left w:val="nil"/>
              <w:bottom w:val="nil"/>
              <w:right w:val="nil"/>
            </w:tcBorders>
            <w:shd w:val="clear" w:color="auto" w:fill="auto"/>
          </w:tcPr>
          <w:p w:rsidR="00617CB0" w:rsidRPr="00022D33" w:rsidRDefault="00617CB0" w:rsidP="000D7011">
            <w:pPr>
              <w:pStyle w:val="Tabletext"/>
            </w:pPr>
          </w:p>
        </w:tc>
        <w:tc>
          <w:tcPr>
            <w:tcW w:w="754" w:type="dxa"/>
            <w:tcBorders>
              <w:top w:val="nil"/>
              <w:left w:val="nil"/>
              <w:bottom w:val="nil"/>
              <w:right w:val="nil"/>
            </w:tcBorders>
            <w:shd w:val="clear" w:color="auto" w:fill="auto"/>
          </w:tcPr>
          <w:p w:rsidR="00617CB0" w:rsidRPr="00022D33" w:rsidRDefault="00617CB0" w:rsidP="000D7011">
            <w:pPr>
              <w:pStyle w:val="Tabletext"/>
              <w:jc w:val="right"/>
            </w:pPr>
          </w:p>
        </w:tc>
        <w:tc>
          <w:tcPr>
            <w:tcW w:w="1191" w:type="dxa"/>
            <w:tcBorders>
              <w:top w:val="nil"/>
              <w:left w:val="nil"/>
              <w:bottom w:val="nil"/>
              <w:right w:val="nil"/>
            </w:tcBorders>
          </w:tcPr>
          <w:p w:rsidR="00617CB0" w:rsidRPr="00022D33" w:rsidRDefault="00617CB0" w:rsidP="000D7011">
            <w:pPr>
              <w:pStyle w:val="Tabletext"/>
              <w:jc w:val="right"/>
            </w:pPr>
          </w:p>
        </w:tc>
        <w:tc>
          <w:tcPr>
            <w:tcW w:w="1191"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059" w:type="dxa"/>
            <w:tcBorders>
              <w:top w:val="nil"/>
              <w:left w:val="nil"/>
              <w:bottom w:val="nil"/>
              <w:right w:val="nil"/>
            </w:tcBorders>
            <w:shd w:val="clear" w:color="auto" w:fill="auto"/>
          </w:tcPr>
          <w:p w:rsidR="00617CB0" w:rsidRPr="00022D33" w:rsidRDefault="00617CB0" w:rsidP="000D7011">
            <w:pPr>
              <w:pStyle w:val="Tabletext"/>
              <w:rPr>
                <w:i/>
              </w:rPr>
            </w:pPr>
            <w:r w:rsidRPr="00022D33">
              <w:rPr>
                <w:i/>
              </w:rPr>
              <w:t>Gains</w:t>
            </w:r>
          </w:p>
        </w:tc>
        <w:tc>
          <w:tcPr>
            <w:tcW w:w="754" w:type="dxa"/>
            <w:tcBorders>
              <w:top w:val="nil"/>
              <w:left w:val="nil"/>
              <w:bottom w:val="nil"/>
              <w:right w:val="nil"/>
            </w:tcBorders>
            <w:shd w:val="clear" w:color="auto" w:fill="auto"/>
          </w:tcPr>
          <w:p w:rsidR="00617CB0" w:rsidRPr="00022D33" w:rsidRDefault="00617CB0" w:rsidP="000D7011">
            <w:pPr>
              <w:pStyle w:val="Tabletext"/>
              <w:jc w:val="right"/>
            </w:pPr>
          </w:p>
        </w:tc>
        <w:tc>
          <w:tcPr>
            <w:tcW w:w="1191" w:type="dxa"/>
            <w:tcBorders>
              <w:top w:val="nil"/>
              <w:left w:val="nil"/>
              <w:bottom w:val="nil"/>
              <w:right w:val="nil"/>
            </w:tcBorders>
          </w:tcPr>
          <w:p w:rsidR="00617CB0" w:rsidRPr="00022D33" w:rsidRDefault="00617CB0" w:rsidP="000D7011">
            <w:pPr>
              <w:pStyle w:val="Tabletext"/>
              <w:jc w:val="right"/>
            </w:pPr>
          </w:p>
        </w:tc>
        <w:tc>
          <w:tcPr>
            <w:tcW w:w="1191"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059" w:type="dxa"/>
            <w:tcBorders>
              <w:top w:val="nil"/>
              <w:left w:val="nil"/>
              <w:bottom w:val="nil"/>
              <w:right w:val="nil"/>
            </w:tcBorders>
            <w:shd w:val="clear" w:color="auto" w:fill="auto"/>
          </w:tcPr>
          <w:p w:rsidR="00617CB0" w:rsidRPr="00022D33" w:rsidRDefault="00617CB0" w:rsidP="000D7011">
            <w:pPr>
              <w:pStyle w:val="Tabletext"/>
            </w:pPr>
            <w:r w:rsidRPr="00022D33">
              <w:t xml:space="preserve">Gain on disposal of non-current assets </w:t>
            </w:r>
          </w:p>
        </w:tc>
        <w:tc>
          <w:tcPr>
            <w:tcW w:w="754" w:type="dxa"/>
            <w:tcBorders>
              <w:top w:val="nil"/>
              <w:left w:val="nil"/>
              <w:bottom w:val="nil"/>
              <w:right w:val="nil"/>
            </w:tcBorders>
            <w:shd w:val="clear" w:color="auto" w:fill="auto"/>
          </w:tcPr>
          <w:p w:rsidR="00617CB0" w:rsidRPr="00022D33" w:rsidRDefault="00617CB0" w:rsidP="000D7011">
            <w:pPr>
              <w:pStyle w:val="Tabletext"/>
              <w:jc w:val="right"/>
            </w:pPr>
            <w:r w:rsidRPr="00022D33">
              <w:t>15</w:t>
            </w:r>
          </w:p>
        </w:tc>
        <w:tc>
          <w:tcPr>
            <w:tcW w:w="1191" w:type="dxa"/>
            <w:tcBorders>
              <w:top w:val="nil"/>
              <w:left w:val="nil"/>
              <w:bottom w:val="nil"/>
              <w:right w:val="nil"/>
            </w:tcBorders>
          </w:tcPr>
          <w:p w:rsidR="00617CB0" w:rsidRPr="00022D33" w:rsidRDefault="00617CB0" w:rsidP="000D7011">
            <w:pPr>
              <w:pStyle w:val="Tabletext"/>
              <w:jc w:val="right"/>
            </w:pPr>
            <w:r w:rsidRPr="00022D33">
              <w:t>666</w:t>
            </w:r>
          </w:p>
        </w:tc>
        <w:tc>
          <w:tcPr>
            <w:tcW w:w="1191" w:type="dxa"/>
            <w:tcBorders>
              <w:top w:val="nil"/>
              <w:left w:val="nil"/>
              <w:bottom w:val="nil"/>
              <w:right w:val="nil"/>
            </w:tcBorders>
            <w:shd w:val="clear" w:color="auto" w:fill="auto"/>
          </w:tcPr>
          <w:p w:rsidR="00617CB0" w:rsidRPr="00022D33" w:rsidRDefault="00617CB0" w:rsidP="000D7011">
            <w:pPr>
              <w:pStyle w:val="Tabletext"/>
              <w:jc w:val="right"/>
            </w:pPr>
            <w:r w:rsidRPr="00022D33">
              <w:t>1,422</w:t>
            </w:r>
          </w:p>
        </w:tc>
      </w:tr>
      <w:tr w:rsidR="00617CB0" w:rsidRPr="00022D33" w:rsidTr="000D7011">
        <w:tc>
          <w:tcPr>
            <w:tcW w:w="5059" w:type="dxa"/>
            <w:tcBorders>
              <w:top w:val="nil"/>
              <w:left w:val="nil"/>
              <w:bottom w:val="nil"/>
              <w:right w:val="nil"/>
            </w:tcBorders>
            <w:shd w:val="clear" w:color="auto" w:fill="auto"/>
          </w:tcPr>
          <w:p w:rsidR="00617CB0" w:rsidRPr="00022D33" w:rsidRDefault="00617CB0" w:rsidP="000D7011">
            <w:pPr>
              <w:pStyle w:val="Tableboldedtext"/>
            </w:pPr>
            <w:r w:rsidRPr="00022D33">
              <w:t>Total gains</w:t>
            </w:r>
          </w:p>
        </w:tc>
        <w:tc>
          <w:tcPr>
            <w:tcW w:w="754" w:type="dxa"/>
            <w:tcBorders>
              <w:top w:val="nil"/>
              <w:left w:val="nil"/>
              <w:bottom w:val="nil"/>
              <w:right w:val="nil"/>
            </w:tcBorders>
            <w:shd w:val="clear" w:color="auto" w:fill="auto"/>
          </w:tcPr>
          <w:p w:rsidR="00617CB0" w:rsidRPr="00022D33" w:rsidRDefault="00617CB0" w:rsidP="000D7011">
            <w:pPr>
              <w:pStyle w:val="Tabletext"/>
            </w:pPr>
          </w:p>
        </w:tc>
        <w:tc>
          <w:tcPr>
            <w:tcW w:w="1191" w:type="dxa"/>
            <w:tcBorders>
              <w:top w:val="single" w:sz="4" w:space="0" w:color="auto"/>
              <w:left w:val="nil"/>
              <w:bottom w:val="single" w:sz="4" w:space="0" w:color="auto"/>
              <w:right w:val="nil"/>
            </w:tcBorders>
          </w:tcPr>
          <w:p w:rsidR="00617CB0" w:rsidRPr="00022D33" w:rsidRDefault="00617CB0" w:rsidP="000D7011">
            <w:pPr>
              <w:pStyle w:val="Tableboldedtext"/>
              <w:jc w:val="right"/>
            </w:pPr>
            <w:r w:rsidRPr="00022D33">
              <w:t>666</w:t>
            </w:r>
          </w:p>
        </w:tc>
        <w:tc>
          <w:tcPr>
            <w:tcW w:w="1191"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1,422</w:t>
            </w:r>
          </w:p>
        </w:tc>
      </w:tr>
      <w:tr w:rsidR="00617CB0" w:rsidRPr="00022D33" w:rsidTr="000D7011">
        <w:tc>
          <w:tcPr>
            <w:tcW w:w="5059" w:type="dxa"/>
            <w:tcBorders>
              <w:top w:val="nil"/>
              <w:left w:val="nil"/>
              <w:bottom w:val="nil"/>
              <w:right w:val="nil"/>
            </w:tcBorders>
            <w:shd w:val="clear" w:color="auto" w:fill="auto"/>
          </w:tcPr>
          <w:p w:rsidR="00617CB0" w:rsidRPr="00022D33" w:rsidRDefault="00617CB0" w:rsidP="000D7011">
            <w:pPr>
              <w:pStyle w:val="Tableboldedtext"/>
            </w:pPr>
            <w:r w:rsidRPr="00022D33">
              <w:t>Total income other than income from State Government</w:t>
            </w:r>
          </w:p>
        </w:tc>
        <w:tc>
          <w:tcPr>
            <w:tcW w:w="754" w:type="dxa"/>
            <w:tcBorders>
              <w:top w:val="nil"/>
              <w:left w:val="nil"/>
              <w:bottom w:val="nil"/>
              <w:right w:val="nil"/>
            </w:tcBorders>
            <w:shd w:val="clear" w:color="auto" w:fill="auto"/>
          </w:tcPr>
          <w:p w:rsidR="00617CB0" w:rsidRPr="00022D33" w:rsidRDefault="00617CB0" w:rsidP="000D7011">
            <w:pPr>
              <w:pStyle w:val="Tabletext"/>
            </w:pPr>
          </w:p>
        </w:tc>
        <w:tc>
          <w:tcPr>
            <w:tcW w:w="1191" w:type="dxa"/>
            <w:tcBorders>
              <w:top w:val="single" w:sz="4" w:space="0" w:color="auto"/>
              <w:left w:val="nil"/>
              <w:bottom w:val="single" w:sz="4" w:space="0" w:color="auto"/>
              <w:right w:val="nil"/>
            </w:tcBorders>
          </w:tcPr>
          <w:p w:rsidR="00617CB0" w:rsidRPr="00022D33" w:rsidRDefault="00617CB0" w:rsidP="000D7011">
            <w:pPr>
              <w:pStyle w:val="Tableboldedtext"/>
              <w:jc w:val="right"/>
            </w:pPr>
            <w:r w:rsidRPr="00022D33">
              <w:t>972,930</w:t>
            </w:r>
          </w:p>
        </w:tc>
        <w:tc>
          <w:tcPr>
            <w:tcW w:w="1191"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1,160,456</w:t>
            </w:r>
          </w:p>
        </w:tc>
      </w:tr>
      <w:tr w:rsidR="00617CB0" w:rsidRPr="00022D33" w:rsidTr="000D7011">
        <w:tc>
          <w:tcPr>
            <w:tcW w:w="5059" w:type="dxa"/>
            <w:tcBorders>
              <w:top w:val="nil"/>
              <w:left w:val="nil"/>
              <w:bottom w:val="nil"/>
              <w:right w:val="nil"/>
            </w:tcBorders>
            <w:shd w:val="clear" w:color="auto" w:fill="auto"/>
          </w:tcPr>
          <w:p w:rsidR="00617CB0" w:rsidRPr="00022D33" w:rsidRDefault="00617CB0" w:rsidP="000D7011">
            <w:pPr>
              <w:pStyle w:val="Tableboldedtext"/>
            </w:pPr>
            <w:r w:rsidRPr="00022D33">
              <w:t>NET COST OF SERVICES</w:t>
            </w:r>
          </w:p>
        </w:tc>
        <w:tc>
          <w:tcPr>
            <w:tcW w:w="754" w:type="dxa"/>
            <w:tcBorders>
              <w:top w:val="nil"/>
              <w:left w:val="nil"/>
              <w:bottom w:val="nil"/>
              <w:right w:val="nil"/>
            </w:tcBorders>
            <w:shd w:val="clear" w:color="auto" w:fill="auto"/>
          </w:tcPr>
          <w:p w:rsidR="00617CB0" w:rsidRPr="00022D33" w:rsidRDefault="00617CB0" w:rsidP="000D7011">
            <w:pPr>
              <w:pStyle w:val="Tabletext"/>
              <w:jc w:val="right"/>
            </w:pPr>
          </w:p>
        </w:tc>
        <w:tc>
          <w:tcPr>
            <w:tcW w:w="1191" w:type="dxa"/>
            <w:tcBorders>
              <w:top w:val="single" w:sz="4" w:space="0" w:color="auto"/>
              <w:left w:val="nil"/>
              <w:bottom w:val="single" w:sz="4" w:space="0" w:color="auto"/>
              <w:right w:val="nil"/>
            </w:tcBorders>
          </w:tcPr>
          <w:p w:rsidR="00617CB0" w:rsidRPr="00022D33" w:rsidRDefault="00617CB0" w:rsidP="000D7011">
            <w:pPr>
              <w:pStyle w:val="Tableboldedtext"/>
              <w:jc w:val="right"/>
            </w:pPr>
            <w:r w:rsidRPr="00022D33">
              <w:t>(224,068)</w:t>
            </w:r>
          </w:p>
        </w:tc>
        <w:tc>
          <w:tcPr>
            <w:tcW w:w="1191"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(226,180)</w:t>
            </w:r>
          </w:p>
        </w:tc>
      </w:tr>
      <w:tr w:rsidR="00617CB0" w:rsidRPr="00022D33" w:rsidTr="000D7011">
        <w:tc>
          <w:tcPr>
            <w:tcW w:w="5059" w:type="dxa"/>
            <w:tcBorders>
              <w:top w:val="nil"/>
              <w:left w:val="nil"/>
              <w:bottom w:val="nil"/>
              <w:right w:val="nil"/>
            </w:tcBorders>
            <w:shd w:val="clear" w:color="auto" w:fill="auto"/>
          </w:tcPr>
          <w:p w:rsidR="00617CB0" w:rsidRPr="00022D33" w:rsidRDefault="00617CB0" w:rsidP="000D7011">
            <w:pPr>
              <w:pStyle w:val="Tableboldedtext"/>
            </w:pPr>
          </w:p>
        </w:tc>
        <w:tc>
          <w:tcPr>
            <w:tcW w:w="754" w:type="dxa"/>
            <w:tcBorders>
              <w:top w:val="nil"/>
              <w:left w:val="nil"/>
              <w:bottom w:val="nil"/>
              <w:right w:val="nil"/>
            </w:tcBorders>
            <w:shd w:val="clear" w:color="auto" w:fill="auto"/>
          </w:tcPr>
          <w:p w:rsidR="00617CB0" w:rsidRPr="00022D33" w:rsidRDefault="00617CB0" w:rsidP="000D7011">
            <w:pPr>
              <w:pStyle w:val="Tabletext"/>
              <w:jc w:val="right"/>
            </w:pPr>
          </w:p>
        </w:tc>
        <w:tc>
          <w:tcPr>
            <w:tcW w:w="1191" w:type="dxa"/>
            <w:tcBorders>
              <w:top w:val="nil"/>
              <w:left w:val="nil"/>
              <w:bottom w:val="nil"/>
              <w:right w:val="nil"/>
            </w:tcBorders>
          </w:tcPr>
          <w:p w:rsidR="00617CB0" w:rsidRPr="00022D33" w:rsidRDefault="00617CB0" w:rsidP="000D7011">
            <w:pPr>
              <w:pStyle w:val="Tabletext"/>
            </w:pPr>
          </w:p>
        </w:tc>
        <w:tc>
          <w:tcPr>
            <w:tcW w:w="1191" w:type="dxa"/>
            <w:tcBorders>
              <w:top w:val="nil"/>
              <w:left w:val="nil"/>
              <w:bottom w:val="nil"/>
              <w:right w:val="nil"/>
            </w:tcBorders>
            <w:shd w:val="clear" w:color="auto" w:fill="auto"/>
          </w:tcPr>
          <w:p w:rsidR="00617CB0" w:rsidRPr="00022D33" w:rsidRDefault="00617CB0" w:rsidP="000D7011">
            <w:pPr>
              <w:pStyle w:val="Tabletext"/>
            </w:pPr>
          </w:p>
        </w:tc>
      </w:tr>
      <w:tr w:rsidR="00617CB0" w:rsidRPr="00022D33" w:rsidTr="000D7011">
        <w:tc>
          <w:tcPr>
            <w:tcW w:w="5059" w:type="dxa"/>
            <w:tcBorders>
              <w:top w:val="nil"/>
              <w:left w:val="nil"/>
              <w:bottom w:val="nil"/>
              <w:right w:val="nil"/>
            </w:tcBorders>
            <w:shd w:val="clear" w:color="auto" w:fill="auto"/>
          </w:tcPr>
          <w:p w:rsidR="00617CB0" w:rsidRPr="00022D33" w:rsidRDefault="00617CB0" w:rsidP="000D7011">
            <w:pPr>
              <w:pStyle w:val="Tableboldedtext"/>
            </w:pPr>
            <w:r w:rsidRPr="00022D33">
              <w:t>Income from State Government</w:t>
            </w:r>
          </w:p>
        </w:tc>
        <w:tc>
          <w:tcPr>
            <w:tcW w:w="754" w:type="dxa"/>
            <w:tcBorders>
              <w:top w:val="nil"/>
              <w:left w:val="nil"/>
              <w:bottom w:val="nil"/>
              <w:right w:val="nil"/>
            </w:tcBorders>
            <w:shd w:val="clear" w:color="auto" w:fill="auto"/>
          </w:tcPr>
          <w:p w:rsidR="00617CB0" w:rsidRPr="00022D33" w:rsidRDefault="00617CB0" w:rsidP="000D7011">
            <w:pPr>
              <w:pStyle w:val="Tabletext"/>
              <w:jc w:val="right"/>
            </w:pPr>
            <w:r w:rsidRPr="00022D33">
              <w:t>17</w:t>
            </w:r>
          </w:p>
        </w:tc>
        <w:tc>
          <w:tcPr>
            <w:tcW w:w="1191" w:type="dxa"/>
            <w:tcBorders>
              <w:top w:val="nil"/>
              <w:left w:val="nil"/>
              <w:bottom w:val="nil"/>
              <w:right w:val="nil"/>
            </w:tcBorders>
          </w:tcPr>
          <w:p w:rsidR="00617CB0" w:rsidRPr="00022D33" w:rsidRDefault="00617CB0" w:rsidP="000D7011">
            <w:pPr>
              <w:pStyle w:val="Tabletext"/>
            </w:pPr>
          </w:p>
        </w:tc>
        <w:tc>
          <w:tcPr>
            <w:tcW w:w="1191" w:type="dxa"/>
            <w:tcBorders>
              <w:top w:val="nil"/>
              <w:left w:val="nil"/>
              <w:bottom w:val="nil"/>
              <w:right w:val="nil"/>
            </w:tcBorders>
            <w:shd w:val="clear" w:color="auto" w:fill="auto"/>
          </w:tcPr>
          <w:p w:rsidR="00617CB0" w:rsidRPr="00022D33" w:rsidRDefault="00617CB0" w:rsidP="000D7011">
            <w:pPr>
              <w:pStyle w:val="Tabletext"/>
            </w:pPr>
          </w:p>
        </w:tc>
      </w:tr>
      <w:tr w:rsidR="00617CB0" w:rsidRPr="00022D33" w:rsidTr="000D7011">
        <w:tc>
          <w:tcPr>
            <w:tcW w:w="5059" w:type="dxa"/>
            <w:tcBorders>
              <w:top w:val="nil"/>
              <w:left w:val="nil"/>
              <w:bottom w:val="nil"/>
              <w:right w:val="nil"/>
            </w:tcBorders>
            <w:shd w:val="clear" w:color="auto" w:fill="auto"/>
          </w:tcPr>
          <w:p w:rsidR="00617CB0" w:rsidRPr="00022D33" w:rsidRDefault="00617CB0" w:rsidP="000D7011">
            <w:pPr>
              <w:pStyle w:val="Tabletext"/>
            </w:pPr>
            <w:r w:rsidRPr="00022D33">
              <w:t>Service appropriations</w:t>
            </w:r>
          </w:p>
        </w:tc>
        <w:tc>
          <w:tcPr>
            <w:tcW w:w="754" w:type="dxa"/>
            <w:tcBorders>
              <w:top w:val="nil"/>
              <w:left w:val="nil"/>
              <w:bottom w:val="nil"/>
              <w:right w:val="nil"/>
            </w:tcBorders>
            <w:shd w:val="clear" w:color="auto" w:fill="auto"/>
          </w:tcPr>
          <w:p w:rsidR="00617CB0" w:rsidRPr="00022D33" w:rsidRDefault="00617CB0" w:rsidP="000D7011">
            <w:pPr>
              <w:pStyle w:val="Tabletext"/>
            </w:pPr>
          </w:p>
        </w:tc>
        <w:tc>
          <w:tcPr>
            <w:tcW w:w="1191" w:type="dxa"/>
            <w:tcBorders>
              <w:top w:val="nil"/>
              <w:left w:val="nil"/>
              <w:bottom w:val="nil"/>
              <w:right w:val="nil"/>
            </w:tcBorders>
          </w:tcPr>
          <w:p w:rsidR="00617CB0" w:rsidRPr="00022D33" w:rsidRDefault="00617CB0" w:rsidP="000D7011">
            <w:pPr>
              <w:pStyle w:val="Tabletext"/>
              <w:jc w:val="right"/>
            </w:pPr>
            <w:r w:rsidRPr="00022D33">
              <w:t>188,932</w:t>
            </w:r>
          </w:p>
        </w:tc>
        <w:tc>
          <w:tcPr>
            <w:tcW w:w="1191" w:type="dxa"/>
            <w:tcBorders>
              <w:top w:val="nil"/>
              <w:left w:val="nil"/>
              <w:bottom w:val="nil"/>
              <w:right w:val="nil"/>
            </w:tcBorders>
            <w:shd w:val="clear" w:color="auto" w:fill="auto"/>
          </w:tcPr>
          <w:p w:rsidR="00617CB0" w:rsidRPr="00022D33" w:rsidRDefault="00617CB0" w:rsidP="000D7011">
            <w:pPr>
              <w:pStyle w:val="Tabletext"/>
              <w:jc w:val="right"/>
            </w:pPr>
            <w:r w:rsidRPr="00022D33">
              <w:t>178,026</w:t>
            </w:r>
          </w:p>
        </w:tc>
      </w:tr>
      <w:tr w:rsidR="00617CB0" w:rsidRPr="00022D33" w:rsidTr="000D7011">
        <w:tc>
          <w:tcPr>
            <w:tcW w:w="5059" w:type="dxa"/>
            <w:tcBorders>
              <w:top w:val="nil"/>
              <w:left w:val="nil"/>
              <w:bottom w:val="nil"/>
              <w:right w:val="nil"/>
            </w:tcBorders>
            <w:shd w:val="clear" w:color="auto" w:fill="auto"/>
          </w:tcPr>
          <w:p w:rsidR="00617CB0" w:rsidRPr="00022D33" w:rsidRDefault="00617CB0" w:rsidP="000D7011">
            <w:pPr>
              <w:pStyle w:val="Tabletext"/>
            </w:pPr>
            <w:r w:rsidRPr="00022D33">
              <w:t xml:space="preserve">Services received free of charge </w:t>
            </w:r>
          </w:p>
        </w:tc>
        <w:tc>
          <w:tcPr>
            <w:tcW w:w="754" w:type="dxa"/>
            <w:tcBorders>
              <w:top w:val="nil"/>
              <w:left w:val="nil"/>
              <w:bottom w:val="nil"/>
              <w:right w:val="nil"/>
            </w:tcBorders>
            <w:shd w:val="clear" w:color="auto" w:fill="auto"/>
          </w:tcPr>
          <w:p w:rsidR="00617CB0" w:rsidRPr="00022D33" w:rsidRDefault="00617CB0" w:rsidP="000D7011">
            <w:pPr>
              <w:pStyle w:val="Tabletext"/>
            </w:pPr>
          </w:p>
        </w:tc>
        <w:tc>
          <w:tcPr>
            <w:tcW w:w="1191" w:type="dxa"/>
            <w:tcBorders>
              <w:top w:val="nil"/>
              <w:left w:val="nil"/>
              <w:bottom w:val="nil"/>
              <w:right w:val="nil"/>
            </w:tcBorders>
          </w:tcPr>
          <w:p w:rsidR="00617CB0" w:rsidRPr="00022D33" w:rsidRDefault="00617CB0" w:rsidP="000D7011">
            <w:pPr>
              <w:pStyle w:val="Tabletext"/>
              <w:jc w:val="right"/>
            </w:pPr>
            <w:r w:rsidRPr="00022D33">
              <w:t>14,518</w:t>
            </w:r>
          </w:p>
        </w:tc>
        <w:tc>
          <w:tcPr>
            <w:tcW w:w="1191" w:type="dxa"/>
            <w:tcBorders>
              <w:top w:val="nil"/>
              <w:left w:val="nil"/>
              <w:bottom w:val="nil"/>
              <w:right w:val="nil"/>
            </w:tcBorders>
            <w:shd w:val="clear" w:color="auto" w:fill="auto"/>
          </w:tcPr>
          <w:p w:rsidR="00617CB0" w:rsidRPr="00022D33" w:rsidRDefault="00617CB0" w:rsidP="000D7011">
            <w:pPr>
              <w:pStyle w:val="Tabletext"/>
              <w:jc w:val="right"/>
            </w:pPr>
            <w:r w:rsidRPr="00022D33">
              <w:t>14,065</w:t>
            </w:r>
          </w:p>
        </w:tc>
      </w:tr>
      <w:tr w:rsidR="00617CB0" w:rsidRPr="00022D33" w:rsidTr="000D7011">
        <w:tc>
          <w:tcPr>
            <w:tcW w:w="5059" w:type="dxa"/>
            <w:tcBorders>
              <w:top w:val="nil"/>
              <w:left w:val="nil"/>
              <w:bottom w:val="nil"/>
              <w:right w:val="nil"/>
            </w:tcBorders>
            <w:shd w:val="clear" w:color="auto" w:fill="auto"/>
          </w:tcPr>
          <w:p w:rsidR="00617CB0" w:rsidRPr="00022D33" w:rsidRDefault="00617CB0" w:rsidP="000D7011">
            <w:pPr>
              <w:pStyle w:val="Tabletext"/>
            </w:pPr>
            <w:r w:rsidRPr="00022D33">
              <w:t>Royalties for Regions Fund</w:t>
            </w:r>
          </w:p>
        </w:tc>
        <w:tc>
          <w:tcPr>
            <w:tcW w:w="754" w:type="dxa"/>
            <w:tcBorders>
              <w:top w:val="nil"/>
              <w:left w:val="nil"/>
              <w:bottom w:val="nil"/>
              <w:right w:val="nil"/>
            </w:tcBorders>
            <w:shd w:val="clear" w:color="auto" w:fill="auto"/>
          </w:tcPr>
          <w:p w:rsidR="00617CB0" w:rsidRPr="00022D33" w:rsidRDefault="00617CB0" w:rsidP="000D7011">
            <w:pPr>
              <w:pStyle w:val="Tabletext"/>
            </w:pPr>
          </w:p>
        </w:tc>
        <w:tc>
          <w:tcPr>
            <w:tcW w:w="1191" w:type="dxa"/>
            <w:tcBorders>
              <w:top w:val="nil"/>
              <w:left w:val="nil"/>
              <w:bottom w:val="single" w:sz="4" w:space="0" w:color="auto"/>
              <w:right w:val="nil"/>
            </w:tcBorders>
          </w:tcPr>
          <w:p w:rsidR="00617CB0" w:rsidRPr="00022D33" w:rsidRDefault="00617CB0" w:rsidP="000D7011">
            <w:pPr>
              <w:pStyle w:val="Tabletext"/>
              <w:jc w:val="right"/>
            </w:pPr>
            <w:r w:rsidRPr="00022D33">
              <w:t>127</w:t>
            </w:r>
          </w:p>
        </w:tc>
        <w:tc>
          <w:tcPr>
            <w:tcW w:w="1191"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189</w:t>
            </w:r>
          </w:p>
        </w:tc>
      </w:tr>
      <w:tr w:rsidR="00617CB0" w:rsidRPr="00022D33" w:rsidTr="000D7011">
        <w:tc>
          <w:tcPr>
            <w:tcW w:w="5059" w:type="dxa"/>
            <w:tcBorders>
              <w:top w:val="nil"/>
              <w:left w:val="nil"/>
              <w:bottom w:val="nil"/>
              <w:right w:val="nil"/>
            </w:tcBorders>
            <w:shd w:val="clear" w:color="auto" w:fill="auto"/>
          </w:tcPr>
          <w:p w:rsidR="00617CB0" w:rsidRPr="00022D33" w:rsidRDefault="00617CB0" w:rsidP="000D7011">
            <w:pPr>
              <w:pStyle w:val="Tableboldedtext"/>
            </w:pPr>
            <w:r w:rsidRPr="00022D33">
              <w:t>Total income from State Government</w:t>
            </w:r>
          </w:p>
        </w:tc>
        <w:tc>
          <w:tcPr>
            <w:tcW w:w="754" w:type="dxa"/>
            <w:tcBorders>
              <w:top w:val="nil"/>
              <w:left w:val="nil"/>
              <w:bottom w:val="nil"/>
              <w:right w:val="nil"/>
            </w:tcBorders>
            <w:shd w:val="clear" w:color="auto" w:fill="auto"/>
          </w:tcPr>
          <w:p w:rsidR="00617CB0" w:rsidRPr="00022D33" w:rsidRDefault="00617CB0" w:rsidP="000D7011">
            <w:pPr>
              <w:pStyle w:val="Tabletext"/>
            </w:pPr>
          </w:p>
        </w:tc>
        <w:tc>
          <w:tcPr>
            <w:tcW w:w="1191" w:type="dxa"/>
            <w:tcBorders>
              <w:top w:val="single" w:sz="4" w:space="0" w:color="auto"/>
              <w:left w:val="nil"/>
              <w:bottom w:val="single" w:sz="4" w:space="0" w:color="auto"/>
              <w:right w:val="nil"/>
            </w:tcBorders>
          </w:tcPr>
          <w:p w:rsidR="00617CB0" w:rsidRPr="00022D33" w:rsidRDefault="00617CB0" w:rsidP="000D7011">
            <w:pPr>
              <w:pStyle w:val="Tabletext"/>
              <w:jc w:val="right"/>
              <w:rPr>
                <w:b/>
              </w:rPr>
            </w:pPr>
            <w:r w:rsidRPr="00022D33">
              <w:rPr>
                <w:b/>
              </w:rPr>
              <w:t>203,577</w:t>
            </w:r>
          </w:p>
        </w:tc>
        <w:tc>
          <w:tcPr>
            <w:tcW w:w="1191"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rPr>
                <w:b/>
              </w:rPr>
            </w:pPr>
            <w:r w:rsidRPr="00022D33">
              <w:rPr>
                <w:b/>
              </w:rPr>
              <w:t>192,280</w:t>
            </w:r>
          </w:p>
        </w:tc>
      </w:tr>
      <w:tr w:rsidR="00617CB0" w:rsidRPr="00022D33" w:rsidTr="000D7011">
        <w:tc>
          <w:tcPr>
            <w:tcW w:w="5059" w:type="dxa"/>
            <w:tcBorders>
              <w:top w:val="nil"/>
              <w:left w:val="nil"/>
              <w:bottom w:val="nil"/>
              <w:right w:val="nil"/>
            </w:tcBorders>
            <w:shd w:val="clear" w:color="auto" w:fill="auto"/>
          </w:tcPr>
          <w:p w:rsidR="00617CB0" w:rsidRPr="00022D33" w:rsidRDefault="00617CB0" w:rsidP="000D7011">
            <w:pPr>
              <w:pStyle w:val="Tableboldedtext"/>
            </w:pPr>
            <w:r w:rsidRPr="00022D33">
              <w:t>SURPLUS/(DEFICIT) FOR THE PERIOD</w:t>
            </w:r>
          </w:p>
        </w:tc>
        <w:tc>
          <w:tcPr>
            <w:tcW w:w="754" w:type="dxa"/>
            <w:tcBorders>
              <w:top w:val="nil"/>
              <w:left w:val="nil"/>
              <w:bottom w:val="nil"/>
              <w:right w:val="nil"/>
            </w:tcBorders>
            <w:shd w:val="clear" w:color="auto" w:fill="auto"/>
          </w:tcPr>
          <w:p w:rsidR="00617CB0" w:rsidRPr="00022D33" w:rsidRDefault="00617CB0" w:rsidP="000D7011">
            <w:pPr>
              <w:pStyle w:val="Tabletext"/>
            </w:pPr>
          </w:p>
        </w:tc>
        <w:tc>
          <w:tcPr>
            <w:tcW w:w="1191" w:type="dxa"/>
            <w:tcBorders>
              <w:top w:val="single" w:sz="4" w:space="0" w:color="auto"/>
              <w:left w:val="nil"/>
              <w:bottom w:val="nil"/>
              <w:right w:val="nil"/>
            </w:tcBorders>
          </w:tcPr>
          <w:p w:rsidR="00617CB0" w:rsidRPr="00022D33" w:rsidRDefault="00617CB0" w:rsidP="000D7011">
            <w:pPr>
              <w:pStyle w:val="Tabletext"/>
              <w:jc w:val="right"/>
              <w:rPr>
                <w:b/>
              </w:rPr>
            </w:pPr>
            <w:r w:rsidRPr="00022D33">
              <w:rPr>
                <w:b/>
              </w:rPr>
              <w:t>(20,491)</w:t>
            </w:r>
          </w:p>
        </w:tc>
        <w:tc>
          <w:tcPr>
            <w:tcW w:w="1191" w:type="dxa"/>
            <w:tcBorders>
              <w:top w:val="single" w:sz="4" w:space="0" w:color="auto"/>
              <w:left w:val="nil"/>
              <w:bottom w:val="nil"/>
              <w:right w:val="nil"/>
            </w:tcBorders>
            <w:shd w:val="clear" w:color="auto" w:fill="auto"/>
          </w:tcPr>
          <w:p w:rsidR="00617CB0" w:rsidRPr="00022D33" w:rsidRDefault="00617CB0" w:rsidP="000D7011">
            <w:pPr>
              <w:pStyle w:val="Tabletext"/>
              <w:jc w:val="right"/>
            </w:pPr>
            <w:r w:rsidRPr="00022D33">
              <w:rPr>
                <w:b/>
              </w:rPr>
              <w:t>(33,900)</w:t>
            </w:r>
          </w:p>
        </w:tc>
      </w:tr>
      <w:tr w:rsidR="00617CB0" w:rsidRPr="00022D33" w:rsidTr="000D7011">
        <w:tc>
          <w:tcPr>
            <w:tcW w:w="5059" w:type="dxa"/>
            <w:tcBorders>
              <w:top w:val="nil"/>
              <w:left w:val="nil"/>
              <w:bottom w:val="nil"/>
              <w:right w:val="nil"/>
            </w:tcBorders>
            <w:shd w:val="clear" w:color="auto" w:fill="auto"/>
          </w:tcPr>
          <w:p w:rsidR="00617CB0" w:rsidRPr="00022D33" w:rsidRDefault="00617CB0" w:rsidP="000D7011">
            <w:pPr>
              <w:pStyle w:val="Tableboldedtext"/>
              <w:jc w:val="right"/>
            </w:pPr>
          </w:p>
        </w:tc>
        <w:tc>
          <w:tcPr>
            <w:tcW w:w="754" w:type="dxa"/>
            <w:tcBorders>
              <w:top w:val="nil"/>
              <w:left w:val="nil"/>
              <w:bottom w:val="nil"/>
              <w:right w:val="nil"/>
            </w:tcBorders>
            <w:shd w:val="clear" w:color="auto" w:fill="auto"/>
          </w:tcPr>
          <w:p w:rsidR="00617CB0" w:rsidRPr="00022D33" w:rsidRDefault="00617CB0" w:rsidP="000D7011">
            <w:pPr>
              <w:pStyle w:val="Tabletext"/>
              <w:jc w:val="right"/>
            </w:pPr>
            <w:r w:rsidRPr="00022D33">
              <w:t>Note</w:t>
            </w:r>
          </w:p>
        </w:tc>
        <w:tc>
          <w:tcPr>
            <w:tcW w:w="1191" w:type="dxa"/>
            <w:tcBorders>
              <w:top w:val="nil"/>
              <w:left w:val="nil"/>
              <w:bottom w:val="nil"/>
              <w:right w:val="nil"/>
            </w:tcBorders>
          </w:tcPr>
          <w:p w:rsidR="00617CB0" w:rsidRPr="008872BC" w:rsidRDefault="00617CB0" w:rsidP="000D7011">
            <w:pPr>
              <w:pStyle w:val="Tabletext"/>
              <w:jc w:val="right"/>
              <w:rPr>
                <w:b/>
              </w:rPr>
            </w:pPr>
            <w:r w:rsidRPr="008872BC">
              <w:rPr>
                <w:b/>
              </w:rPr>
              <w:t>2016</w:t>
            </w:r>
          </w:p>
          <w:p w:rsidR="00617CB0" w:rsidRPr="008872BC" w:rsidRDefault="00617CB0" w:rsidP="000D7011">
            <w:pPr>
              <w:pStyle w:val="Tabletext"/>
              <w:jc w:val="right"/>
              <w:rPr>
                <w:b/>
              </w:rPr>
            </w:pPr>
            <w:r w:rsidRPr="008872BC">
              <w:rPr>
                <w:b/>
              </w:rPr>
              <w:t>$000</w:t>
            </w:r>
          </w:p>
        </w:tc>
        <w:tc>
          <w:tcPr>
            <w:tcW w:w="1191" w:type="dxa"/>
            <w:tcBorders>
              <w:top w:val="nil"/>
              <w:left w:val="nil"/>
              <w:bottom w:val="nil"/>
              <w:right w:val="nil"/>
            </w:tcBorders>
            <w:shd w:val="clear" w:color="auto" w:fill="auto"/>
          </w:tcPr>
          <w:p w:rsidR="00617CB0" w:rsidRPr="008872BC" w:rsidRDefault="00617CB0" w:rsidP="000D7011">
            <w:pPr>
              <w:pStyle w:val="Tabletext"/>
              <w:jc w:val="right"/>
              <w:rPr>
                <w:b/>
              </w:rPr>
            </w:pPr>
            <w:r w:rsidRPr="008872BC">
              <w:rPr>
                <w:b/>
              </w:rPr>
              <w:t>2015</w:t>
            </w:r>
          </w:p>
          <w:p w:rsidR="00617CB0" w:rsidRPr="008872BC" w:rsidRDefault="00617CB0" w:rsidP="000D7011">
            <w:pPr>
              <w:pStyle w:val="Tabletext"/>
              <w:jc w:val="right"/>
              <w:rPr>
                <w:b/>
              </w:rPr>
            </w:pPr>
            <w:r w:rsidRPr="008872BC">
              <w:rPr>
                <w:b/>
              </w:rPr>
              <w:t>$000</w:t>
            </w:r>
          </w:p>
        </w:tc>
      </w:tr>
      <w:tr w:rsidR="00617CB0" w:rsidRPr="00022D33" w:rsidTr="000D7011">
        <w:tc>
          <w:tcPr>
            <w:tcW w:w="5059" w:type="dxa"/>
            <w:tcBorders>
              <w:top w:val="nil"/>
              <w:left w:val="nil"/>
              <w:bottom w:val="nil"/>
              <w:right w:val="nil"/>
            </w:tcBorders>
            <w:shd w:val="clear" w:color="auto" w:fill="auto"/>
          </w:tcPr>
          <w:p w:rsidR="00617CB0" w:rsidRPr="00022D33" w:rsidRDefault="00617CB0" w:rsidP="000D7011">
            <w:pPr>
              <w:pStyle w:val="Tabletext"/>
              <w:rPr>
                <w:b/>
                <w:spacing w:val="0"/>
              </w:rPr>
            </w:pPr>
          </w:p>
        </w:tc>
        <w:tc>
          <w:tcPr>
            <w:tcW w:w="754" w:type="dxa"/>
            <w:tcBorders>
              <w:top w:val="nil"/>
              <w:left w:val="nil"/>
              <w:bottom w:val="nil"/>
              <w:right w:val="nil"/>
            </w:tcBorders>
            <w:shd w:val="clear" w:color="auto" w:fill="auto"/>
          </w:tcPr>
          <w:p w:rsidR="00617CB0" w:rsidRPr="00022D33" w:rsidRDefault="00617CB0" w:rsidP="000D7011">
            <w:pPr>
              <w:pStyle w:val="BodyText"/>
              <w:spacing w:line="228" w:lineRule="exact"/>
              <w:rPr>
                <w:sz w:val="20"/>
                <w:szCs w:val="20"/>
              </w:rPr>
            </w:pPr>
          </w:p>
        </w:tc>
        <w:tc>
          <w:tcPr>
            <w:tcW w:w="1191" w:type="dxa"/>
            <w:tcBorders>
              <w:top w:val="nil"/>
              <w:left w:val="nil"/>
              <w:bottom w:val="nil"/>
              <w:right w:val="nil"/>
            </w:tcBorders>
          </w:tcPr>
          <w:p w:rsidR="00617CB0" w:rsidRPr="00022D33" w:rsidRDefault="00617CB0" w:rsidP="000D7011">
            <w:pPr>
              <w:pStyle w:val="Tabletext"/>
              <w:jc w:val="right"/>
            </w:pPr>
          </w:p>
        </w:tc>
        <w:tc>
          <w:tcPr>
            <w:tcW w:w="1191"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059" w:type="dxa"/>
            <w:tcBorders>
              <w:top w:val="nil"/>
              <w:left w:val="nil"/>
              <w:bottom w:val="nil"/>
              <w:right w:val="nil"/>
            </w:tcBorders>
            <w:shd w:val="clear" w:color="auto" w:fill="auto"/>
          </w:tcPr>
          <w:p w:rsidR="00617CB0" w:rsidRPr="00022D33" w:rsidRDefault="00617CB0" w:rsidP="000D7011">
            <w:pPr>
              <w:pStyle w:val="Tabletext"/>
            </w:pPr>
            <w:r w:rsidRPr="00022D33">
              <w:rPr>
                <w:b/>
                <w:spacing w:val="0"/>
              </w:rPr>
              <w:t>OTHER COMPREHENSIVE INCOME</w:t>
            </w:r>
          </w:p>
        </w:tc>
        <w:tc>
          <w:tcPr>
            <w:tcW w:w="754" w:type="dxa"/>
            <w:tcBorders>
              <w:top w:val="nil"/>
              <w:left w:val="nil"/>
              <w:bottom w:val="nil"/>
              <w:right w:val="nil"/>
            </w:tcBorders>
            <w:shd w:val="clear" w:color="auto" w:fill="auto"/>
          </w:tcPr>
          <w:p w:rsidR="00617CB0" w:rsidRPr="00022D33" w:rsidRDefault="00617CB0" w:rsidP="000D7011">
            <w:pPr>
              <w:pStyle w:val="BodyText"/>
              <w:spacing w:line="228" w:lineRule="exact"/>
              <w:rPr>
                <w:sz w:val="20"/>
                <w:szCs w:val="20"/>
              </w:rPr>
            </w:pPr>
          </w:p>
        </w:tc>
        <w:tc>
          <w:tcPr>
            <w:tcW w:w="1191" w:type="dxa"/>
            <w:tcBorders>
              <w:top w:val="nil"/>
              <w:left w:val="nil"/>
              <w:bottom w:val="nil"/>
              <w:right w:val="nil"/>
            </w:tcBorders>
          </w:tcPr>
          <w:p w:rsidR="00617CB0" w:rsidRPr="00022D33" w:rsidRDefault="00617CB0" w:rsidP="000D7011">
            <w:pPr>
              <w:pStyle w:val="Tabletext"/>
              <w:jc w:val="right"/>
            </w:pPr>
          </w:p>
        </w:tc>
        <w:tc>
          <w:tcPr>
            <w:tcW w:w="1191"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059" w:type="dxa"/>
            <w:tcBorders>
              <w:top w:val="nil"/>
              <w:left w:val="nil"/>
              <w:bottom w:val="nil"/>
              <w:right w:val="nil"/>
            </w:tcBorders>
            <w:shd w:val="clear" w:color="auto" w:fill="auto"/>
          </w:tcPr>
          <w:p w:rsidR="00617CB0" w:rsidRPr="00022D33" w:rsidRDefault="00617CB0" w:rsidP="000D7011">
            <w:pPr>
              <w:pStyle w:val="Tabletext"/>
              <w:rPr>
                <w:i/>
              </w:rPr>
            </w:pPr>
            <w:r w:rsidRPr="00022D33">
              <w:rPr>
                <w:i/>
              </w:rPr>
              <w:t>Items not reclassified subsequently to profit or loss</w:t>
            </w:r>
          </w:p>
        </w:tc>
        <w:tc>
          <w:tcPr>
            <w:tcW w:w="754" w:type="dxa"/>
            <w:tcBorders>
              <w:top w:val="nil"/>
              <w:left w:val="nil"/>
              <w:bottom w:val="nil"/>
              <w:right w:val="nil"/>
            </w:tcBorders>
            <w:shd w:val="clear" w:color="auto" w:fill="auto"/>
          </w:tcPr>
          <w:p w:rsidR="00617CB0" w:rsidRPr="00022D33" w:rsidRDefault="00617CB0" w:rsidP="000D7011">
            <w:pPr>
              <w:pStyle w:val="BodyText"/>
              <w:spacing w:line="228" w:lineRule="exact"/>
              <w:rPr>
                <w:sz w:val="20"/>
                <w:szCs w:val="20"/>
              </w:rPr>
            </w:pPr>
          </w:p>
        </w:tc>
        <w:tc>
          <w:tcPr>
            <w:tcW w:w="1191" w:type="dxa"/>
            <w:tcBorders>
              <w:top w:val="nil"/>
              <w:left w:val="nil"/>
              <w:bottom w:val="nil"/>
              <w:right w:val="nil"/>
            </w:tcBorders>
          </w:tcPr>
          <w:p w:rsidR="00617CB0" w:rsidRPr="00022D33" w:rsidRDefault="00617CB0" w:rsidP="000D7011">
            <w:pPr>
              <w:pStyle w:val="Tabletext"/>
              <w:jc w:val="right"/>
            </w:pPr>
          </w:p>
        </w:tc>
        <w:tc>
          <w:tcPr>
            <w:tcW w:w="1191"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059" w:type="dxa"/>
            <w:tcBorders>
              <w:top w:val="nil"/>
              <w:left w:val="nil"/>
              <w:bottom w:val="nil"/>
              <w:right w:val="nil"/>
            </w:tcBorders>
            <w:shd w:val="clear" w:color="auto" w:fill="auto"/>
          </w:tcPr>
          <w:p w:rsidR="00617CB0" w:rsidRPr="00022D33" w:rsidRDefault="00617CB0" w:rsidP="000D7011">
            <w:pPr>
              <w:pStyle w:val="Tabletext"/>
            </w:pPr>
            <w:r w:rsidRPr="00022D33">
              <w:t>Changes in the revaluation surplus</w:t>
            </w:r>
          </w:p>
        </w:tc>
        <w:tc>
          <w:tcPr>
            <w:tcW w:w="754" w:type="dxa"/>
            <w:tcBorders>
              <w:top w:val="nil"/>
              <w:left w:val="nil"/>
              <w:bottom w:val="nil"/>
              <w:right w:val="nil"/>
            </w:tcBorders>
            <w:shd w:val="clear" w:color="auto" w:fill="auto"/>
          </w:tcPr>
          <w:p w:rsidR="00617CB0" w:rsidRPr="00022D33" w:rsidRDefault="00617CB0" w:rsidP="000D7011">
            <w:pPr>
              <w:pStyle w:val="BodyText"/>
              <w:spacing w:line="228" w:lineRule="exact"/>
              <w:rPr>
                <w:sz w:val="20"/>
                <w:szCs w:val="20"/>
              </w:rPr>
            </w:pPr>
            <w:r w:rsidRPr="00022D33">
              <w:rPr>
                <w:sz w:val="20"/>
                <w:szCs w:val="20"/>
              </w:rPr>
              <w:t>33</w:t>
            </w:r>
          </w:p>
        </w:tc>
        <w:tc>
          <w:tcPr>
            <w:tcW w:w="1191" w:type="dxa"/>
            <w:tcBorders>
              <w:top w:val="nil"/>
              <w:left w:val="nil"/>
              <w:bottom w:val="single" w:sz="4" w:space="0" w:color="auto"/>
              <w:right w:val="nil"/>
            </w:tcBorders>
          </w:tcPr>
          <w:p w:rsidR="00617CB0" w:rsidRPr="00022D33" w:rsidRDefault="00617CB0" w:rsidP="000D7011">
            <w:pPr>
              <w:pStyle w:val="Tabletext"/>
              <w:jc w:val="right"/>
            </w:pPr>
            <w:r w:rsidRPr="00022D33">
              <w:t>(18,665)</w:t>
            </w:r>
          </w:p>
        </w:tc>
        <w:tc>
          <w:tcPr>
            <w:tcW w:w="1191"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(14,182)</w:t>
            </w:r>
          </w:p>
        </w:tc>
      </w:tr>
      <w:tr w:rsidR="00617CB0" w:rsidRPr="00022D33" w:rsidTr="000D7011">
        <w:tc>
          <w:tcPr>
            <w:tcW w:w="5059" w:type="dxa"/>
            <w:tcBorders>
              <w:top w:val="nil"/>
              <w:left w:val="nil"/>
              <w:bottom w:val="nil"/>
              <w:right w:val="nil"/>
            </w:tcBorders>
            <w:shd w:val="clear" w:color="auto" w:fill="auto"/>
          </w:tcPr>
          <w:p w:rsidR="00617CB0" w:rsidRPr="00022D33" w:rsidRDefault="00617CB0" w:rsidP="000D7011">
            <w:pPr>
              <w:pStyle w:val="Tableboldedtext"/>
            </w:pPr>
            <w:r w:rsidRPr="00022D33">
              <w:t>Total other comprehensive income</w:t>
            </w:r>
          </w:p>
        </w:tc>
        <w:tc>
          <w:tcPr>
            <w:tcW w:w="754" w:type="dxa"/>
            <w:tcBorders>
              <w:top w:val="nil"/>
              <w:left w:val="nil"/>
              <w:bottom w:val="nil"/>
              <w:right w:val="nil"/>
            </w:tcBorders>
            <w:shd w:val="clear" w:color="auto" w:fill="auto"/>
          </w:tcPr>
          <w:p w:rsidR="00617CB0" w:rsidRPr="00022D33" w:rsidRDefault="00617CB0" w:rsidP="000D7011">
            <w:pPr>
              <w:pStyle w:val="Tabletext"/>
            </w:pPr>
          </w:p>
        </w:tc>
        <w:tc>
          <w:tcPr>
            <w:tcW w:w="1191" w:type="dxa"/>
            <w:tcBorders>
              <w:top w:val="single" w:sz="4" w:space="0" w:color="auto"/>
              <w:left w:val="nil"/>
              <w:bottom w:val="single" w:sz="4" w:space="0" w:color="auto"/>
              <w:right w:val="nil"/>
            </w:tcBorders>
          </w:tcPr>
          <w:p w:rsidR="00617CB0" w:rsidRPr="00022D33" w:rsidRDefault="00617CB0" w:rsidP="000D7011">
            <w:pPr>
              <w:pStyle w:val="Tabletext"/>
              <w:jc w:val="right"/>
              <w:rPr>
                <w:b/>
              </w:rPr>
            </w:pPr>
            <w:r w:rsidRPr="00022D33">
              <w:rPr>
                <w:b/>
              </w:rPr>
              <w:t>(18,665)</w:t>
            </w:r>
          </w:p>
        </w:tc>
        <w:tc>
          <w:tcPr>
            <w:tcW w:w="1191"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pPr>
            <w:r w:rsidRPr="00022D33">
              <w:rPr>
                <w:b/>
              </w:rPr>
              <w:t>(14,182)</w:t>
            </w:r>
          </w:p>
        </w:tc>
      </w:tr>
      <w:tr w:rsidR="00617CB0" w:rsidRPr="00022D33" w:rsidTr="000D7011">
        <w:tc>
          <w:tcPr>
            <w:tcW w:w="5059" w:type="dxa"/>
            <w:tcBorders>
              <w:top w:val="nil"/>
              <w:left w:val="nil"/>
              <w:bottom w:val="nil"/>
              <w:right w:val="nil"/>
            </w:tcBorders>
            <w:shd w:val="clear" w:color="auto" w:fill="auto"/>
          </w:tcPr>
          <w:p w:rsidR="00617CB0" w:rsidRPr="00022D33" w:rsidRDefault="00617CB0" w:rsidP="000D7011">
            <w:pPr>
              <w:pStyle w:val="Tableboldedtext"/>
            </w:pPr>
            <w:r w:rsidRPr="00022D33">
              <w:t>TOTAL COMPREHENSIVE INCOME FOR THE PERIOD</w:t>
            </w:r>
          </w:p>
        </w:tc>
        <w:tc>
          <w:tcPr>
            <w:tcW w:w="754" w:type="dxa"/>
            <w:tcBorders>
              <w:top w:val="nil"/>
              <w:left w:val="nil"/>
              <w:bottom w:val="nil"/>
              <w:right w:val="nil"/>
            </w:tcBorders>
            <w:shd w:val="clear" w:color="auto" w:fill="auto"/>
          </w:tcPr>
          <w:p w:rsidR="00617CB0" w:rsidRPr="00022D33" w:rsidRDefault="00617CB0" w:rsidP="000D7011">
            <w:pPr>
              <w:pStyle w:val="Tabletext"/>
            </w:pPr>
          </w:p>
        </w:tc>
        <w:tc>
          <w:tcPr>
            <w:tcW w:w="1191" w:type="dxa"/>
            <w:tcBorders>
              <w:top w:val="single" w:sz="4" w:space="0" w:color="auto"/>
              <w:left w:val="nil"/>
              <w:bottom w:val="double" w:sz="4" w:space="0" w:color="auto"/>
              <w:right w:val="nil"/>
            </w:tcBorders>
          </w:tcPr>
          <w:p w:rsidR="00617CB0" w:rsidRPr="00022D33" w:rsidRDefault="00617CB0" w:rsidP="000D7011">
            <w:pPr>
              <w:pStyle w:val="Tabletext"/>
              <w:jc w:val="right"/>
              <w:rPr>
                <w:b/>
              </w:rPr>
            </w:pPr>
            <w:r w:rsidRPr="00022D33">
              <w:rPr>
                <w:b/>
              </w:rPr>
              <w:t>(39,156)</w:t>
            </w:r>
          </w:p>
        </w:tc>
        <w:tc>
          <w:tcPr>
            <w:tcW w:w="1191"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text"/>
              <w:jc w:val="right"/>
            </w:pPr>
            <w:r w:rsidRPr="00022D33">
              <w:rPr>
                <w:b/>
              </w:rPr>
              <w:t>(48,082)</w:t>
            </w:r>
          </w:p>
        </w:tc>
      </w:tr>
    </w:tbl>
    <w:p w:rsidR="00617CB0" w:rsidRPr="00022D33" w:rsidRDefault="00617CB0" w:rsidP="00617CB0">
      <w:pPr>
        <w:pStyle w:val="BodyText"/>
      </w:pPr>
      <w:r w:rsidRPr="00022D33">
        <w:t xml:space="preserve">Refer also to the Schedule of Income and Expenses by Service. </w:t>
      </w:r>
    </w:p>
    <w:p w:rsidR="00617CB0" w:rsidRPr="00022D33" w:rsidRDefault="00617CB0" w:rsidP="00617CB0">
      <w:pPr>
        <w:pStyle w:val="BodyText"/>
      </w:pPr>
      <w:r w:rsidRPr="00022D33">
        <w:t>The Statement of Comprehensive Income should be read in conjunction with the accompanying notes.</w:t>
      </w:r>
    </w:p>
    <w:p w:rsidR="00617CB0" w:rsidRPr="00022D33" w:rsidRDefault="00617CB0" w:rsidP="00617CB0">
      <w:pPr>
        <w:pStyle w:val="Heading2"/>
      </w:pPr>
      <w:r w:rsidRPr="00022D33">
        <w:rPr>
          <w:rFonts w:cs="Arial"/>
          <w:sz w:val="24"/>
          <w:szCs w:val="24"/>
        </w:rPr>
        <w:br w:type="page"/>
      </w:r>
      <w:r w:rsidRPr="00022D33">
        <w:lastRenderedPageBreak/>
        <w:t>Statement of Financial Position</w:t>
      </w:r>
    </w:p>
    <w:p w:rsidR="00617CB0" w:rsidRPr="00022D33" w:rsidRDefault="00617CB0" w:rsidP="00617CB0">
      <w:pPr>
        <w:pStyle w:val="Heading3"/>
      </w:pPr>
      <w:r w:rsidRPr="00022D33">
        <w:t>For the year ended 30 June 2016</w:t>
      </w:r>
    </w:p>
    <w:p w:rsidR="00617CB0" w:rsidRPr="00022D33" w:rsidRDefault="00196F4C" w:rsidP="00617CB0">
      <w:pPr>
        <w:pStyle w:val="Caption"/>
        <w:keepNext/>
        <w:spacing w:after="60"/>
        <w:rPr>
          <w:noProof/>
        </w:rPr>
      </w:pPr>
      <w:fldSimple w:instr=" SEQ Table \* ARABIC ">
        <w:r w:rsidR="00D8778B">
          <w:rPr>
            <w:noProof/>
          </w:rPr>
          <w:t>6</w:t>
        </w:r>
      </w:fldSimple>
      <w:r w:rsidR="00617CB0" w:rsidRPr="00022D33">
        <w:rPr>
          <w:noProof/>
        </w:rPr>
        <w:t xml:space="preserve"> Statement of Financial Position. As at 30 June 2016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772"/>
        <w:gridCol w:w="1208"/>
        <w:gridCol w:w="1208"/>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p>
        </w:tc>
        <w:tc>
          <w:tcPr>
            <w:tcW w:w="772"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b/>
                <w:sz w:val="20"/>
                <w:szCs w:val="20"/>
                <w:lang w:eastAsia="en-AU"/>
              </w:rPr>
            </w:pPr>
            <w:r w:rsidRPr="00022D33">
              <w:rPr>
                <w:rFonts w:ascii="Arial" w:eastAsia="Times New Roman" w:hAnsi="Arial" w:cs="Arial"/>
                <w:b/>
                <w:sz w:val="20"/>
                <w:szCs w:val="20"/>
                <w:lang w:eastAsia="en-AU"/>
              </w:rPr>
              <w:t>Note</w:t>
            </w:r>
          </w:p>
        </w:tc>
        <w:tc>
          <w:tcPr>
            <w:tcW w:w="1208"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b/>
                <w:sz w:val="20"/>
                <w:szCs w:val="20"/>
                <w:lang w:eastAsia="en-AU"/>
              </w:rPr>
            </w:pPr>
            <w:r w:rsidRPr="00022D33">
              <w:rPr>
                <w:rFonts w:ascii="Arial" w:eastAsia="Times New Roman" w:hAnsi="Arial" w:cs="Arial"/>
                <w:b/>
                <w:sz w:val="20"/>
                <w:szCs w:val="20"/>
                <w:lang w:eastAsia="en-AU"/>
              </w:rPr>
              <w:t>2016</w:t>
            </w:r>
          </w:p>
          <w:p w:rsidR="00617CB0" w:rsidRPr="00022D33" w:rsidRDefault="00617CB0" w:rsidP="000D7011">
            <w:pPr>
              <w:spacing w:before="60" w:after="60" w:line="240" w:lineRule="auto"/>
              <w:jc w:val="right"/>
              <w:rPr>
                <w:rFonts w:ascii="Arial" w:eastAsia="Times New Roman" w:hAnsi="Arial" w:cs="Arial"/>
                <w:b/>
                <w:sz w:val="20"/>
                <w:szCs w:val="20"/>
                <w:lang w:eastAsia="en-AU"/>
              </w:rPr>
            </w:pPr>
            <w:r w:rsidRPr="00022D33">
              <w:rPr>
                <w:rFonts w:ascii="Arial" w:eastAsia="Times New Roman" w:hAnsi="Arial" w:cs="Arial"/>
                <w:b/>
                <w:sz w:val="20"/>
                <w:szCs w:val="20"/>
                <w:lang w:eastAsia="en-AU"/>
              </w:rPr>
              <w:t>$000</w:t>
            </w:r>
          </w:p>
        </w:tc>
        <w:tc>
          <w:tcPr>
            <w:tcW w:w="1208"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b/>
                <w:sz w:val="20"/>
                <w:szCs w:val="20"/>
                <w:lang w:eastAsia="en-AU"/>
              </w:rPr>
            </w:pPr>
            <w:r w:rsidRPr="00022D33">
              <w:rPr>
                <w:rFonts w:ascii="Arial" w:eastAsia="Times New Roman" w:hAnsi="Arial" w:cs="Arial"/>
                <w:b/>
                <w:sz w:val="20"/>
                <w:szCs w:val="20"/>
                <w:lang w:eastAsia="en-AU"/>
              </w:rPr>
              <w:t>2015</w:t>
            </w:r>
          </w:p>
          <w:p w:rsidR="00617CB0" w:rsidRPr="00022D33" w:rsidRDefault="00617CB0" w:rsidP="000D7011">
            <w:pPr>
              <w:spacing w:before="60" w:after="60" w:line="240" w:lineRule="auto"/>
              <w:jc w:val="right"/>
              <w:rPr>
                <w:rFonts w:ascii="Arial" w:eastAsia="Times New Roman" w:hAnsi="Arial" w:cs="Arial"/>
                <w:b/>
                <w:sz w:val="20"/>
                <w:szCs w:val="20"/>
                <w:lang w:eastAsia="en-AU"/>
              </w:rPr>
            </w:pPr>
            <w:r w:rsidRPr="00022D33">
              <w:rPr>
                <w:rFonts w:ascii="Arial" w:eastAsia="Times New Roman" w:hAnsi="Arial" w:cs="Arial"/>
                <w:b/>
                <w:sz w:val="20"/>
                <w:szCs w:val="20"/>
                <w:lang w:eastAsia="en-AU"/>
              </w:rPr>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b/>
                <w:spacing w:val="-1"/>
                <w:sz w:val="20"/>
                <w:szCs w:val="20"/>
                <w:lang w:eastAsia="en-AU"/>
              </w:rPr>
            </w:pPr>
            <w:r w:rsidRPr="00022D33">
              <w:rPr>
                <w:rFonts w:ascii="Arial" w:eastAsia="Times New Roman" w:hAnsi="Arial" w:cs="Arial"/>
                <w:b/>
                <w:spacing w:val="-1"/>
                <w:sz w:val="20"/>
                <w:szCs w:val="20"/>
                <w:lang w:eastAsia="en-AU"/>
              </w:rPr>
              <w:t>ASSETS</w:t>
            </w:r>
          </w:p>
        </w:tc>
        <w:tc>
          <w:tcPr>
            <w:tcW w:w="772"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b/>
                <w:spacing w:val="-1"/>
                <w:sz w:val="20"/>
                <w:szCs w:val="20"/>
                <w:lang w:eastAsia="en-AU"/>
              </w:rPr>
            </w:pPr>
          </w:p>
        </w:tc>
        <w:tc>
          <w:tcPr>
            <w:tcW w:w="1208"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b/>
                <w:spacing w:val="-1"/>
                <w:sz w:val="20"/>
                <w:szCs w:val="20"/>
                <w:lang w:eastAsia="en-AU"/>
              </w:rPr>
            </w:pPr>
          </w:p>
        </w:tc>
        <w:tc>
          <w:tcPr>
            <w:tcW w:w="1208"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b/>
                <w:spacing w:val="-1"/>
                <w:sz w:val="20"/>
                <w:szCs w:val="20"/>
                <w:lang w:eastAsia="en-AU"/>
              </w:rPr>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b/>
                <w:spacing w:val="-1"/>
                <w:sz w:val="20"/>
                <w:szCs w:val="20"/>
                <w:lang w:eastAsia="en-AU"/>
              </w:rPr>
            </w:pPr>
            <w:r w:rsidRPr="00022D33">
              <w:rPr>
                <w:rFonts w:ascii="Arial" w:eastAsia="Times New Roman" w:hAnsi="Arial" w:cs="Arial"/>
                <w:b/>
                <w:spacing w:val="-1"/>
                <w:sz w:val="20"/>
                <w:szCs w:val="20"/>
                <w:lang w:eastAsia="en-AU"/>
              </w:rPr>
              <w:t>Current assets</w:t>
            </w:r>
          </w:p>
        </w:tc>
        <w:tc>
          <w:tcPr>
            <w:tcW w:w="772"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b/>
                <w:spacing w:val="-1"/>
                <w:sz w:val="20"/>
                <w:szCs w:val="20"/>
                <w:lang w:eastAsia="en-AU"/>
              </w:rPr>
            </w:pPr>
          </w:p>
        </w:tc>
        <w:tc>
          <w:tcPr>
            <w:tcW w:w="1208"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b/>
                <w:spacing w:val="-1"/>
                <w:sz w:val="20"/>
                <w:szCs w:val="20"/>
                <w:lang w:eastAsia="en-AU"/>
              </w:rPr>
            </w:pPr>
          </w:p>
        </w:tc>
        <w:tc>
          <w:tcPr>
            <w:tcW w:w="1208"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b/>
                <w:spacing w:val="-1"/>
                <w:sz w:val="20"/>
                <w:szCs w:val="20"/>
                <w:lang w:eastAsia="en-AU"/>
              </w:rPr>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Cash and cash equivalents</w:t>
            </w:r>
          </w:p>
        </w:tc>
        <w:tc>
          <w:tcPr>
            <w:tcW w:w="772"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18</w:t>
            </w:r>
          </w:p>
        </w:tc>
        <w:tc>
          <w:tcPr>
            <w:tcW w:w="1208"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85,247</w:t>
            </w:r>
          </w:p>
        </w:tc>
        <w:tc>
          <w:tcPr>
            <w:tcW w:w="1208"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58,905</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 xml:space="preserve">Restricted cash and cash equivalents </w:t>
            </w:r>
          </w:p>
        </w:tc>
        <w:tc>
          <w:tcPr>
            <w:tcW w:w="772"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19</w:t>
            </w:r>
          </w:p>
        </w:tc>
        <w:tc>
          <w:tcPr>
            <w:tcW w:w="1208"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12,983</w:t>
            </w:r>
          </w:p>
        </w:tc>
        <w:tc>
          <w:tcPr>
            <w:tcW w:w="1208"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14,887</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Receivables</w:t>
            </w:r>
          </w:p>
        </w:tc>
        <w:tc>
          <w:tcPr>
            <w:tcW w:w="772"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20</w:t>
            </w:r>
          </w:p>
        </w:tc>
        <w:tc>
          <w:tcPr>
            <w:tcW w:w="1208"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309,036</w:t>
            </w:r>
          </w:p>
        </w:tc>
        <w:tc>
          <w:tcPr>
            <w:tcW w:w="1208"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305,511</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 xml:space="preserve">Finance lease receivables </w:t>
            </w:r>
          </w:p>
        </w:tc>
        <w:tc>
          <w:tcPr>
            <w:tcW w:w="772"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21</w:t>
            </w:r>
          </w:p>
        </w:tc>
        <w:tc>
          <w:tcPr>
            <w:tcW w:w="1208"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583</w:t>
            </w:r>
          </w:p>
        </w:tc>
        <w:tc>
          <w:tcPr>
            <w:tcW w:w="1208"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560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Inventories</w:t>
            </w:r>
          </w:p>
        </w:tc>
        <w:tc>
          <w:tcPr>
            <w:tcW w:w="772"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22</w:t>
            </w:r>
          </w:p>
        </w:tc>
        <w:tc>
          <w:tcPr>
            <w:tcW w:w="1208"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w:t>
            </w:r>
          </w:p>
        </w:tc>
        <w:tc>
          <w:tcPr>
            <w:tcW w:w="1208"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88</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 xml:space="preserve">Amounts receivable for services </w:t>
            </w:r>
          </w:p>
        </w:tc>
        <w:tc>
          <w:tcPr>
            <w:tcW w:w="772"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23</w:t>
            </w:r>
          </w:p>
        </w:tc>
        <w:tc>
          <w:tcPr>
            <w:tcW w:w="1208"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1,531</w:t>
            </w:r>
          </w:p>
        </w:tc>
        <w:tc>
          <w:tcPr>
            <w:tcW w:w="1208"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1,469</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Other current assets</w:t>
            </w:r>
          </w:p>
        </w:tc>
        <w:tc>
          <w:tcPr>
            <w:tcW w:w="772"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24</w:t>
            </w:r>
          </w:p>
        </w:tc>
        <w:tc>
          <w:tcPr>
            <w:tcW w:w="1208" w:type="dxa"/>
            <w:tcBorders>
              <w:top w:val="nil"/>
              <w:left w:val="nil"/>
              <w:bottom w:val="single" w:sz="4" w:space="0" w:color="auto"/>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28,852</w:t>
            </w:r>
          </w:p>
        </w:tc>
        <w:tc>
          <w:tcPr>
            <w:tcW w:w="1208" w:type="dxa"/>
            <w:tcBorders>
              <w:top w:val="nil"/>
              <w:left w:val="nil"/>
              <w:bottom w:val="single" w:sz="4" w:space="0" w:color="auto"/>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25,565</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b/>
                <w:sz w:val="20"/>
                <w:szCs w:val="20"/>
                <w:lang w:eastAsia="en-AU"/>
              </w:rPr>
            </w:pPr>
            <w:r w:rsidRPr="00022D33">
              <w:rPr>
                <w:rFonts w:ascii="Arial" w:eastAsia="Times New Roman" w:hAnsi="Arial" w:cs="Arial"/>
                <w:b/>
                <w:sz w:val="20"/>
                <w:szCs w:val="20"/>
                <w:lang w:eastAsia="en-AU"/>
              </w:rPr>
              <w:t>Total current assets</w:t>
            </w:r>
          </w:p>
        </w:tc>
        <w:tc>
          <w:tcPr>
            <w:tcW w:w="772"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p>
        </w:tc>
        <w:tc>
          <w:tcPr>
            <w:tcW w:w="1208" w:type="dxa"/>
            <w:tcBorders>
              <w:top w:val="single" w:sz="4" w:space="0" w:color="auto"/>
              <w:left w:val="nil"/>
              <w:bottom w:val="single" w:sz="4" w:space="0" w:color="auto"/>
              <w:right w:val="nil"/>
            </w:tcBorders>
          </w:tcPr>
          <w:p w:rsidR="00617CB0" w:rsidRPr="00022D33" w:rsidRDefault="00617CB0" w:rsidP="000D7011">
            <w:pPr>
              <w:spacing w:before="60" w:after="60" w:line="240" w:lineRule="auto"/>
              <w:jc w:val="right"/>
              <w:rPr>
                <w:rFonts w:ascii="Arial" w:eastAsia="Times New Roman" w:hAnsi="Arial" w:cs="Arial"/>
                <w:b/>
                <w:spacing w:val="-1"/>
                <w:sz w:val="20"/>
                <w:szCs w:val="20"/>
                <w:lang w:eastAsia="en-AU"/>
              </w:rPr>
            </w:pPr>
            <w:r w:rsidRPr="00022D33">
              <w:rPr>
                <w:rFonts w:ascii="Arial" w:eastAsia="Times New Roman" w:hAnsi="Arial" w:cs="Arial"/>
                <w:b/>
                <w:spacing w:val="-1"/>
                <w:sz w:val="20"/>
                <w:szCs w:val="20"/>
                <w:lang w:eastAsia="en-AU"/>
              </w:rPr>
              <w:t>438,232</w:t>
            </w:r>
          </w:p>
        </w:tc>
        <w:tc>
          <w:tcPr>
            <w:tcW w:w="1208" w:type="dxa"/>
            <w:tcBorders>
              <w:top w:val="single" w:sz="4" w:space="0" w:color="auto"/>
              <w:left w:val="nil"/>
              <w:bottom w:val="single" w:sz="4" w:space="0" w:color="auto"/>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b/>
                <w:spacing w:val="-1"/>
                <w:sz w:val="20"/>
                <w:szCs w:val="20"/>
                <w:lang w:eastAsia="en-AU"/>
              </w:rPr>
              <w:t>406,985</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b/>
                <w:spacing w:val="-1"/>
                <w:sz w:val="20"/>
                <w:szCs w:val="20"/>
                <w:lang w:eastAsia="en-AU"/>
              </w:rPr>
            </w:pPr>
          </w:p>
        </w:tc>
        <w:tc>
          <w:tcPr>
            <w:tcW w:w="772"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b/>
                <w:spacing w:val="-1"/>
                <w:sz w:val="20"/>
                <w:szCs w:val="20"/>
                <w:lang w:eastAsia="en-AU"/>
              </w:rPr>
            </w:pPr>
          </w:p>
        </w:tc>
        <w:tc>
          <w:tcPr>
            <w:tcW w:w="1208"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b/>
                <w:spacing w:val="-1"/>
                <w:sz w:val="20"/>
                <w:szCs w:val="20"/>
                <w:lang w:eastAsia="en-AU"/>
              </w:rPr>
            </w:pPr>
          </w:p>
        </w:tc>
        <w:tc>
          <w:tcPr>
            <w:tcW w:w="1208"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b/>
                <w:spacing w:val="-1"/>
                <w:sz w:val="20"/>
                <w:szCs w:val="20"/>
                <w:lang w:eastAsia="en-AU"/>
              </w:rPr>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b/>
                <w:spacing w:val="-1"/>
                <w:sz w:val="20"/>
                <w:szCs w:val="20"/>
                <w:lang w:eastAsia="en-AU"/>
              </w:rPr>
            </w:pPr>
            <w:r w:rsidRPr="00022D33">
              <w:rPr>
                <w:rFonts w:ascii="Arial" w:eastAsia="Times New Roman" w:hAnsi="Arial" w:cs="Arial"/>
                <w:b/>
                <w:spacing w:val="-1"/>
                <w:sz w:val="20"/>
                <w:szCs w:val="20"/>
                <w:lang w:eastAsia="en-AU"/>
              </w:rPr>
              <w:t>Non-current assets</w:t>
            </w:r>
          </w:p>
        </w:tc>
        <w:tc>
          <w:tcPr>
            <w:tcW w:w="772"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b/>
                <w:spacing w:val="-1"/>
                <w:sz w:val="20"/>
                <w:szCs w:val="20"/>
                <w:lang w:eastAsia="en-AU"/>
              </w:rPr>
            </w:pPr>
          </w:p>
        </w:tc>
        <w:tc>
          <w:tcPr>
            <w:tcW w:w="1208"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b/>
                <w:spacing w:val="-1"/>
                <w:sz w:val="20"/>
                <w:szCs w:val="20"/>
                <w:lang w:eastAsia="en-AU"/>
              </w:rPr>
            </w:pPr>
          </w:p>
        </w:tc>
        <w:tc>
          <w:tcPr>
            <w:tcW w:w="1208"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b/>
                <w:spacing w:val="-1"/>
                <w:sz w:val="20"/>
                <w:szCs w:val="20"/>
                <w:lang w:eastAsia="en-AU"/>
              </w:rPr>
            </w:pPr>
            <w:r w:rsidRPr="00022D33">
              <w:rPr>
                <w:rFonts w:ascii="Arial" w:eastAsia="Times New Roman" w:hAnsi="Arial" w:cs="Arial"/>
                <w:b/>
                <w:spacing w:val="-1"/>
                <w:sz w:val="20"/>
                <w:szCs w:val="20"/>
                <w:lang w:eastAsia="en-AU"/>
              </w:rPr>
              <w:t>-</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 xml:space="preserve">Finance lease receivables </w:t>
            </w:r>
          </w:p>
        </w:tc>
        <w:tc>
          <w:tcPr>
            <w:tcW w:w="772"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21</w:t>
            </w:r>
          </w:p>
        </w:tc>
        <w:tc>
          <w:tcPr>
            <w:tcW w:w="1208"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1,214</w:t>
            </w:r>
          </w:p>
        </w:tc>
        <w:tc>
          <w:tcPr>
            <w:tcW w:w="1208"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1,588</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Amounts receivable for services</w:t>
            </w:r>
          </w:p>
        </w:tc>
        <w:tc>
          <w:tcPr>
            <w:tcW w:w="772"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23</w:t>
            </w:r>
          </w:p>
        </w:tc>
        <w:tc>
          <w:tcPr>
            <w:tcW w:w="1208"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410,183</w:t>
            </w:r>
          </w:p>
        </w:tc>
        <w:tc>
          <w:tcPr>
            <w:tcW w:w="1208"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380,682</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 xml:space="preserve">Property, plant, equipment and vehicles </w:t>
            </w:r>
          </w:p>
        </w:tc>
        <w:tc>
          <w:tcPr>
            <w:tcW w:w="772"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25</w:t>
            </w:r>
          </w:p>
        </w:tc>
        <w:tc>
          <w:tcPr>
            <w:tcW w:w="1208"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753,834</w:t>
            </w:r>
          </w:p>
        </w:tc>
        <w:tc>
          <w:tcPr>
            <w:tcW w:w="1208"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804,702</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Intangible assets</w:t>
            </w:r>
          </w:p>
        </w:tc>
        <w:tc>
          <w:tcPr>
            <w:tcW w:w="772"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27</w:t>
            </w:r>
          </w:p>
        </w:tc>
        <w:tc>
          <w:tcPr>
            <w:tcW w:w="1208"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29,516</w:t>
            </w:r>
          </w:p>
        </w:tc>
        <w:tc>
          <w:tcPr>
            <w:tcW w:w="1208"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30,385</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Other non-current assets</w:t>
            </w:r>
          </w:p>
        </w:tc>
        <w:tc>
          <w:tcPr>
            <w:tcW w:w="772"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24</w:t>
            </w:r>
          </w:p>
        </w:tc>
        <w:tc>
          <w:tcPr>
            <w:tcW w:w="1208" w:type="dxa"/>
            <w:tcBorders>
              <w:top w:val="nil"/>
              <w:left w:val="nil"/>
              <w:bottom w:val="single" w:sz="4" w:space="0" w:color="auto"/>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2,129</w:t>
            </w:r>
          </w:p>
        </w:tc>
        <w:tc>
          <w:tcPr>
            <w:tcW w:w="1208" w:type="dxa"/>
            <w:tcBorders>
              <w:top w:val="nil"/>
              <w:left w:val="nil"/>
              <w:bottom w:val="single" w:sz="4" w:space="0" w:color="auto"/>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1,170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b/>
                <w:sz w:val="20"/>
                <w:szCs w:val="20"/>
                <w:lang w:eastAsia="en-AU"/>
              </w:rPr>
            </w:pPr>
            <w:r w:rsidRPr="00022D33">
              <w:rPr>
                <w:rFonts w:ascii="Arial" w:eastAsia="Times New Roman" w:hAnsi="Arial" w:cs="Arial"/>
                <w:b/>
                <w:sz w:val="20"/>
                <w:szCs w:val="20"/>
                <w:lang w:eastAsia="en-AU"/>
              </w:rPr>
              <w:t xml:space="preserve">Total non-current assets </w:t>
            </w:r>
          </w:p>
        </w:tc>
        <w:tc>
          <w:tcPr>
            <w:tcW w:w="772"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p>
        </w:tc>
        <w:tc>
          <w:tcPr>
            <w:tcW w:w="1208" w:type="dxa"/>
            <w:tcBorders>
              <w:top w:val="single" w:sz="4" w:space="0" w:color="auto"/>
              <w:left w:val="nil"/>
              <w:bottom w:val="single" w:sz="4" w:space="0" w:color="auto"/>
              <w:right w:val="nil"/>
            </w:tcBorders>
          </w:tcPr>
          <w:p w:rsidR="00617CB0" w:rsidRPr="00022D33" w:rsidRDefault="00617CB0" w:rsidP="000D7011">
            <w:pPr>
              <w:spacing w:before="60" w:after="60" w:line="240" w:lineRule="auto"/>
              <w:jc w:val="right"/>
              <w:rPr>
                <w:rFonts w:ascii="Arial" w:eastAsia="Times New Roman" w:hAnsi="Arial" w:cs="Arial"/>
                <w:b/>
                <w:sz w:val="20"/>
                <w:szCs w:val="20"/>
                <w:lang w:eastAsia="en-AU"/>
              </w:rPr>
            </w:pPr>
            <w:r w:rsidRPr="00022D33">
              <w:rPr>
                <w:rFonts w:ascii="Arial" w:eastAsia="Times New Roman" w:hAnsi="Arial" w:cs="Arial"/>
                <w:b/>
                <w:sz w:val="20"/>
                <w:szCs w:val="20"/>
                <w:lang w:eastAsia="en-AU"/>
              </w:rPr>
              <w:t>1,196,876</w:t>
            </w:r>
          </w:p>
        </w:tc>
        <w:tc>
          <w:tcPr>
            <w:tcW w:w="1208" w:type="dxa"/>
            <w:tcBorders>
              <w:top w:val="single" w:sz="4" w:space="0" w:color="auto"/>
              <w:left w:val="nil"/>
              <w:bottom w:val="single" w:sz="4" w:space="0" w:color="auto"/>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b/>
                <w:sz w:val="20"/>
                <w:szCs w:val="20"/>
                <w:lang w:eastAsia="en-AU"/>
              </w:rPr>
            </w:pPr>
            <w:r w:rsidRPr="00022D33">
              <w:rPr>
                <w:rFonts w:ascii="Arial" w:eastAsia="Times New Roman" w:hAnsi="Arial" w:cs="Arial"/>
                <w:b/>
                <w:sz w:val="20"/>
                <w:szCs w:val="20"/>
                <w:lang w:eastAsia="en-AU"/>
              </w:rPr>
              <w:t>1,218,527</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b/>
                <w:sz w:val="20"/>
                <w:szCs w:val="20"/>
                <w:lang w:eastAsia="en-AU"/>
              </w:rPr>
            </w:pPr>
            <w:r w:rsidRPr="00022D33">
              <w:rPr>
                <w:rFonts w:ascii="Arial" w:eastAsia="Times New Roman" w:hAnsi="Arial" w:cs="Arial"/>
                <w:b/>
                <w:sz w:val="20"/>
                <w:szCs w:val="20"/>
                <w:lang w:eastAsia="en-AU"/>
              </w:rPr>
              <w:t>TOTAL ASSETS</w:t>
            </w:r>
          </w:p>
        </w:tc>
        <w:tc>
          <w:tcPr>
            <w:tcW w:w="772"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p>
        </w:tc>
        <w:tc>
          <w:tcPr>
            <w:tcW w:w="1208" w:type="dxa"/>
            <w:tcBorders>
              <w:top w:val="single" w:sz="4" w:space="0" w:color="auto"/>
              <w:left w:val="nil"/>
              <w:bottom w:val="double" w:sz="4" w:space="0" w:color="auto"/>
              <w:right w:val="nil"/>
            </w:tcBorders>
          </w:tcPr>
          <w:p w:rsidR="00617CB0" w:rsidRPr="00022D33" w:rsidRDefault="00617CB0" w:rsidP="000D7011">
            <w:pPr>
              <w:spacing w:before="60" w:after="60" w:line="240" w:lineRule="auto"/>
              <w:jc w:val="right"/>
              <w:rPr>
                <w:rFonts w:ascii="Arial" w:eastAsia="Times New Roman" w:hAnsi="Arial" w:cs="Arial"/>
                <w:b/>
                <w:sz w:val="20"/>
                <w:szCs w:val="20"/>
                <w:lang w:eastAsia="en-AU"/>
              </w:rPr>
            </w:pPr>
            <w:r w:rsidRPr="00022D33">
              <w:rPr>
                <w:rFonts w:ascii="Arial" w:eastAsia="Times New Roman" w:hAnsi="Arial" w:cs="Arial"/>
                <w:b/>
                <w:sz w:val="20"/>
                <w:szCs w:val="20"/>
                <w:lang w:eastAsia="en-AU"/>
              </w:rPr>
              <w:t>1,635,108</w:t>
            </w:r>
          </w:p>
        </w:tc>
        <w:tc>
          <w:tcPr>
            <w:tcW w:w="1208" w:type="dxa"/>
            <w:tcBorders>
              <w:top w:val="single" w:sz="4" w:space="0" w:color="auto"/>
              <w:left w:val="nil"/>
              <w:bottom w:val="double" w:sz="4" w:space="0" w:color="auto"/>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b/>
                <w:sz w:val="20"/>
                <w:szCs w:val="20"/>
                <w:lang w:eastAsia="en-AU"/>
              </w:rPr>
            </w:pPr>
            <w:r w:rsidRPr="00022D33">
              <w:rPr>
                <w:rFonts w:ascii="Arial" w:eastAsia="Times New Roman" w:hAnsi="Arial" w:cs="Arial"/>
                <w:b/>
                <w:sz w:val="20"/>
                <w:szCs w:val="20"/>
                <w:lang w:eastAsia="en-AU"/>
              </w:rPr>
              <w:t>1,625,512</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p>
        </w:tc>
        <w:tc>
          <w:tcPr>
            <w:tcW w:w="772"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p>
        </w:tc>
        <w:tc>
          <w:tcPr>
            <w:tcW w:w="1208"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p>
        </w:tc>
        <w:tc>
          <w:tcPr>
            <w:tcW w:w="1208"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b/>
                <w:spacing w:val="-1"/>
                <w:sz w:val="20"/>
                <w:szCs w:val="20"/>
                <w:lang w:eastAsia="en-AU"/>
              </w:rPr>
            </w:pPr>
            <w:r w:rsidRPr="00022D33">
              <w:rPr>
                <w:rFonts w:ascii="Arial" w:eastAsia="Times New Roman" w:hAnsi="Arial" w:cs="Arial"/>
                <w:b/>
                <w:spacing w:val="-1"/>
                <w:sz w:val="20"/>
                <w:szCs w:val="20"/>
                <w:lang w:eastAsia="en-AU"/>
              </w:rPr>
              <w:t>LIABILITIES</w:t>
            </w:r>
          </w:p>
        </w:tc>
        <w:tc>
          <w:tcPr>
            <w:tcW w:w="772"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b/>
                <w:spacing w:val="-1"/>
                <w:sz w:val="20"/>
                <w:szCs w:val="20"/>
                <w:lang w:eastAsia="en-AU"/>
              </w:rPr>
            </w:pPr>
          </w:p>
        </w:tc>
        <w:tc>
          <w:tcPr>
            <w:tcW w:w="1208"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b/>
                <w:spacing w:val="-1"/>
                <w:sz w:val="20"/>
                <w:szCs w:val="20"/>
                <w:lang w:eastAsia="en-AU"/>
              </w:rPr>
            </w:pPr>
          </w:p>
        </w:tc>
        <w:tc>
          <w:tcPr>
            <w:tcW w:w="1208"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b/>
                <w:spacing w:val="-1"/>
                <w:sz w:val="20"/>
                <w:szCs w:val="20"/>
                <w:lang w:eastAsia="en-AU"/>
              </w:rPr>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b/>
                <w:spacing w:val="-1"/>
                <w:sz w:val="20"/>
                <w:szCs w:val="20"/>
                <w:lang w:eastAsia="en-AU"/>
              </w:rPr>
            </w:pPr>
            <w:r w:rsidRPr="00022D33">
              <w:rPr>
                <w:rFonts w:ascii="Arial" w:eastAsia="Times New Roman" w:hAnsi="Arial" w:cs="Arial"/>
                <w:b/>
                <w:spacing w:val="-1"/>
                <w:sz w:val="20"/>
                <w:szCs w:val="20"/>
                <w:lang w:eastAsia="en-AU"/>
              </w:rPr>
              <w:t>Current liabilities</w:t>
            </w:r>
          </w:p>
        </w:tc>
        <w:tc>
          <w:tcPr>
            <w:tcW w:w="772"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b/>
                <w:spacing w:val="-1"/>
                <w:sz w:val="20"/>
                <w:szCs w:val="20"/>
                <w:lang w:eastAsia="en-AU"/>
              </w:rPr>
            </w:pPr>
          </w:p>
        </w:tc>
        <w:tc>
          <w:tcPr>
            <w:tcW w:w="1208"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b/>
                <w:spacing w:val="-1"/>
                <w:sz w:val="20"/>
                <w:szCs w:val="20"/>
                <w:lang w:eastAsia="en-AU"/>
              </w:rPr>
            </w:pPr>
          </w:p>
        </w:tc>
        <w:tc>
          <w:tcPr>
            <w:tcW w:w="1208"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b/>
                <w:spacing w:val="-1"/>
                <w:sz w:val="20"/>
                <w:szCs w:val="20"/>
                <w:lang w:eastAsia="en-AU"/>
              </w:rPr>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 xml:space="preserve">Payables </w:t>
            </w:r>
          </w:p>
        </w:tc>
        <w:tc>
          <w:tcPr>
            <w:tcW w:w="772"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29</w:t>
            </w:r>
          </w:p>
        </w:tc>
        <w:tc>
          <w:tcPr>
            <w:tcW w:w="1208"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301,837</w:t>
            </w:r>
          </w:p>
        </w:tc>
        <w:tc>
          <w:tcPr>
            <w:tcW w:w="1208"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316,057</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 xml:space="preserve">Borrowings </w:t>
            </w:r>
          </w:p>
        </w:tc>
        <w:tc>
          <w:tcPr>
            <w:tcW w:w="772"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30</w:t>
            </w:r>
          </w:p>
        </w:tc>
        <w:tc>
          <w:tcPr>
            <w:tcW w:w="1208"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30,302</w:t>
            </w:r>
          </w:p>
        </w:tc>
        <w:tc>
          <w:tcPr>
            <w:tcW w:w="1208"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39,413</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Provisions</w:t>
            </w:r>
          </w:p>
        </w:tc>
        <w:tc>
          <w:tcPr>
            <w:tcW w:w="772"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31</w:t>
            </w:r>
          </w:p>
        </w:tc>
        <w:tc>
          <w:tcPr>
            <w:tcW w:w="1208"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27,889</w:t>
            </w:r>
          </w:p>
        </w:tc>
        <w:tc>
          <w:tcPr>
            <w:tcW w:w="1208"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30,200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 xml:space="preserve">Lease incentive </w:t>
            </w:r>
          </w:p>
        </w:tc>
        <w:tc>
          <w:tcPr>
            <w:tcW w:w="772"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32</w:t>
            </w:r>
          </w:p>
        </w:tc>
        <w:tc>
          <w:tcPr>
            <w:tcW w:w="1208"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9,612</w:t>
            </w:r>
          </w:p>
        </w:tc>
        <w:tc>
          <w:tcPr>
            <w:tcW w:w="1208"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5,747</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b/>
                <w:sz w:val="20"/>
                <w:szCs w:val="20"/>
                <w:lang w:eastAsia="en-AU"/>
              </w:rPr>
            </w:pPr>
          </w:p>
        </w:tc>
        <w:tc>
          <w:tcPr>
            <w:tcW w:w="772"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p>
        </w:tc>
        <w:tc>
          <w:tcPr>
            <w:tcW w:w="1208" w:type="dxa"/>
            <w:tcBorders>
              <w:top w:val="single" w:sz="4" w:space="0" w:color="auto"/>
              <w:left w:val="nil"/>
              <w:bottom w:val="single" w:sz="4" w:space="0" w:color="auto"/>
              <w:right w:val="nil"/>
            </w:tcBorders>
          </w:tcPr>
          <w:p w:rsidR="00617CB0" w:rsidRPr="00022D33" w:rsidRDefault="00617CB0" w:rsidP="000D7011">
            <w:pPr>
              <w:spacing w:before="60" w:after="60" w:line="240" w:lineRule="auto"/>
              <w:jc w:val="right"/>
              <w:rPr>
                <w:rFonts w:ascii="Arial" w:eastAsia="Times New Roman" w:hAnsi="Arial" w:cs="Arial"/>
                <w:b/>
                <w:sz w:val="20"/>
                <w:szCs w:val="20"/>
                <w:lang w:eastAsia="en-AU"/>
              </w:rPr>
            </w:pPr>
            <w:r w:rsidRPr="00022D33">
              <w:rPr>
                <w:rFonts w:ascii="Arial" w:eastAsia="Times New Roman" w:hAnsi="Arial" w:cs="Arial"/>
                <w:b/>
                <w:sz w:val="20"/>
                <w:szCs w:val="20"/>
                <w:lang w:eastAsia="en-AU"/>
              </w:rPr>
              <w:t>369,640</w:t>
            </w:r>
          </w:p>
        </w:tc>
        <w:tc>
          <w:tcPr>
            <w:tcW w:w="1208" w:type="dxa"/>
            <w:tcBorders>
              <w:top w:val="single" w:sz="4" w:space="0" w:color="auto"/>
              <w:left w:val="nil"/>
              <w:bottom w:val="single" w:sz="4" w:space="0" w:color="auto"/>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b/>
                <w:sz w:val="20"/>
                <w:szCs w:val="20"/>
                <w:lang w:eastAsia="en-AU"/>
              </w:rPr>
            </w:pPr>
            <w:r w:rsidRPr="00022D33">
              <w:rPr>
                <w:rFonts w:ascii="Arial" w:eastAsia="Times New Roman" w:hAnsi="Arial" w:cs="Arial"/>
                <w:b/>
                <w:sz w:val="20"/>
                <w:szCs w:val="20"/>
                <w:lang w:eastAsia="en-AU"/>
              </w:rPr>
              <w:t>391,418</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p>
        </w:tc>
        <w:tc>
          <w:tcPr>
            <w:tcW w:w="772"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p>
        </w:tc>
        <w:tc>
          <w:tcPr>
            <w:tcW w:w="1208"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p>
        </w:tc>
        <w:tc>
          <w:tcPr>
            <w:tcW w:w="1208"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b/>
                <w:spacing w:val="-1"/>
                <w:sz w:val="20"/>
                <w:szCs w:val="20"/>
                <w:lang w:eastAsia="en-AU"/>
              </w:rPr>
            </w:pPr>
            <w:r w:rsidRPr="00022D33">
              <w:rPr>
                <w:rFonts w:ascii="Arial" w:eastAsia="Times New Roman" w:hAnsi="Arial" w:cs="Arial"/>
                <w:b/>
                <w:spacing w:val="-1"/>
                <w:sz w:val="20"/>
                <w:szCs w:val="20"/>
                <w:lang w:eastAsia="en-AU"/>
              </w:rPr>
              <w:t xml:space="preserve">Non-current liabilities </w:t>
            </w:r>
          </w:p>
        </w:tc>
        <w:tc>
          <w:tcPr>
            <w:tcW w:w="772"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b/>
                <w:spacing w:val="-1"/>
                <w:sz w:val="20"/>
                <w:szCs w:val="20"/>
                <w:lang w:eastAsia="en-AU"/>
              </w:rPr>
            </w:pPr>
          </w:p>
        </w:tc>
        <w:tc>
          <w:tcPr>
            <w:tcW w:w="1208"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b/>
                <w:spacing w:val="-1"/>
                <w:sz w:val="20"/>
                <w:szCs w:val="20"/>
                <w:lang w:eastAsia="en-AU"/>
              </w:rPr>
            </w:pPr>
          </w:p>
        </w:tc>
        <w:tc>
          <w:tcPr>
            <w:tcW w:w="1208"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b/>
                <w:spacing w:val="-1"/>
                <w:sz w:val="20"/>
                <w:szCs w:val="20"/>
                <w:lang w:eastAsia="en-AU"/>
              </w:rPr>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 xml:space="preserve">Borrowings </w:t>
            </w:r>
          </w:p>
        </w:tc>
        <w:tc>
          <w:tcPr>
            <w:tcW w:w="772"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30</w:t>
            </w:r>
          </w:p>
        </w:tc>
        <w:tc>
          <w:tcPr>
            <w:tcW w:w="1208"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98,014</w:t>
            </w:r>
          </w:p>
        </w:tc>
        <w:tc>
          <w:tcPr>
            <w:tcW w:w="1208"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103,681</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 xml:space="preserve">Provisions </w:t>
            </w:r>
          </w:p>
        </w:tc>
        <w:tc>
          <w:tcPr>
            <w:tcW w:w="772"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31</w:t>
            </w:r>
          </w:p>
        </w:tc>
        <w:tc>
          <w:tcPr>
            <w:tcW w:w="1208"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6,869</w:t>
            </w:r>
          </w:p>
        </w:tc>
        <w:tc>
          <w:tcPr>
            <w:tcW w:w="1208"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7,250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Lease incentive</w:t>
            </w:r>
          </w:p>
        </w:tc>
        <w:tc>
          <w:tcPr>
            <w:tcW w:w="772"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32</w:t>
            </w:r>
          </w:p>
        </w:tc>
        <w:tc>
          <w:tcPr>
            <w:tcW w:w="1208" w:type="dxa"/>
            <w:tcBorders>
              <w:top w:val="nil"/>
              <w:left w:val="nil"/>
              <w:bottom w:val="single" w:sz="4" w:space="0" w:color="auto"/>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85,349</w:t>
            </w:r>
          </w:p>
        </w:tc>
        <w:tc>
          <w:tcPr>
            <w:tcW w:w="1208" w:type="dxa"/>
            <w:tcBorders>
              <w:top w:val="nil"/>
              <w:left w:val="nil"/>
              <w:bottom w:val="single" w:sz="4" w:space="0" w:color="auto"/>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39,120</w:t>
            </w:r>
          </w:p>
        </w:tc>
      </w:tr>
      <w:tr w:rsidR="00617CB0" w:rsidRPr="00980C21" w:rsidTr="000D7011">
        <w:tc>
          <w:tcPr>
            <w:tcW w:w="5629" w:type="dxa"/>
            <w:tcBorders>
              <w:top w:val="nil"/>
              <w:left w:val="nil"/>
              <w:bottom w:val="nil"/>
              <w:right w:val="nil"/>
            </w:tcBorders>
            <w:shd w:val="clear" w:color="auto" w:fill="auto"/>
          </w:tcPr>
          <w:p w:rsidR="00617CB0" w:rsidRPr="00980C21" w:rsidRDefault="00617CB0" w:rsidP="000D7011">
            <w:pPr>
              <w:spacing w:before="60" w:after="60" w:line="240" w:lineRule="auto"/>
              <w:jc w:val="right"/>
              <w:rPr>
                <w:rFonts w:ascii="Arial" w:eastAsia="Times New Roman" w:hAnsi="Arial" w:cs="Arial"/>
                <w:b/>
                <w:spacing w:val="-1"/>
                <w:sz w:val="20"/>
                <w:szCs w:val="20"/>
                <w:lang w:eastAsia="en-AU"/>
              </w:rPr>
            </w:pPr>
          </w:p>
        </w:tc>
        <w:tc>
          <w:tcPr>
            <w:tcW w:w="772" w:type="dxa"/>
            <w:tcBorders>
              <w:top w:val="nil"/>
              <w:left w:val="nil"/>
              <w:bottom w:val="nil"/>
              <w:right w:val="nil"/>
            </w:tcBorders>
            <w:shd w:val="clear" w:color="auto" w:fill="auto"/>
          </w:tcPr>
          <w:p w:rsidR="00617CB0" w:rsidRPr="00980C21" w:rsidRDefault="00617CB0" w:rsidP="000D7011">
            <w:pPr>
              <w:spacing w:before="60" w:after="60" w:line="240" w:lineRule="auto"/>
              <w:jc w:val="right"/>
              <w:rPr>
                <w:rFonts w:ascii="Arial" w:eastAsia="Times New Roman" w:hAnsi="Arial" w:cs="Arial"/>
                <w:b/>
                <w:spacing w:val="-1"/>
                <w:sz w:val="20"/>
                <w:szCs w:val="20"/>
                <w:lang w:eastAsia="en-AU"/>
              </w:rPr>
            </w:pPr>
            <w:r w:rsidRPr="00980C21">
              <w:rPr>
                <w:rFonts w:ascii="Arial" w:eastAsia="Times New Roman" w:hAnsi="Arial" w:cs="Arial"/>
                <w:b/>
                <w:spacing w:val="-1"/>
                <w:sz w:val="20"/>
                <w:szCs w:val="20"/>
                <w:lang w:eastAsia="en-AU"/>
              </w:rPr>
              <w:t>Note</w:t>
            </w:r>
          </w:p>
        </w:tc>
        <w:tc>
          <w:tcPr>
            <w:tcW w:w="1208" w:type="dxa"/>
            <w:tcBorders>
              <w:top w:val="nil"/>
              <w:left w:val="nil"/>
              <w:bottom w:val="single" w:sz="4" w:space="0" w:color="auto"/>
              <w:right w:val="nil"/>
            </w:tcBorders>
          </w:tcPr>
          <w:p w:rsidR="00617CB0" w:rsidRPr="00980C21" w:rsidRDefault="00617CB0" w:rsidP="000D7011">
            <w:pPr>
              <w:spacing w:before="60" w:after="60" w:line="240" w:lineRule="auto"/>
              <w:jc w:val="right"/>
              <w:rPr>
                <w:rFonts w:ascii="Arial" w:eastAsia="Times New Roman" w:hAnsi="Arial" w:cs="Arial"/>
                <w:b/>
                <w:spacing w:val="-1"/>
                <w:sz w:val="20"/>
                <w:szCs w:val="20"/>
                <w:lang w:eastAsia="en-AU"/>
              </w:rPr>
            </w:pPr>
            <w:r w:rsidRPr="00980C21">
              <w:rPr>
                <w:rFonts w:ascii="Arial" w:eastAsia="Times New Roman" w:hAnsi="Arial" w:cs="Arial"/>
                <w:b/>
                <w:spacing w:val="-1"/>
                <w:sz w:val="20"/>
                <w:szCs w:val="20"/>
                <w:lang w:eastAsia="en-AU"/>
              </w:rPr>
              <w:t>2016</w:t>
            </w:r>
          </w:p>
          <w:p w:rsidR="00617CB0" w:rsidRPr="00980C21" w:rsidRDefault="00617CB0" w:rsidP="000D7011">
            <w:pPr>
              <w:spacing w:before="60" w:after="60" w:line="240" w:lineRule="auto"/>
              <w:jc w:val="right"/>
              <w:rPr>
                <w:rFonts w:ascii="Arial" w:eastAsia="Times New Roman" w:hAnsi="Arial" w:cs="Arial"/>
                <w:b/>
                <w:spacing w:val="-1"/>
                <w:sz w:val="20"/>
                <w:szCs w:val="20"/>
                <w:lang w:eastAsia="en-AU"/>
              </w:rPr>
            </w:pPr>
            <w:r w:rsidRPr="00980C21">
              <w:rPr>
                <w:rFonts w:ascii="Arial" w:eastAsia="Times New Roman" w:hAnsi="Arial" w:cs="Arial"/>
                <w:b/>
                <w:spacing w:val="-1"/>
                <w:sz w:val="20"/>
                <w:szCs w:val="20"/>
                <w:lang w:eastAsia="en-AU"/>
              </w:rPr>
              <w:t>$000</w:t>
            </w:r>
          </w:p>
        </w:tc>
        <w:tc>
          <w:tcPr>
            <w:tcW w:w="1208" w:type="dxa"/>
            <w:tcBorders>
              <w:top w:val="nil"/>
              <w:left w:val="nil"/>
              <w:bottom w:val="single" w:sz="4" w:space="0" w:color="auto"/>
              <w:right w:val="nil"/>
            </w:tcBorders>
            <w:shd w:val="clear" w:color="auto" w:fill="auto"/>
          </w:tcPr>
          <w:p w:rsidR="00617CB0" w:rsidRPr="00980C21" w:rsidRDefault="00617CB0" w:rsidP="000D7011">
            <w:pPr>
              <w:spacing w:before="60" w:after="60" w:line="240" w:lineRule="auto"/>
              <w:jc w:val="right"/>
              <w:rPr>
                <w:rFonts w:ascii="Arial" w:eastAsia="Times New Roman" w:hAnsi="Arial" w:cs="Arial"/>
                <w:b/>
                <w:spacing w:val="-1"/>
                <w:sz w:val="20"/>
                <w:szCs w:val="20"/>
                <w:lang w:eastAsia="en-AU"/>
              </w:rPr>
            </w:pPr>
            <w:r w:rsidRPr="00980C21">
              <w:rPr>
                <w:rFonts w:ascii="Arial" w:eastAsia="Times New Roman" w:hAnsi="Arial" w:cs="Arial"/>
                <w:b/>
                <w:spacing w:val="-1"/>
                <w:sz w:val="20"/>
                <w:szCs w:val="20"/>
                <w:lang w:eastAsia="en-AU"/>
              </w:rPr>
              <w:t>2015</w:t>
            </w:r>
          </w:p>
          <w:p w:rsidR="00617CB0" w:rsidRPr="00980C21" w:rsidRDefault="00617CB0" w:rsidP="000D7011">
            <w:pPr>
              <w:spacing w:before="60" w:after="60" w:line="240" w:lineRule="auto"/>
              <w:jc w:val="right"/>
              <w:rPr>
                <w:rFonts w:ascii="Arial" w:eastAsia="Times New Roman" w:hAnsi="Arial" w:cs="Arial"/>
                <w:b/>
                <w:spacing w:val="-1"/>
                <w:sz w:val="20"/>
                <w:szCs w:val="20"/>
                <w:lang w:eastAsia="en-AU"/>
              </w:rPr>
            </w:pPr>
            <w:r w:rsidRPr="00980C21">
              <w:rPr>
                <w:rFonts w:ascii="Arial" w:eastAsia="Times New Roman" w:hAnsi="Arial" w:cs="Arial"/>
                <w:b/>
                <w:spacing w:val="-1"/>
                <w:sz w:val="20"/>
                <w:szCs w:val="20"/>
                <w:lang w:eastAsia="en-AU"/>
              </w:rPr>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b/>
                <w:sz w:val="20"/>
                <w:szCs w:val="20"/>
                <w:lang w:eastAsia="en-AU"/>
              </w:rPr>
            </w:pPr>
            <w:r w:rsidRPr="00022D33">
              <w:rPr>
                <w:rFonts w:ascii="Arial" w:eastAsia="Times New Roman" w:hAnsi="Arial" w:cs="Arial"/>
                <w:b/>
                <w:sz w:val="20"/>
                <w:szCs w:val="20"/>
                <w:lang w:eastAsia="en-AU"/>
              </w:rPr>
              <w:t xml:space="preserve">Total non-current liabilities </w:t>
            </w:r>
          </w:p>
        </w:tc>
        <w:tc>
          <w:tcPr>
            <w:tcW w:w="772"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p>
        </w:tc>
        <w:tc>
          <w:tcPr>
            <w:tcW w:w="1208" w:type="dxa"/>
            <w:tcBorders>
              <w:top w:val="single" w:sz="4" w:space="0" w:color="auto"/>
              <w:left w:val="nil"/>
              <w:bottom w:val="single" w:sz="4" w:space="0" w:color="auto"/>
              <w:right w:val="nil"/>
            </w:tcBorders>
          </w:tcPr>
          <w:p w:rsidR="00617CB0" w:rsidRPr="00022D33" w:rsidRDefault="00617CB0" w:rsidP="000D7011">
            <w:pPr>
              <w:spacing w:before="60" w:after="60" w:line="240" w:lineRule="auto"/>
              <w:jc w:val="right"/>
              <w:rPr>
                <w:rFonts w:ascii="Arial" w:eastAsia="Times New Roman" w:hAnsi="Arial" w:cs="Arial"/>
                <w:b/>
                <w:sz w:val="20"/>
                <w:szCs w:val="20"/>
                <w:lang w:eastAsia="en-AU"/>
              </w:rPr>
            </w:pPr>
            <w:r w:rsidRPr="00022D33">
              <w:rPr>
                <w:rFonts w:ascii="Arial" w:eastAsia="Times New Roman" w:hAnsi="Arial" w:cs="Arial"/>
                <w:b/>
                <w:sz w:val="20"/>
                <w:szCs w:val="20"/>
                <w:lang w:eastAsia="en-AU"/>
              </w:rPr>
              <w:t>190,232</w:t>
            </w:r>
          </w:p>
        </w:tc>
        <w:tc>
          <w:tcPr>
            <w:tcW w:w="1208" w:type="dxa"/>
            <w:tcBorders>
              <w:top w:val="single" w:sz="4" w:space="0" w:color="auto"/>
              <w:left w:val="nil"/>
              <w:bottom w:val="single" w:sz="4" w:space="0" w:color="auto"/>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b/>
                <w:sz w:val="20"/>
                <w:szCs w:val="20"/>
                <w:lang w:eastAsia="en-AU"/>
              </w:rPr>
            </w:pPr>
            <w:r w:rsidRPr="00022D33">
              <w:rPr>
                <w:rFonts w:ascii="Arial" w:eastAsia="Times New Roman" w:hAnsi="Arial" w:cs="Arial"/>
                <w:b/>
                <w:sz w:val="20"/>
                <w:szCs w:val="20"/>
                <w:lang w:eastAsia="en-AU"/>
              </w:rPr>
              <w:t>150,052</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b/>
                <w:sz w:val="20"/>
                <w:szCs w:val="20"/>
                <w:lang w:eastAsia="en-AU"/>
              </w:rPr>
            </w:pPr>
            <w:r w:rsidRPr="00022D33">
              <w:rPr>
                <w:rFonts w:ascii="Arial" w:eastAsia="Times New Roman" w:hAnsi="Arial" w:cs="Arial"/>
                <w:b/>
                <w:sz w:val="20"/>
                <w:szCs w:val="20"/>
                <w:lang w:eastAsia="en-AU"/>
              </w:rPr>
              <w:t>TOTAL LIABILITIES</w:t>
            </w:r>
          </w:p>
        </w:tc>
        <w:tc>
          <w:tcPr>
            <w:tcW w:w="772"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p>
        </w:tc>
        <w:tc>
          <w:tcPr>
            <w:tcW w:w="1208" w:type="dxa"/>
            <w:tcBorders>
              <w:top w:val="single" w:sz="4" w:space="0" w:color="auto"/>
              <w:left w:val="nil"/>
              <w:bottom w:val="single" w:sz="4" w:space="0" w:color="auto"/>
              <w:right w:val="nil"/>
            </w:tcBorders>
          </w:tcPr>
          <w:p w:rsidR="00617CB0" w:rsidRPr="00022D33" w:rsidRDefault="00617CB0" w:rsidP="000D7011">
            <w:pPr>
              <w:spacing w:before="60" w:after="60" w:line="240" w:lineRule="auto"/>
              <w:jc w:val="right"/>
              <w:rPr>
                <w:rFonts w:ascii="Arial" w:eastAsia="Times New Roman" w:hAnsi="Arial" w:cs="Arial"/>
                <w:b/>
                <w:sz w:val="20"/>
                <w:szCs w:val="20"/>
                <w:lang w:eastAsia="en-AU"/>
              </w:rPr>
            </w:pPr>
            <w:r w:rsidRPr="00022D33">
              <w:rPr>
                <w:rFonts w:ascii="Arial" w:eastAsia="Times New Roman" w:hAnsi="Arial" w:cs="Arial"/>
                <w:b/>
                <w:sz w:val="20"/>
                <w:szCs w:val="20"/>
                <w:lang w:eastAsia="en-AU"/>
              </w:rPr>
              <w:t>559,872</w:t>
            </w:r>
          </w:p>
        </w:tc>
        <w:tc>
          <w:tcPr>
            <w:tcW w:w="1208" w:type="dxa"/>
            <w:tcBorders>
              <w:top w:val="single" w:sz="4" w:space="0" w:color="auto"/>
              <w:left w:val="nil"/>
              <w:bottom w:val="single" w:sz="4" w:space="0" w:color="auto"/>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b/>
                <w:sz w:val="20"/>
                <w:szCs w:val="20"/>
                <w:lang w:eastAsia="en-AU"/>
              </w:rPr>
            </w:pPr>
            <w:r w:rsidRPr="00022D33">
              <w:rPr>
                <w:rFonts w:ascii="Arial" w:eastAsia="Times New Roman" w:hAnsi="Arial" w:cs="Arial"/>
                <w:b/>
                <w:sz w:val="20"/>
                <w:szCs w:val="20"/>
                <w:lang w:eastAsia="en-AU"/>
              </w:rPr>
              <w:t>541,470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b/>
                <w:sz w:val="20"/>
                <w:szCs w:val="20"/>
                <w:lang w:eastAsia="en-AU"/>
              </w:rPr>
            </w:pPr>
            <w:r w:rsidRPr="00022D33">
              <w:rPr>
                <w:rFonts w:ascii="Arial" w:eastAsia="Times New Roman" w:hAnsi="Arial" w:cs="Arial"/>
                <w:b/>
                <w:sz w:val="20"/>
                <w:szCs w:val="20"/>
                <w:lang w:eastAsia="en-AU"/>
              </w:rPr>
              <w:t>NET ASSETS</w:t>
            </w:r>
          </w:p>
        </w:tc>
        <w:tc>
          <w:tcPr>
            <w:tcW w:w="772"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p>
        </w:tc>
        <w:tc>
          <w:tcPr>
            <w:tcW w:w="1208" w:type="dxa"/>
            <w:tcBorders>
              <w:top w:val="single" w:sz="4" w:space="0" w:color="auto"/>
              <w:left w:val="nil"/>
              <w:bottom w:val="double" w:sz="4" w:space="0" w:color="auto"/>
              <w:right w:val="nil"/>
            </w:tcBorders>
          </w:tcPr>
          <w:p w:rsidR="00617CB0" w:rsidRPr="00022D33" w:rsidRDefault="00617CB0" w:rsidP="000D7011">
            <w:pPr>
              <w:spacing w:before="60" w:after="60" w:line="240" w:lineRule="auto"/>
              <w:jc w:val="right"/>
              <w:rPr>
                <w:rFonts w:ascii="Arial" w:eastAsia="Times New Roman" w:hAnsi="Arial" w:cs="Arial"/>
                <w:b/>
                <w:sz w:val="20"/>
                <w:szCs w:val="20"/>
                <w:lang w:eastAsia="en-AU"/>
              </w:rPr>
            </w:pPr>
            <w:r w:rsidRPr="00022D33">
              <w:rPr>
                <w:rFonts w:ascii="Arial" w:eastAsia="Times New Roman" w:hAnsi="Arial" w:cs="Arial"/>
                <w:b/>
                <w:sz w:val="20"/>
                <w:szCs w:val="20"/>
                <w:lang w:eastAsia="en-AU"/>
              </w:rPr>
              <w:t>1,075,236</w:t>
            </w:r>
          </w:p>
        </w:tc>
        <w:tc>
          <w:tcPr>
            <w:tcW w:w="1208" w:type="dxa"/>
            <w:tcBorders>
              <w:top w:val="single" w:sz="4" w:space="0" w:color="auto"/>
              <w:left w:val="nil"/>
              <w:bottom w:val="double" w:sz="4" w:space="0" w:color="auto"/>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b/>
                <w:sz w:val="20"/>
                <w:szCs w:val="20"/>
                <w:lang w:eastAsia="en-AU"/>
              </w:rPr>
            </w:pPr>
            <w:r w:rsidRPr="00022D33">
              <w:rPr>
                <w:rFonts w:ascii="Arial" w:eastAsia="Times New Roman" w:hAnsi="Arial" w:cs="Arial"/>
                <w:b/>
                <w:sz w:val="20"/>
                <w:szCs w:val="20"/>
                <w:lang w:eastAsia="en-AU"/>
              </w:rPr>
              <w:t>1,084,042</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b/>
                <w:sz w:val="20"/>
                <w:szCs w:val="20"/>
                <w:lang w:eastAsia="en-AU"/>
              </w:rPr>
            </w:pPr>
          </w:p>
        </w:tc>
        <w:tc>
          <w:tcPr>
            <w:tcW w:w="772"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p>
        </w:tc>
        <w:tc>
          <w:tcPr>
            <w:tcW w:w="1208"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p>
        </w:tc>
        <w:tc>
          <w:tcPr>
            <w:tcW w:w="1208"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b/>
                <w:sz w:val="20"/>
                <w:szCs w:val="20"/>
                <w:lang w:eastAsia="en-AU"/>
              </w:rPr>
            </w:pPr>
            <w:r w:rsidRPr="00022D33">
              <w:rPr>
                <w:rFonts w:ascii="Arial" w:eastAsia="Times New Roman" w:hAnsi="Arial" w:cs="Arial"/>
                <w:b/>
                <w:sz w:val="20"/>
                <w:szCs w:val="20"/>
                <w:lang w:eastAsia="en-AU"/>
              </w:rPr>
              <w:t>EQUITY</w:t>
            </w:r>
          </w:p>
        </w:tc>
        <w:tc>
          <w:tcPr>
            <w:tcW w:w="772"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33</w:t>
            </w:r>
          </w:p>
        </w:tc>
        <w:tc>
          <w:tcPr>
            <w:tcW w:w="1208"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p>
        </w:tc>
        <w:tc>
          <w:tcPr>
            <w:tcW w:w="1208"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 xml:space="preserve">Contributed equity </w:t>
            </w:r>
          </w:p>
        </w:tc>
        <w:tc>
          <w:tcPr>
            <w:tcW w:w="772"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p>
        </w:tc>
        <w:tc>
          <w:tcPr>
            <w:tcW w:w="1208"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1,026,944</w:t>
            </w:r>
          </w:p>
        </w:tc>
        <w:tc>
          <w:tcPr>
            <w:tcW w:w="1208"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996,594</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 xml:space="preserve">Reserves </w:t>
            </w:r>
          </w:p>
        </w:tc>
        <w:tc>
          <w:tcPr>
            <w:tcW w:w="772"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p>
        </w:tc>
        <w:tc>
          <w:tcPr>
            <w:tcW w:w="1208"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w:t>
            </w:r>
          </w:p>
        </w:tc>
        <w:tc>
          <w:tcPr>
            <w:tcW w:w="1208"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18,665</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Accumulated surplus</w:t>
            </w:r>
          </w:p>
        </w:tc>
        <w:tc>
          <w:tcPr>
            <w:tcW w:w="772"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p>
        </w:tc>
        <w:tc>
          <w:tcPr>
            <w:tcW w:w="1208" w:type="dxa"/>
            <w:tcBorders>
              <w:top w:val="nil"/>
              <w:left w:val="nil"/>
              <w:bottom w:val="single" w:sz="4" w:space="0" w:color="auto"/>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48,292</w:t>
            </w:r>
          </w:p>
        </w:tc>
        <w:tc>
          <w:tcPr>
            <w:tcW w:w="1208" w:type="dxa"/>
            <w:tcBorders>
              <w:top w:val="nil"/>
              <w:left w:val="nil"/>
              <w:bottom w:val="single" w:sz="4" w:space="0" w:color="auto"/>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68,783</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b/>
                <w:sz w:val="20"/>
                <w:szCs w:val="20"/>
                <w:lang w:eastAsia="en-AU"/>
              </w:rPr>
            </w:pPr>
            <w:r w:rsidRPr="00022D33">
              <w:rPr>
                <w:rFonts w:ascii="Arial" w:eastAsia="Times New Roman" w:hAnsi="Arial" w:cs="Arial"/>
                <w:b/>
                <w:sz w:val="20"/>
                <w:szCs w:val="20"/>
                <w:lang w:eastAsia="en-AU"/>
              </w:rPr>
              <w:t>TOTAL EQUITY</w:t>
            </w:r>
          </w:p>
        </w:tc>
        <w:tc>
          <w:tcPr>
            <w:tcW w:w="772"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p>
        </w:tc>
        <w:tc>
          <w:tcPr>
            <w:tcW w:w="1208" w:type="dxa"/>
            <w:tcBorders>
              <w:top w:val="single" w:sz="4" w:space="0" w:color="auto"/>
              <w:left w:val="nil"/>
              <w:bottom w:val="double" w:sz="4" w:space="0" w:color="auto"/>
              <w:right w:val="nil"/>
            </w:tcBorders>
          </w:tcPr>
          <w:p w:rsidR="00617CB0" w:rsidRPr="00022D33" w:rsidRDefault="00617CB0" w:rsidP="000D7011">
            <w:pPr>
              <w:spacing w:before="60" w:after="60" w:line="240" w:lineRule="auto"/>
              <w:jc w:val="right"/>
              <w:rPr>
                <w:rFonts w:ascii="Arial" w:eastAsia="Times New Roman" w:hAnsi="Arial" w:cs="Arial"/>
                <w:b/>
                <w:sz w:val="20"/>
                <w:szCs w:val="20"/>
                <w:lang w:eastAsia="en-AU"/>
              </w:rPr>
            </w:pPr>
            <w:r w:rsidRPr="00022D33">
              <w:rPr>
                <w:rFonts w:ascii="Arial" w:eastAsia="Times New Roman" w:hAnsi="Arial" w:cs="Arial"/>
                <w:b/>
                <w:sz w:val="20"/>
                <w:szCs w:val="20"/>
                <w:lang w:eastAsia="en-AU"/>
              </w:rPr>
              <w:t>1,075,236</w:t>
            </w:r>
          </w:p>
        </w:tc>
        <w:tc>
          <w:tcPr>
            <w:tcW w:w="1208" w:type="dxa"/>
            <w:tcBorders>
              <w:top w:val="single" w:sz="4" w:space="0" w:color="auto"/>
              <w:left w:val="nil"/>
              <w:bottom w:val="double" w:sz="4" w:space="0" w:color="auto"/>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b/>
                <w:sz w:val="20"/>
                <w:szCs w:val="20"/>
                <w:lang w:eastAsia="en-AU"/>
              </w:rPr>
            </w:pPr>
            <w:r w:rsidRPr="00022D33">
              <w:rPr>
                <w:rFonts w:ascii="Arial" w:eastAsia="Times New Roman" w:hAnsi="Arial" w:cs="Arial"/>
                <w:b/>
                <w:sz w:val="20"/>
                <w:szCs w:val="20"/>
                <w:lang w:eastAsia="en-AU"/>
              </w:rPr>
              <w:t>1,084,042</w:t>
            </w:r>
          </w:p>
        </w:tc>
      </w:tr>
    </w:tbl>
    <w:p w:rsidR="00617CB0" w:rsidRPr="00022D33" w:rsidRDefault="00617CB0" w:rsidP="00617CB0">
      <w:pPr>
        <w:pStyle w:val="BodyText"/>
      </w:pPr>
      <w:r w:rsidRPr="00022D33">
        <w:t>Refer also to the Schedule of Assets and Liabilities by Service.</w:t>
      </w:r>
    </w:p>
    <w:p w:rsidR="00617CB0" w:rsidRPr="00022D33" w:rsidRDefault="00617CB0" w:rsidP="00617CB0">
      <w:pPr>
        <w:pStyle w:val="BodyText"/>
      </w:pPr>
      <w:r w:rsidRPr="00022D33">
        <w:t>The Statement of Financial Position should be read in conjunction with the accompanying notes.</w:t>
      </w:r>
    </w:p>
    <w:p w:rsidR="00617CB0" w:rsidRPr="00022D33" w:rsidRDefault="00617CB0" w:rsidP="00617CB0">
      <w:pPr>
        <w:pStyle w:val="Heading2"/>
      </w:pPr>
      <w:r w:rsidRPr="00022D33">
        <w:rPr>
          <w:rFonts w:cs="Arial"/>
        </w:rPr>
        <w:br w:type="page"/>
      </w:r>
      <w:r w:rsidRPr="00022D33">
        <w:lastRenderedPageBreak/>
        <w:t>Statement of Changes in Equity</w:t>
      </w:r>
    </w:p>
    <w:p w:rsidR="00617CB0" w:rsidRPr="00022D33" w:rsidRDefault="00617CB0" w:rsidP="00617CB0">
      <w:pPr>
        <w:pStyle w:val="Heading3"/>
      </w:pPr>
      <w:r w:rsidRPr="00022D33">
        <w:t>For the year ended 30 June 2016</w:t>
      </w:r>
    </w:p>
    <w:p w:rsidR="00617CB0" w:rsidRPr="00022D33" w:rsidRDefault="00196F4C" w:rsidP="00617CB0">
      <w:pPr>
        <w:pStyle w:val="Caption"/>
        <w:keepNext/>
        <w:spacing w:after="60"/>
        <w:rPr>
          <w:noProof/>
        </w:rPr>
      </w:pPr>
      <w:fldSimple w:instr=" SEQ Table \* ARABIC ">
        <w:r w:rsidR="00D8778B">
          <w:rPr>
            <w:noProof/>
          </w:rPr>
          <w:t>7</w:t>
        </w:r>
      </w:fldSimple>
      <w:r w:rsidR="00617CB0" w:rsidRPr="00022D33">
        <w:rPr>
          <w:noProof/>
        </w:rPr>
        <w:t xml:space="preserve"> Statement of Changes in Equity For the year ended 30 June 2016</w:t>
      </w: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727"/>
        <w:gridCol w:w="1350"/>
        <w:gridCol w:w="1106"/>
        <w:gridCol w:w="1472"/>
        <w:gridCol w:w="1106"/>
      </w:tblGrid>
      <w:tr w:rsidR="00617CB0" w:rsidRPr="00022D33" w:rsidTr="000D7011">
        <w:tc>
          <w:tcPr>
            <w:tcW w:w="4077" w:type="dxa"/>
            <w:tcBorders>
              <w:top w:val="nil"/>
              <w:left w:val="nil"/>
              <w:bottom w:val="nil"/>
              <w:right w:val="nil"/>
            </w:tcBorders>
            <w:shd w:val="clear" w:color="auto" w:fill="auto"/>
          </w:tcPr>
          <w:p w:rsidR="00617CB0" w:rsidRPr="00022D33" w:rsidRDefault="00617CB0" w:rsidP="000D7011"/>
        </w:tc>
        <w:tc>
          <w:tcPr>
            <w:tcW w:w="727" w:type="dxa"/>
            <w:tcBorders>
              <w:top w:val="nil"/>
              <w:left w:val="nil"/>
              <w:bottom w:val="nil"/>
              <w:right w:val="nil"/>
            </w:tcBorders>
            <w:shd w:val="clear" w:color="auto" w:fill="auto"/>
          </w:tcPr>
          <w:p w:rsidR="00617CB0" w:rsidRPr="00022D33" w:rsidRDefault="00617CB0" w:rsidP="000D7011">
            <w:pPr>
              <w:pStyle w:val="Tableboldedtext"/>
              <w:jc w:val="center"/>
            </w:pPr>
            <w:r w:rsidRPr="00022D33">
              <w:t>Note</w:t>
            </w:r>
          </w:p>
        </w:tc>
        <w:tc>
          <w:tcPr>
            <w:tcW w:w="1350" w:type="dxa"/>
            <w:tcBorders>
              <w:top w:val="nil"/>
              <w:left w:val="nil"/>
              <w:bottom w:val="nil"/>
              <w:right w:val="nil"/>
            </w:tcBorders>
            <w:shd w:val="clear" w:color="auto" w:fill="auto"/>
          </w:tcPr>
          <w:p w:rsidR="00617CB0" w:rsidRPr="00022D33" w:rsidRDefault="00617CB0" w:rsidP="000D7011">
            <w:pPr>
              <w:pStyle w:val="Tableboldedtext"/>
              <w:jc w:val="right"/>
            </w:pPr>
            <w:r w:rsidRPr="00022D33">
              <w:t>Contributed equity</w:t>
            </w:r>
          </w:p>
          <w:p w:rsidR="00617CB0" w:rsidRPr="00022D33" w:rsidRDefault="00617CB0" w:rsidP="000D7011">
            <w:pPr>
              <w:pStyle w:val="Tableboldedtext"/>
              <w:jc w:val="right"/>
            </w:pPr>
            <w:r w:rsidRPr="00022D33">
              <w:t>$000</w:t>
            </w:r>
          </w:p>
        </w:tc>
        <w:tc>
          <w:tcPr>
            <w:tcW w:w="1106" w:type="dxa"/>
            <w:tcBorders>
              <w:top w:val="nil"/>
              <w:left w:val="nil"/>
              <w:bottom w:val="nil"/>
              <w:right w:val="nil"/>
            </w:tcBorders>
            <w:shd w:val="clear" w:color="auto" w:fill="auto"/>
          </w:tcPr>
          <w:p w:rsidR="00617CB0" w:rsidRPr="00022D33" w:rsidRDefault="00617CB0" w:rsidP="000D7011">
            <w:pPr>
              <w:pStyle w:val="Tableboldedtext"/>
              <w:jc w:val="right"/>
            </w:pPr>
            <w:r w:rsidRPr="00022D33">
              <w:t>Reserves $000</w:t>
            </w:r>
          </w:p>
        </w:tc>
        <w:tc>
          <w:tcPr>
            <w:tcW w:w="1472" w:type="dxa"/>
            <w:tcBorders>
              <w:top w:val="nil"/>
              <w:left w:val="nil"/>
              <w:bottom w:val="nil"/>
              <w:right w:val="nil"/>
            </w:tcBorders>
          </w:tcPr>
          <w:p w:rsidR="00617CB0" w:rsidRPr="00022D33" w:rsidRDefault="00617CB0" w:rsidP="000D7011">
            <w:pPr>
              <w:pStyle w:val="Tableboldedtext"/>
              <w:jc w:val="right"/>
            </w:pPr>
            <w:r w:rsidRPr="00022D33">
              <w:t>Accumulated surplus</w:t>
            </w:r>
            <w:r>
              <w:t>/ deficit</w:t>
            </w:r>
          </w:p>
          <w:p w:rsidR="00617CB0" w:rsidRPr="00022D33" w:rsidRDefault="00617CB0" w:rsidP="000D7011">
            <w:pPr>
              <w:pStyle w:val="Tableboldedtext"/>
              <w:jc w:val="right"/>
            </w:pPr>
            <w:r w:rsidRPr="00022D33">
              <w:t>$000</w:t>
            </w:r>
          </w:p>
        </w:tc>
        <w:tc>
          <w:tcPr>
            <w:tcW w:w="1106" w:type="dxa"/>
            <w:tcBorders>
              <w:top w:val="nil"/>
              <w:left w:val="nil"/>
              <w:bottom w:val="nil"/>
              <w:right w:val="nil"/>
            </w:tcBorders>
          </w:tcPr>
          <w:p w:rsidR="00617CB0" w:rsidRPr="00022D33" w:rsidRDefault="00617CB0" w:rsidP="000D7011">
            <w:pPr>
              <w:pStyle w:val="Tableboldedtext"/>
              <w:jc w:val="right"/>
            </w:pPr>
            <w:r w:rsidRPr="00022D33">
              <w:t>Total equity $000</w:t>
            </w:r>
          </w:p>
        </w:tc>
      </w:tr>
      <w:tr w:rsidR="00617CB0" w:rsidRPr="00022D33" w:rsidTr="000D7011">
        <w:tc>
          <w:tcPr>
            <w:tcW w:w="4077" w:type="dxa"/>
            <w:tcBorders>
              <w:top w:val="nil"/>
              <w:left w:val="nil"/>
              <w:bottom w:val="nil"/>
              <w:right w:val="nil"/>
            </w:tcBorders>
            <w:shd w:val="clear" w:color="auto" w:fill="auto"/>
          </w:tcPr>
          <w:p w:rsidR="00617CB0" w:rsidRPr="00022D33" w:rsidRDefault="00617CB0" w:rsidP="000D7011">
            <w:pPr>
              <w:pStyle w:val="Tableboldedtext"/>
            </w:pPr>
            <w:r w:rsidRPr="00022D33">
              <w:t>Balance at 1 July 2014</w:t>
            </w:r>
          </w:p>
        </w:tc>
        <w:tc>
          <w:tcPr>
            <w:tcW w:w="727" w:type="dxa"/>
            <w:tcBorders>
              <w:top w:val="nil"/>
              <w:left w:val="nil"/>
              <w:bottom w:val="nil"/>
              <w:right w:val="nil"/>
            </w:tcBorders>
            <w:shd w:val="clear" w:color="auto" w:fill="auto"/>
          </w:tcPr>
          <w:p w:rsidR="00617CB0" w:rsidRPr="00022D33" w:rsidRDefault="00617CB0" w:rsidP="000D7011">
            <w:pPr>
              <w:pStyle w:val="Tabletext"/>
              <w:jc w:val="right"/>
            </w:pPr>
            <w:r w:rsidRPr="00022D33">
              <w:t>33</w:t>
            </w:r>
          </w:p>
        </w:tc>
        <w:tc>
          <w:tcPr>
            <w:tcW w:w="1350" w:type="dxa"/>
            <w:tcBorders>
              <w:top w:val="nil"/>
              <w:left w:val="nil"/>
              <w:bottom w:val="nil"/>
              <w:right w:val="nil"/>
            </w:tcBorders>
            <w:shd w:val="clear" w:color="auto" w:fill="auto"/>
          </w:tcPr>
          <w:p w:rsidR="00617CB0" w:rsidRPr="00022D33" w:rsidRDefault="00617CB0" w:rsidP="000D7011">
            <w:pPr>
              <w:pStyle w:val="Tabletext"/>
              <w:jc w:val="right"/>
            </w:pPr>
            <w:r w:rsidRPr="00022D33">
              <w:t>979,165</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32,848</w:t>
            </w:r>
          </w:p>
        </w:tc>
        <w:tc>
          <w:tcPr>
            <w:tcW w:w="1472" w:type="dxa"/>
            <w:tcBorders>
              <w:top w:val="nil"/>
              <w:left w:val="nil"/>
              <w:bottom w:val="nil"/>
              <w:right w:val="nil"/>
            </w:tcBorders>
          </w:tcPr>
          <w:p w:rsidR="00617CB0" w:rsidRPr="00022D33" w:rsidRDefault="00617CB0" w:rsidP="000D7011">
            <w:pPr>
              <w:pStyle w:val="Tabletext"/>
              <w:jc w:val="right"/>
            </w:pPr>
            <w:r w:rsidRPr="00022D33">
              <w:t>102,682</w:t>
            </w:r>
          </w:p>
        </w:tc>
        <w:tc>
          <w:tcPr>
            <w:tcW w:w="1106" w:type="dxa"/>
            <w:tcBorders>
              <w:top w:val="nil"/>
              <w:left w:val="nil"/>
              <w:bottom w:val="nil"/>
              <w:right w:val="nil"/>
            </w:tcBorders>
          </w:tcPr>
          <w:p w:rsidR="00617CB0" w:rsidRPr="00022D33" w:rsidRDefault="00617CB0" w:rsidP="000D7011">
            <w:pPr>
              <w:pStyle w:val="Tabletext"/>
              <w:jc w:val="right"/>
            </w:pPr>
            <w:r w:rsidRPr="00022D33">
              <w:t>1,114,695</w:t>
            </w:r>
          </w:p>
        </w:tc>
      </w:tr>
      <w:tr w:rsidR="00617CB0" w:rsidRPr="00022D33" w:rsidTr="000D7011">
        <w:tc>
          <w:tcPr>
            <w:tcW w:w="4077" w:type="dxa"/>
            <w:tcBorders>
              <w:top w:val="nil"/>
              <w:left w:val="nil"/>
              <w:bottom w:val="nil"/>
              <w:right w:val="nil"/>
            </w:tcBorders>
            <w:shd w:val="clear" w:color="auto" w:fill="auto"/>
          </w:tcPr>
          <w:p w:rsidR="00617CB0" w:rsidRPr="00022D33" w:rsidRDefault="00617CB0" w:rsidP="000D7011">
            <w:pPr>
              <w:pStyle w:val="Tabletext"/>
            </w:pPr>
            <w:r w:rsidRPr="00022D33">
              <w:t>Deficit</w:t>
            </w:r>
          </w:p>
        </w:tc>
        <w:tc>
          <w:tcPr>
            <w:tcW w:w="727" w:type="dxa"/>
            <w:tcBorders>
              <w:top w:val="nil"/>
              <w:left w:val="nil"/>
              <w:bottom w:val="nil"/>
              <w:right w:val="nil"/>
            </w:tcBorders>
            <w:shd w:val="clear" w:color="auto" w:fill="auto"/>
          </w:tcPr>
          <w:p w:rsidR="00617CB0" w:rsidRPr="00022D33" w:rsidRDefault="00617CB0" w:rsidP="000D7011">
            <w:pPr>
              <w:pStyle w:val="Tabletext"/>
              <w:jc w:val="right"/>
            </w:pPr>
          </w:p>
        </w:tc>
        <w:tc>
          <w:tcPr>
            <w:tcW w:w="1350"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1472" w:type="dxa"/>
            <w:tcBorders>
              <w:top w:val="nil"/>
              <w:left w:val="nil"/>
              <w:bottom w:val="nil"/>
              <w:right w:val="nil"/>
            </w:tcBorders>
          </w:tcPr>
          <w:p w:rsidR="00617CB0" w:rsidRPr="00022D33" w:rsidRDefault="00617CB0" w:rsidP="000D7011">
            <w:pPr>
              <w:pStyle w:val="Tabletext"/>
              <w:jc w:val="right"/>
            </w:pPr>
            <w:r w:rsidRPr="00022D33">
              <w:t>(33,900)</w:t>
            </w:r>
          </w:p>
        </w:tc>
        <w:tc>
          <w:tcPr>
            <w:tcW w:w="1106" w:type="dxa"/>
            <w:tcBorders>
              <w:top w:val="nil"/>
              <w:left w:val="nil"/>
              <w:bottom w:val="nil"/>
              <w:right w:val="nil"/>
            </w:tcBorders>
          </w:tcPr>
          <w:p w:rsidR="00617CB0" w:rsidRPr="00022D33" w:rsidRDefault="00617CB0" w:rsidP="000D7011">
            <w:pPr>
              <w:pStyle w:val="Tabletext"/>
              <w:jc w:val="right"/>
            </w:pPr>
            <w:r w:rsidRPr="00022D33">
              <w:t>(33,900)</w:t>
            </w:r>
          </w:p>
        </w:tc>
      </w:tr>
      <w:tr w:rsidR="00617CB0" w:rsidRPr="00022D33" w:rsidTr="000D7011">
        <w:tc>
          <w:tcPr>
            <w:tcW w:w="4077" w:type="dxa"/>
            <w:tcBorders>
              <w:top w:val="nil"/>
              <w:left w:val="nil"/>
              <w:bottom w:val="nil"/>
              <w:right w:val="nil"/>
            </w:tcBorders>
            <w:shd w:val="clear" w:color="auto" w:fill="auto"/>
          </w:tcPr>
          <w:p w:rsidR="00617CB0" w:rsidRPr="00022D33" w:rsidRDefault="00617CB0" w:rsidP="000D7011">
            <w:pPr>
              <w:pStyle w:val="Tabletext"/>
            </w:pPr>
            <w:r w:rsidRPr="00022D33">
              <w:t>Other comprehensive income</w:t>
            </w:r>
          </w:p>
        </w:tc>
        <w:tc>
          <w:tcPr>
            <w:tcW w:w="727" w:type="dxa"/>
            <w:tcBorders>
              <w:top w:val="nil"/>
              <w:left w:val="nil"/>
              <w:bottom w:val="nil"/>
              <w:right w:val="nil"/>
            </w:tcBorders>
            <w:shd w:val="clear" w:color="auto" w:fill="auto"/>
          </w:tcPr>
          <w:p w:rsidR="00617CB0" w:rsidRPr="00022D33" w:rsidRDefault="00617CB0" w:rsidP="000D7011">
            <w:pPr>
              <w:pStyle w:val="Tabletext"/>
              <w:jc w:val="right"/>
            </w:pPr>
          </w:p>
        </w:tc>
        <w:tc>
          <w:tcPr>
            <w:tcW w:w="1350"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w:t>
            </w:r>
          </w:p>
        </w:tc>
        <w:tc>
          <w:tcPr>
            <w:tcW w:w="1106"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(14,182)</w:t>
            </w:r>
          </w:p>
        </w:tc>
        <w:tc>
          <w:tcPr>
            <w:tcW w:w="1472" w:type="dxa"/>
            <w:tcBorders>
              <w:top w:val="nil"/>
              <w:left w:val="nil"/>
              <w:bottom w:val="single" w:sz="4" w:space="0" w:color="auto"/>
              <w:right w:val="nil"/>
            </w:tcBorders>
          </w:tcPr>
          <w:p w:rsidR="00617CB0" w:rsidRPr="00022D33" w:rsidRDefault="00617CB0" w:rsidP="000D7011">
            <w:pPr>
              <w:pStyle w:val="Tabletext"/>
              <w:jc w:val="right"/>
            </w:pPr>
            <w:r w:rsidRPr="00022D33">
              <w:t>-</w:t>
            </w:r>
          </w:p>
        </w:tc>
        <w:tc>
          <w:tcPr>
            <w:tcW w:w="1106" w:type="dxa"/>
            <w:tcBorders>
              <w:top w:val="nil"/>
              <w:left w:val="nil"/>
              <w:bottom w:val="single" w:sz="4" w:space="0" w:color="auto"/>
              <w:right w:val="nil"/>
            </w:tcBorders>
          </w:tcPr>
          <w:p w:rsidR="00617CB0" w:rsidRPr="00022D33" w:rsidRDefault="00617CB0" w:rsidP="000D7011">
            <w:pPr>
              <w:pStyle w:val="Tabletext"/>
              <w:jc w:val="right"/>
            </w:pPr>
            <w:r w:rsidRPr="00022D33">
              <w:t>(14,182)</w:t>
            </w:r>
          </w:p>
        </w:tc>
      </w:tr>
      <w:tr w:rsidR="00617CB0" w:rsidRPr="00022D33" w:rsidTr="000D7011">
        <w:tc>
          <w:tcPr>
            <w:tcW w:w="4077" w:type="dxa"/>
            <w:tcBorders>
              <w:top w:val="nil"/>
              <w:left w:val="nil"/>
              <w:bottom w:val="nil"/>
              <w:right w:val="nil"/>
            </w:tcBorders>
            <w:shd w:val="clear" w:color="auto" w:fill="auto"/>
          </w:tcPr>
          <w:p w:rsidR="00617CB0" w:rsidRPr="00022D33" w:rsidRDefault="00617CB0" w:rsidP="000D7011">
            <w:pPr>
              <w:pStyle w:val="Tabletext"/>
            </w:pPr>
            <w:r w:rsidRPr="00022D33">
              <w:t>Total comprehensive income for the period</w:t>
            </w:r>
          </w:p>
        </w:tc>
        <w:tc>
          <w:tcPr>
            <w:tcW w:w="727" w:type="dxa"/>
            <w:tcBorders>
              <w:top w:val="nil"/>
              <w:left w:val="nil"/>
              <w:bottom w:val="nil"/>
              <w:right w:val="nil"/>
            </w:tcBorders>
            <w:shd w:val="clear" w:color="auto" w:fill="auto"/>
          </w:tcPr>
          <w:p w:rsidR="00617CB0" w:rsidRPr="00022D33" w:rsidRDefault="00617CB0" w:rsidP="000D7011">
            <w:pPr>
              <w:pStyle w:val="Tabletext"/>
              <w:jc w:val="right"/>
            </w:pPr>
          </w:p>
        </w:tc>
        <w:tc>
          <w:tcPr>
            <w:tcW w:w="1350"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pPr>
            <w:r w:rsidRPr="00022D33">
              <w:t>-</w:t>
            </w:r>
          </w:p>
        </w:tc>
        <w:tc>
          <w:tcPr>
            <w:tcW w:w="1106"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pPr>
            <w:r w:rsidRPr="00022D33">
              <w:t>(14,182)</w:t>
            </w:r>
          </w:p>
        </w:tc>
        <w:tc>
          <w:tcPr>
            <w:tcW w:w="1472" w:type="dxa"/>
            <w:tcBorders>
              <w:top w:val="single" w:sz="4" w:space="0" w:color="auto"/>
              <w:left w:val="nil"/>
              <w:bottom w:val="single" w:sz="4" w:space="0" w:color="auto"/>
              <w:right w:val="nil"/>
            </w:tcBorders>
          </w:tcPr>
          <w:p w:rsidR="00617CB0" w:rsidRPr="00022D33" w:rsidRDefault="00617CB0" w:rsidP="000D7011">
            <w:pPr>
              <w:pStyle w:val="Tabletext"/>
              <w:jc w:val="right"/>
            </w:pPr>
            <w:r w:rsidRPr="00022D33">
              <w:t>(33,900)</w:t>
            </w:r>
          </w:p>
        </w:tc>
        <w:tc>
          <w:tcPr>
            <w:tcW w:w="1106" w:type="dxa"/>
            <w:tcBorders>
              <w:top w:val="single" w:sz="4" w:space="0" w:color="auto"/>
              <w:left w:val="nil"/>
              <w:bottom w:val="single" w:sz="4" w:space="0" w:color="auto"/>
              <w:right w:val="nil"/>
            </w:tcBorders>
          </w:tcPr>
          <w:p w:rsidR="00617CB0" w:rsidRPr="00022D33" w:rsidRDefault="00617CB0" w:rsidP="000D7011">
            <w:pPr>
              <w:pStyle w:val="Tabletext"/>
              <w:jc w:val="right"/>
            </w:pPr>
            <w:r w:rsidRPr="00022D33">
              <w:t>(48,082)</w:t>
            </w:r>
          </w:p>
        </w:tc>
      </w:tr>
      <w:tr w:rsidR="00617CB0" w:rsidRPr="00022D33" w:rsidTr="000D7011">
        <w:tc>
          <w:tcPr>
            <w:tcW w:w="9838" w:type="dxa"/>
            <w:gridSpan w:val="6"/>
            <w:tcBorders>
              <w:top w:val="nil"/>
              <w:left w:val="nil"/>
              <w:bottom w:val="nil"/>
              <w:right w:val="nil"/>
            </w:tcBorders>
            <w:shd w:val="clear" w:color="auto" w:fill="auto"/>
          </w:tcPr>
          <w:p w:rsidR="00617CB0" w:rsidRPr="00022D33" w:rsidRDefault="00617CB0" w:rsidP="000D7011">
            <w:pPr>
              <w:pStyle w:val="Tabletext"/>
            </w:pPr>
            <w:r w:rsidRPr="00022D33">
              <w:t>Transactions with owners in their capacity as owners:</w:t>
            </w:r>
          </w:p>
        </w:tc>
      </w:tr>
      <w:tr w:rsidR="00617CB0" w:rsidRPr="00022D33" w:rsidTr="000D7011">
        <w:tc>
          <w:tcPr>
            <w:tcW w:w="4077" w:type="dxa"/>
            <w:tcBorders>
              <w:top w:val="nil"/>
              <w:left w:val="nil"/>
              <w:bottom w:val="nil"/>
              <w:right w:val="nil"/>
            </w:tcBorders>
            <w:shd w:val="clear" w:color="auto" w:fill="auto"/>
          </w:tcPr>
          <w:p w:rsidR="00617CB0" w:rsidRPr="00022D33" w:rsidRDefault="00617CB0" w:rsidP="000D7011">
            <w:pPr>
              <w:pStyle w:val="Tabletext"/>
            </w:pPr>
            <w:r w:rsidRPr="00022D33">
              <w:t>Capital appropriations</w:t>
            </w:r>
          </w:p>
        </w:tc>
        <w:tc>
          <w:tcPr>
            <w:tcW w:w="727" w:type="dxa"/>
            <w:tcBorders>
              <w:top w:val="nil"/>
              <w:left w:val="nil"/>
              <w:bottom w:val="nil"/>
              <w:right w:val="nil"/>
            </w:tcBorders>
            <w:shd w:val="clear" w:color="auto" w:fill="auto"/>
          </w:tcPr>
          <w:p w:rsidR="00617CB0" w:rsidRPr="00022D33" w:rsidRDefault="00617CB0" w:rsidP="000D7011">
            <w:pPr>
              <w:pStyle w:val="Tabletext"/>
              <w:jc w:val="right"/>
            </w:pPr>
          </w:p>
        </w:tc>
        <w:tc>
          <w:tcPr>
            <w:tcW w:w="1350" w:type="dxa"/>
            <w:tcBorders>
              <w:top w:val="nil"/>
              <w:left w:val="nil"/>
              <w:bottom w:val="nil"/>
              <w:right w:val="nil"/>
            </w:tcBorders>
            <w:shd w:val="clear" w:color="auto" w:fill="auto"/>
          </w:tcPr>
          <w:p w:rsidR="00617CB0" w:rsidRPr="00022D33" w:rsidRDefault="00617CB0" w:rsidP="000D7011">
            <w:pPr>
              <w:pStyle w:val="Tabletext"/>
              <w:jc w:val="right"/>
            </w:pPr>
            <w:r w:rsidRPr="00022D33">
              <w:t>15,353</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p>
        </w:tc>
        <w:tc>
          <w:tcPr>
            <w:tcW w:w="1472" w:type="dxa"/>
            <w:tcBorders>
              <w:top w:val="nil"/>
              <w:left w:val="nil"/>
              <w:bottom w:val="nil"/>
              <w:right w:val="nil"/>
            </w:tcBorders>
          </w:tcPr>
          <w:p w:rsidR="00617CB0" w:rsidRPr="00022D33" w:rsidRDefault="00617CB0" w:rsidP="000D7011">
            <w:pPr>
              <w:pStyle w:val="Tabletext"/>
              <w:jc w:val="right"/>
            </w:pPr>
          </w:p>
        </w:tc>
        <w:tc>
          <w:tcPr>
            <w:tcW w:w="1106" w:type="dxa"/>
            <w:tcBorders>
              <w:top w:val="nil"/>
              <w:left w:val="nil"/>
              <w:bottom w:val="nil"/>
              <w:right w:val="nil"/>
            </w:tcBorders>
          </w:tcPr>
          <w:p w:rsidR="00617CB0" w:rsidRPr="00022D33" w:rsidRDefault="00617CB0" w:rsidP="000D7011">
            <w:pPr>
              <w:pStyle w:val="Tabletext"/>
              <w:jc w:val="right"/>
            </w:pPr>
            <w:r w:rsidRPr="00022D33">
              <w:t>15,353</w:t>
            </w:r>
          </w:p>
        </w:tc>
      </w:tr>
      <w:tr w:rsidR="00617CB0" w:rsidRPr="00022D33" w:rsidTr="000D7011">
        <w:tc>
          <w:tcPr>
            <w:tcW w:w="4077" w:type="dxa"/>
            <w:tcBorders>
              <w:top w:val="nil"/>
              <w:left w:val="nil"/>
              <w:bottom w:val="nil"/>
              <w:right w:val="nil"/>
            </w:tcBorders>
            <w:shd w:val="clear" w:color="auto" w:fill="auto"/>
          </w:tcPr>
          <w:p w:rsidR="00617CB0" w:rsidRPr="00022D33" w:rsidRDefault="00617CB0" w:rsidP="000D7011">
            <w:pPr>
              <w:pStyle w:val="Tabletext"/>
            </w:pPr>
            <w:r w:rsidRPr="00022D33">
              <w:t>Contributions by owners</w:t>
            </w:r>
          </w:p>
        </w:tc>
        <w:tc>
          <w:tcPr>
            <w:tcW w:w="727" w:type="dxa"/>
            <w:tcBorders>
              <w:top w:val="nil"/>
              <w:left w:val="nil"/>
              <w:bottom w:val="nil"/>
              <w:right w:val="nil"/>
            </w:tcBorders>
            <w:shd w:val="clear" w:color="auto" w:fill="auto"/>
          </w:tcPr>
          <w:p w:rsidR="00617CB0" w:rsidRPr="00022D33" w:rsidRDefault="00617CB0" w:rsidP="000D7011">
            <w:pPr>
              <w:pStyle w:val="Tabletext"/>
              <w:jc w:val="right"/>
            </w:pPr>
          </w:p>
        </w:tc>
        <w:tc>
          <w:tcPr>
            <w:tcW w:w="1350" w:type="dxa"/>
            <w:tcBorders>
              <w:top w:val="nil"/>
              <w:left w:val="nil"/>
              <w:bottom w:val="nil"/>
              <w:right w:val="nil"/>
            </w:tcBorders>
            <w:shd w:val="clear" w:color="auto" w:fill="auto"/>
          </w:tcPr>
          <w:p w:rsidR="00617CB0" w:rsidRPr="00022D33" w:rsidRDefault="00617CB0" w:rsidP="000D7011">
            <w:pPr>
              <w:pStyle w:val="Tabletext"/>
              <w:jc w:val="right"/>
            </w:pPr>
            <w:r w:rsidRPr="00022D33">
              <w:t>2,077</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p>
        </w:tc>
        <w:tc>
          <w:tcPr>
            <w:tcW w:w="1472" w:type="dxa"/>
            <w:tcBorders>
              <w:top w:val="nil"/>
              <w:left w:val="nil"/>
              <w:bottom w:val="nil"/>
              <w:right w:val="nil"/>
            </w:tcBorders>
          </w:tcPr>
          <w:p w:rsidR="00617CB0" w:rsidRPr="00022D33" w:rsidRDefault="00617CB0" w:rsidP="000D7011">
            <w:pPr>
              <w:pStyle w:val="Tabletext"/>
              <w:jc w:val="right"/>
            </w:pPr>
          </w:p>
        </w:tc>
        <w:tc>
          <w:tcPr>
            <w:tcW w:w="1106" w:type="dxa"/>
            <w:tcBorders>
              <w:top w:val="nil"/>
              <w:left w:val="nil"/>
              <w:bottom w:val="nil"/>
              <w:right w:val="nil"/>
            </w:tcBorders>
          </w:tcPr>
          <w:p w:rsidR="00617CB0" w:rsidRPr="00022D33" w:rsidRDefault="00617CB0" w:rsidP="000D7011">
            <w:pPr>
              <w:pStyle w:val="Tabletext"/>
              <w:jc w:val="right"/>
            </w:pPr>
            <w:r w:rsidRPr="00022D33">
              <w:t>2,077</w:t>
            </w:r>
          </w:p>
        </w:tc>
      </w:tr>
      <w:tr w:rsidR="00617CB0" w:rsidRPr="00022D33" w:rsidTr="000D7011">
        <w:tc>
          <w:tcPr>
            <w:tcW w:w="4077" w:type="dxa"/>
            <w:tcBorders>
              <w:top w:val="nil"/>
              <w:left w:val="nil"/>
              <w:bottom w:val="nil"/>
              <w:right w:val="nil"/>
            </w:tcBorders>
            <w:shd w:val="clear" w:color="auto" w:fill="auto"/>
          </w:tcPr>
          <w:p w:rsidR="00617CB0" w:rsidRPr="00022D33" w:rsidRDefault="00617CB0" w:rsidP="000D7011">
            <w:pPr>
              <w:pStyle w:val="Tabletext"/>
            </w:pPr>
            <w:r w:rsidRPr="00022D33">
              <w:t>Total</w:t>
            </w:r>
          </w:p>
        </w:tc>
        <w:tc>
          <w:tcPr>
            <w:tcW w:w="727" w:type="dxa"/>
            <w:tcBorders>
              <w:top w:val="nil"/>
              <w:left w:val="nil"/>
              <w:bottom w:val="nil"/>
              <w:right w:val="nil"/>
            </w:tcBorders>
            <w:shd w:val="clear" w:color="auto" w:fill="auto"/>
          </w:tcPr>
          <w:p w:rsidR="00617CB0" w:rsidRPr="00022D33" w:rsidRDefault="00617CB0" w:rsidP="000D7011">
            <w:pPr>
              <w:pStyle w:val="Tabletext"/>
              <w:jc w:val="right"/>
            </w:pPr>
          </w:p>
        </w:tc>
        <w:tc>
          <w:tcPr>
            <w:tcW w:w="1350"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pPr>
            <w:r w:rsidRPr="00022D33">
              <w:t>17,430</w:t>
            </w:r>
          </w:p>
        </w:tc>
        <w:tc>
          <w:tcPr>
            <w:tcW w:w="1106"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pPr>
          </w:p>
        </w:tc>
        <w:tc>
          <w:tcPr>
            <w:tcW w:w="1472" w:type="dxa"/>
            <w:tcBorders>
              <w:top w:val="single" w:sz="4" w:space="0" w:color="auto"/>
              <w:left w:val="nil"/>
              <w:bottom w:val="single" w:sz="4" w:space="0" w:color="auto"/>
              <w:right w:val="nil"/>
            </w:tcBorders>
          </w:tcPr>
          <w:p w:rsidR="00617CB0" w:rsidRPr="00022D33" w:rsidRDefault="00617CB0" w:rsidP="000D7011">
            <w:pPr>
              <w:pStyle w:val="Tabletext"/>
              <w:jc w:val="right"/>
            </w:pPr>
          </w:p>
        </w:tc>
        <w:tc>
          <w:tcPr>
            <w:tcW w:w="1106" w:type="dxa"/>
            <w:tcBorders>
              <w:top w:val="single" w:sz="4" w:space="0" w:color="auto"/>
              <w:left w:val="nil"/>
              <w:bottom w:val="single" w:sz="4" w:space="0" w:color="auto"/>
              <w:right w:val="nil"/>
            </w:tcBorders>
          </w:tcPr>
          <w:p w:rsidR="00617CB0" w:rsidRPr="00022D33" w:rsidRDefault="00617CB0" w:rsidP="000D7011">
            <w:pPr>
              <w:pStyle w:val="Tabletext"/>
              <w:jc w:val="right"/>
            </w:pPr>
            <w:r w:rsidRPr="00022D33">
              <w:t>17,430</w:t>
            </w:r>
          </w:p>
        </w:tc>
      </w:tr>
      <w:tr w:rsidR="00617CB0" w:rsidRPr="00022D33" w:rsidTr="000D7011">
        <w:tc>
          <w:tcPr>
            <w:tcW w:w="4077" w:type="dxa"/>
            <w:tcBorders>
              <w:top w:val="nil"/>
              <w:left w:val="nil"/>
              <w:bottom w:val="nil"/>
              <w:right w:val="nil"/>
            </w:tcBorders>
            <w:shd w:val="clear" w:color="auto" w:fill="auto"/>
          </w:tcPr>
          <w:p w:rsidR="00617CB0" w:rsidRPr="00022D33" w:rsidRDefault="00617CB0" w:rsidP="000D7011">
            <w:pPr>
              <w:pStyle w:val="Tableboldedtext"/>
            </w:pPr>
            <w:r w:rsidRPr="00022D33">
              <w:t>Balance at 30 June 2015</w:t>
            </w:r>
          </w:p>
        </w:tc>
        <w:tc>
          <w:tcPr>
            <w:tcW w:w="727" w:type="dxa"/>
            <w:tcBorders>
              <w:top w:val="nil"/>
              <w:left w:val="nil"/>
              <w:bottom w:val="nil"/>
              <w:right w:val="nil"/>
            </w:tcBorders>
            <w:shd w:val="clear" w:color="auto" w:fill="auto"/>
          </w:tcPr>
          <w:p w:rsidR="00617CB0" w:rsidRPr="00022D33" w:rsidRDefault="00617CB0" w:rsidP="000D7011">
            <w:pPr>
              <w:pStyle w:val="Tabletext"/>
              <w:jc w:val="right"/>
            </w:pPr>
          </w:p>
        </w:tc>
        <w:tc>
          <w:tcPr>
            <w:tcW w:w="1350"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996,594</w:t>
            </w:r>
          </w:p>
        </w:tc>
        <w:tc>
          <w:tcPr>
            <w:tcW w:w="1106"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18,665</w:t>
            </w:r>
          </w:p>
        </w:tc>
        <w:tc>
          <w:tcPr>
            <w:tcW w:w="1472" w:type="dxa"/>
            <w:tcBorders>
              <w:top w:val="single" w:sz="4" w:space="0" w:color="auto"/>
              <w:left w:val="nil"/>
              <w:bottom w:val="double" w:sz="4" w:space="0" w:color="auto"/>
              <w:right w:val="nil"/>
            </w:tcBorders>
          </w:tcPr>
          <w:p w:rsidR="00617CB0" w:rsidRPr="00022D33" w:rsidRDefault="00617CB0" w:rsidP="000D7011">
            <w:pPr>
              <w:pStyle w:val="Tableboldedtext"/>
              <w:jc w:val="right"/>
            </w:pPr>
            <w:r w:rsidRPr="00022D33">
              <w:t>68,783</w:t>
            </w:r>
          </w:p>
        </w:tc>
        <w:tc>
          <w:tcPr>
            <w:tcW w:w="1106" w:type="dxa"/>
            <w:tcBorders>
              <w:top w:val="single" w:sz="4" w:space="0" w:color="auto"/>
              <w:left w:val="nil"/>
              <w:bottom w:val="double" w:sz="4" w:space="0" w:color="auto"/>
              <w:right w:val="nil"/>
            </w:tcBorders>
          </w:tcPr>
          <w:p w:rsidR="00617CB0" w:rsidRPr="00022D33" w:rsidRDefault="00617CB0" w:rsidP="000D7011">
            <w:pPr>
              <w:pStyle w:val="Tableboldedtext"/>
              <w:jc w:val="right"/>
            </w:pPr>
            <w:r w:rsidRPr="00022D33">
              <w:t>1,084,042</w:t>
            </w:r>
          </w:p>
        </w:tc>
      </w:tr>
      <w:tr w:rsidR="00617CB0" w:rsidRPr="00022D33" w:rsidTr="000D7011">
        <w:tc>
          <w:tcPr>
            <w:tcW w:w="4077" w:type="dxa"/>
            <w:tcBorders>
              <w:top w:val="nil"/>
              <w:left w:val="nil"/>
              <w:bottom w:val="nil"/>
              <w:right w:val="nil"/>
            </w:tcBorders>
            <w:shd w:val="clear" w:color="auto" w:fill="auto"/>
          </w:tcPr>
          <w:p w:rsidR="00617CB0" w:rsidRPr="00022D33" w:rsidRDefault="00617CB0" w:rsidP="000D7011">
            <w:pPr>
              <w:pStyle w:val="Tableboldedtext"/>
            </w:pPr>
          </w:p>
        </w:tc>
        <w:tc>
          <w:tcPr>
            <w:tcW w:w="727" w:type="dxa"/>
            <w:tcBorders>
              <w:top w:val="nil"/>
              <w:left w:val="nil"/>
              <w:bottom w:val="nil"/>
              <w:right w:val="nil"/>
            </w:tcBorders>
            <w:shd w:val="clear" w:color="auto" w:fill="auto"/>
          </w:tcPr>
          <w:p w:rsidR="00617CB0" w:rsidRPr="00022D33" w:rsidRDefault="00617CB0" w:rsidP="000D7011">
            <w:pPr>
              <w:pStyle w:val="Tabletext"/>
              <w:jc w:val="right"/>
            </w:pPr>
          </w:p>
        </w:tc>
        <w:tc>
          <w:tcPr>
            <w:tcW w:w="1350" w:type="dxa"/>
            <w:tcBorders>
              <w:top w:val="nil"/>
              <w:left w:val="nil"/>
              <w:bottom w:val="nil"/>
              <w:right w:val="nil"/>
            </w:tcBorders>
            <w:shd w:val="clear" w:color="auto" w:fill="auto"/>
          </w:tcPr>
          <w:p w:rsidR="00617CB0" w:rsidRPr="00022D33" w:rsidRDefault="00617CB0" w:rsidP="000D7011">
            <w:pPr>
              <w:pStyle w:val="Tabletext"/>
              <w:jc w:val="right"/>
            </w:pP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p>
        </w:tc>
        <w:tc>
          <w:tcPr>
            <w:tcW w:w="1472" w:type="dxa"/>
            <w:tcBorders>
              <w:top w:val="nil"/>
              <w:left w:val="nil"/>
              <w:bottom w:val="nil"/>
              <w:right w:val="nil"/>
            </w:tcBorders>
          </w:tcPr>
          <w:p w:rsidR="00617CB0" w:rsidRPr="00022D33" w:rsidRDefault="00617CB0" w:rsidP="000D7011">
            <w:pPr>
              <w:pStyle w:val="Tabletext"/>
              <w:jc w:val="right"/>
            </w:pPr>
          </w:p>
        </w:tc>
        <w:tc>
          <w:tcPr>
            <w:tcW w:w="1106" w:type="dxa"/>
            <w:tcBorders>
              <w:top w:val="nil"/>
              <w:left w:val="nil"/>
              <w:bottom w:val="nil"/>
              <w:right w:val="nil"/>
            </w:tcBorders>
          </w:tcPr>
          <w:p w:rsidR="00617CB0" w:rsidRPr="00022D33" w:rsidRDefault="00617CB0" w:rsidP="000D7011">
            <w:pPr>
              <w:pStyle w:val="Tabletext"/>
              <w:jc w:val="right"/>
            </w:pPr>
          </w:p>
        </w:tc>
      </w:tr>
      <w:tr w:rsidR="00617CB0" w:rsidRPr="00022D33" w:rsidTr="000D7011">
        <w:tc>
          <w:tcPr>
            <w:tcW w:w="4077" w:type="dxa"/>
            <w:tcBorders>
              <w:top w:val="nil"/>
              <w:left w:val="nil"/>
              <w:bottom w:val="nil"/>
              <w:right w:val="nil"/>
            </w:tcBorders>
            <w:shd w:val="clear" w:color="auto" w:fill="auto"/>
          </w:tcPr>
          <w:p w:rsidR="00617CB0" w:rsidRPr="00022D33" w:rsidRDefault="00617CB0" w:rsidP="000D7011">
            <w:pPr>
              <w:pStyle w:val="Tableboldedtext"/>
            </w:pPr>
            <w:r w:rsidRPr="00022D33">
              <w:t>Balance at 1 July 2015</w:t>
            </w:r>
          </w:p>
        </w:tc>
        <w:tc>
          <w:tcPr>
            <w:tcW w:w="727" w:type="dxa"/>
            <w:tcBorders>
              <w:top w:val="nil"/>
              <w:left w:val="nil"/>
              <w:bottom w:val="nil"/>
              <w:right w:val="nil"/>
            </w:tcBorders>
            <w:shd w:val="clear" w:color="auto" w:fill="auto"/>
          </w:tcPr>
          <w:p w:rsidR="00617CB0" w:rsidRPr="00022D33" w:rsidRDefault="00617CB0" w:rsidP="000D7011">
            <w:pPr>
              <w:pStyle w:val="Tabletext"/>
              <w:jc w:val="right"/>
            </w:pPr>
          </w:p>
        </w:tc>
        <w:tc>
          <w:tcPr>
            <w:tcW w:w="1350" w:type="dxa"/>
            <w:tcBorders>
              <w:top w:val="nil"/>
              <w:left w:val="nil"/>
              <w:bottom w:val="nil"/>
              <w:right w:val="nil"/>
            </w:tcBorders>
            <w:shd w:val="clear" w:color="auto" w:fill="auto"/>
          </w:tcPr>
          <w:p w:rsidR="00617CB0" w:rsidRPr="00022D33" w:rsidRDefault="00617CB0" w:rsidP="000D7011">
            <w:pPr>
              <w:pStyle w:val="Tabletext"/>
              <w:jc w:val="right"/>
            </w:pPr>
            <w:r w:rsidRPr="00022D33">
              <w:t>996,594</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18,665</w:t>
            </w:r>
          </w:p>
        </w:tc>
        <w:tc>
          <w:tcPr>
            <w:tcW w:w="1472" w:type="dxa"/>
            <w:tcBorders>
              <w:top w:val="nil"/>
              <w:left w:val="nil"/>
              <w:bottom w:val="nil"/>
              <w:right w:val="nil"/>
            </w:tcBorders>
          </w:tcPr>
          <w:p w:rsidR="00617CB0" w:rsidRPr="00022D33" w:rsidRDefault="00617CB0" w:rsidP="000D7011">
            <w:pPr>
              <w:pStyle w:val="Tabletext"/>
              <w:jc w:val="right"/>
            </w:pPr>
            <w:r w:rsidRPr="00022D33">
              <w:t>68,783</w:t>
            </w:r>
          </w:p>
        </w:tc>
        <w:tc>
          <w:tcPr>
            <w:tcW w:w="1106" w:type="dxa"/>
            <w:tcBorders>
              <w:top w:val="nil"/>
              <w:left w:val="nil"/>
              <w:bottom w:val="nil"/>
              <w:right w:val="nil"/>
            </w:tcBorders>
          </w:tcPr>
          <w:p w:rsidR="00617CB0" w:rsidRPr="00022D33" w:rsidRDefault="00617CB0" w:rsidP="000D7011">
            <w:pPr>
              <w:pStyle w:val="Tabletext"/>
              <w:jc w:val="right"/>
            </w:pPr>
            <w:r w:rsidRPr="00022D33">
              <w:t>1,084,042</w:t>
            </w:r>
          </w:p>
        </w:tc>
      </w:tr>
      <w:tr w:rsidR="00617CB0" w:rsidRPr="00022D33" w:rsidTr="000D7011">
        <w:tc>
          <w:tcPr>
            <w:tcW w:w="4077" w:type="dxa"/>
            <w:tcBorders>
              <w:top w:val="nil"/>
              <w:left w:val="nil"/>
              <w:bottom w:val="nil"/>
              <w:right w:val="nil"/>
            </w:tcBorders>
            <w:shd w:val="clear" w:color="auto" w:fill="auto"/>
          </w:tcPr>
          <w:p w:rsidR="00617CB0" w:rsidRPr="00022D33" w:rsidRDefault="00617CB0" w:rsidP="000D7011">
            <w:pPr>
              <w:pStyle w:val="Tabletext"/>
            </w:pPr>
            <w:r w:rsidRPr="00022D33">
              <w:t>Deficit</w:t>
            </w:r>
          </w:p>
        </w:tc>
        <w:tc>
          <w:tcPr>
            <w:tcW w:w="727" w:type="dxa"/>
            <w:tcBorders>
              <w:top w:val="nil"/>
              <w:left w:val="nil"/>
              <w:bottom w:val="nil"/>
              <w:right w:val="nil"/>
            </w:tcBorders>
            <w:shd w:val="clear" w:color="auto" w:fill="auto"/>
          </w:tcPr>
          <w:p w:rsidR="00617CB0" w:rsidRPr="00022D33" w:rsidRDefault="00617CB0" w:rsidP="000D7011">
            <w:pPr>
              <w:pStyle w:val="Tabletext"/>
              <w:jc w:val="right"/>
            </w:pPr>
          </w:p>
        </w:tc>
        <w:tc>
          <w:tcPr>
            <w:tcW w:w="1350"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1472" w:type="dxa"/>
            <w:tcBorders>
              <w:top w:val="nil"/>
              <w:left w:val="nil"/>
              <w:bottom w:val="nil"/>
              <w:right w:val="nil"/>
            </w:tcBorders>
          </w:tcPr>
          <w:p w:rsidR="00617CB0" w:rsidRPr="00022D33" w:rsidRDefault="00617CB0" w:rsidP="000D7011">
            <w:pPr>
              <w:pStyle w:val="Tabletext"/>
              <w:jc w:val="right"/>
            </w:pPr>
            <w:r w:rsidRPr="00022D33">
              <w:t>(20,491)</w:t>
            </w:r>
          </w:p>
        </w:tc>
        <w:tc>
          <w:tcPr>
            <w:tcW w:w="1106" w:type="dxa"/>
            <w:tcBorders>
              <w:top w:val="nil"/>
              <w:left w:val="nil"/>
              <w:bottom w:val="nil"/>
              <w:right w:val="nil"/>
            </w:tcBorders>
          </w:tcPr>
          <w:p w:rsidR="00617CB0" w:rsidRPr="00022D33" w:rsidRDefault="00617CB0" w:rsidP="000D7011">
            <w:pPr>
              <w:pStyle w:val="Tabletext"/>
              <w:jc w:val="right"/>
            </w:pPr>
            <w:r w:rsidRPr="00022D33">
              <w:t>(20,491)</w:t>
            </w:r>
          </w:p>
        </w:tc>
      </w:tr>
      <w:tr w:rsidR="00617CB0" w:rsidRPr="00022D33" w:rsidTr="000D7011">
        <w:tc>
          <w:tcPr>
            <w:tcW w:w="4077" w:type="dxa"/>
            <w:tcBorders>
              <w:top w:val="nil"/>
              <w:left w:val="nil"/>
              <w:bottom w:val="nil"/>
              <w:right w:val="nil"/>
            </w:tcBorders>
            <w:shd w:val="clear" w:color="auto" w:fill="auto"/>
          </w:tcPr>
          <w:p w:rsidR="00617CB0" w:rsidRPr="00022D33" w:rsidRDefault="00617CB0" w:rsidP="000D7011">
            <w:pPr>
              <w:pStyle w:val="Tabletext"/>
            </w:pPr>
            <w:r w:rsidRPr="00022D33">
              <w:t>Other comprehensive income</w:t>
            </w:r>
          </w:p>
        </w:tc>
        <w:tc>
          <w:tcPr>
            <w:tcW w:w="727" w:type="dxa"/>
            <w:tcBorders>
              <w:top w:val="nil"/>
              <w:left w:val="nil"/>
              <w:bottom w:val="nil"/>
              <w:right w:val="nil"/>
            </w:tcBorders>
            <w:shd w:val="clear" w:color="auto" w:fill="auto"/>
          </w:tcPr>
          <w:p w:rsidR="00617CB0" w:rsidRPr="00022D33" w:rsidRDefault="00617CB0" w:rsidP="000D7011">
            <w:pPr>
              <w:pStyle w:val="Tabletext"/>
              <w:jc w:val="right"/>
            </w:pPr>
          </w:p>
        </w:tc>
        <w:tc>
          <w:tcPr>
            <w:tcW w:w="1350"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w:t>
            </w:r>
          </w:p>
        </w:tc>
        <w:tc>
          <w:tcPr>
            <w:tcW w:w="1106"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(18,665)</w:t>
            </w:r>
          </w:p>
        </w:tc>
        <w:tc>
          <w:tcPr>
            <w:tcW w:w="1472" w:type="dxa"/>
            <w:tcBorders>
              <w:top w:val="nil"/>
              <w:left w:val="nil"/>
              <w:bottom w:val="single" w:sz="4" w:space="0" w:color="auto"/>
              <w:right w:val="nil"/>
            </w:tcBorders>
          </w:tcPr>
          <w:p w:rsidR="00617CB0" w:rsidRPr="00022D33" w:rsidRDefault="00617CB0" w:rsidP="000D7011">
            <w:pPr>
              <w:pStyle w:val="Tabletext"/>
              <w:jc w:val="right"/>
            </w:pPr>
            <w:r w:rsidRPr="00022D33">
              <w:t>-</w:t>
            </w:r>
          </w:p>
        </w:tc>
        <w:tc>
          <w:tcPr>
            <w:tcW w:w="1106" w:type="dxa"/>
            <w:tcBorders>
              <w:top w:val="nil"/>
              <w:left w:val="nil"/>
              <w:bottom w:val="single" w:sz="4" w:space="0" w:color="auto"/>
              <w:right w:val="nil"/>
            </w:tcBorders>
          </w:tcPr>
          <w:p w:rsidR="00617CB0" w:rsidRPr="00022D33" w:rsidRDefault="00617CB0" w:rsidP="000D7011">
            <w:pPr>
              <w:pStyle w:val="Tabletext"/>
              <w:jc w:val="right"/>
            </w:pPr>
            <w:r w:rsidRPr="00022D33">
              <w:t>(18,665)</w:t>
            </w:r>
          </w:p>
        </w:tc>
      </w:tr>
      <w:tr w:rsidR="00617CB0" w:rsidRPr="00022D33" w:rsidTr="000D7011">
        <w:tc>
          <w:tcPr>
            <w:tcW w:w="4077" w:type="dxa"/>
            <w:tcBorders>
              <w:top w:val="nil"/>
              <w:left w:val="nil"/>
              <w:bottom w:val="nil"/>
              <w:right w:val="nil"/>
            </w:tcBorders>
            <w:shd w:val="clear" w:color="auto" w:fill="auto"/>
          </w:tcPr>
          <w:p w:rsidR="00617CB0" w:rsidRPr="00022D33" w:rsidRDefault="00617CB0" w:rsidP="000D7011">
            <w:pPr>
              <w:pStyle w:val="Tabletext"/>
            </w:pPr>
            <w:r w:rsidRPr="00022D33">
              <w:t>Total comprehensive income for the period</w:t>
            </w:r>
          </w:p>
        </w:tc>
        <w:tc>
          <w:tcPr>
            <w:tcW w:w="727" w:type="dxa"/>
            <w:tcBorders>
              <w:top w:val="nil"/>
              <w:left w:val="nil"/>
              <w:bottom w:val="nil"/>
              <w:right w:val="nil"/>
            </w:tcBorders>
            <w:shd w:val="clear" w:color="auto" w:fill="auto"/>
          </w:tcPr>
          <w:p w:rsidR="00617CB0" w:rsidRPr="00022D33" w:rsidRDefault="00617CB0" w:rsidP="000D7011">
            <w:pPr>
              <w:pStyle w:val="Tabletext"/>
              <w:jc w:val="right"/>
            </w:pPr>
          </w:p>
        </w:tc>
        <w:tc>
          <w:tcPr>
            <w:tcW w:w="1350"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pPr>
            <w:r w:rsidRPr="00022D33">
              <w:t>-</w:t>
            </w:r>
          </w:p>
        </w:tc>
        <w:tc>
          <w:tcPr>
            <w:tcW w:w="1106"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pPr>
            <w:r w:rsidRPr="00022D33">
              <w:t>(18,665)</w:t>
            </w:r>
          </w:p>
        </w:tc>
        <w:tc>
          <w:tcPr>
            <w:tcW w:w="1472" w:type="dxa"/>
            <w:tcBorders>
              <w:top w:val="single" w:sz="4" w:space="0" w:color="auto"/>
              <w:left w:val="nil"/>
              <w:bottom w:val="single" w:sz="4" w:space="0" w:color="auto"/>
              <w:right w:val="nil"/>
            </w:tcBorders>
          </w:tcPr>
          <w:p w:rsidR="00617CB0" w:rsidRPr="00022D33" w:rsidRDefault="00617CB0" w:rsidP="000D7011">
            <w:pPr>
              <w:pStyle w:val="Tabletext"/>
              <w:jc w:val="right"/>
            </w:pPr>
            <w:r w:rsidRPr="00022D33">
              <w:t>(20,491)</w:t>
            </w:r>
          </w:p>
        </w:tc>
        <w:tc>
          <w:tcPr>
            <w:tcW w:w="1106" w:type="dxa"/>
            <w:tcBorders>
              <w:top w:val="single" w:sz="4" w:space="0" w:color="auto"/>
              <w:left w:val="nil"/>
              <w:bottom w:val="single" w:sz="4" w:space="0" w:color="auto"/>
              <w:right w:val="nil"/>
            </w:tcBorders>
          </w:tcPr>
          <w:p w:rsidR="00617CB0" w:rsidRPr="00022D33" w:rsidRDefault="00617CB0" w:rsidP="000D7011">
            <w:pPr>
              <w:pStyle w:val="Tabletext"/>
              <w:jc w:val="right"/>
            </w:pPr>
            <w:r w:rsidRPr="00022D33">
              <w:t>(39,156)</w:t>
            </w:r>
          </w:p>
        </w:tc>
      </w:tr>
      <w:tr w:rsidR="00617CB0" w:rsidRPr="00022D33" w:rsidTr="000D7011">
        <w:tc>
          <w:tcPr>
            <w:tcW w:w="9838" w:type="dxa"/>
            <w:gridSpan w:val="6"/>
            <w:tcBorders>
              <w:top w:val="nil"/>
              <w:left w:val="nil"/>
              <w:bottom w:val="nil"/>
              <w:right w:val="nil"/>
            </w:tcBorders>
            <w:shd w:val="clear" w:color="auto" w:fill="auto"/>
          </w:tcPr>
          <w:p w:rsidR="00617CB0" w:rsidRPr="00022D33" w:rsidRDefault="00617CB0" w:rsidP="000D7011">
            <w:pPr>
              <w:pStyle w:val="Tabletext"/>
            </w:pPr>
          </w:p>
        </w:tc>
      </w:tr>
      <w:tr w:rsidR="00617CB0" w:rsidRPr="00022D33" w:rsidTr="000D7011">
        <w:tc>
          <w:tcPr>
            <w:tcW w:w="9838" w:type="dxa"/>
            <w:gridSpan w:val="6"/>
            <w:tcBorders>
              <w:top w:val="nil"/>
              <w:left w:val="nil"/>
              <w:bottom w:val="nil"/>
              <w:right w:val="nil"/>
            </w:tcBorders>
            <w:shd w:val="clear" w:color="auto" w:fill="auto"/>
          </w:tcPr>
          <w:p w:rsidR="00617CB0" w:rsidRPr="00022D33" w:rsidRDefault="00617CB0" w:rsidP="000D7011">
            <w:pPr>
              <w:pStyle w:val="Tabletext"/>
            </w:pPr>
            <w:r w:rsidRPr="00022D33">
              <w:t>Transactions with owners in their capacity as owners:</w:t>
            </w:r>
          </w:p>
        </w:tc>
      </w:tr>
      <w:tr w:rsidR="00617CB0" w:rsidRPr="00022D33" w:rsidTr="000D7011">
        <w:tc>
          <w:tcPr>
            <w:tcW w:w="4077" w:type="dxa"/>
            <w:tcBorders>
              <w:top w:val="nil"/>
              <w:left w:val="nil"/>
              <w:bottom w:val="nil"/>
              <w:right w:val="nil"/>
            </w:tcBorders>
            <w:shd w:val="clear" w:color="auto" w:fill="auto"/>
          </w:tcPr>
          <w:p w:rsidR="00617CB0" w:rsidRPr="00022D33" w:rsidRDefault="00617CB0" w:rsidP="000D7011">
            <w:pPr>
              <w:pStyle w:val="Tabletext"/>
            </w:pPr>
            <w:r w:rsidRPr="00022D33">
              <w:t>Capital appropriations</w:t>
            </w:r>
          </w:p>
        </w:tc>
        <w:tc>
          <w:tcPr>
            <w:tcW w:w="727" w:type="dxa"/>
            <w:tcBorders>
              <w:top w:val="nil"/>
              <w:left w:val="nil"/>
              <w:bottom w:val="nil"/>
              <w:right w:val="nil"/>
            </w:tcBorders>
            <w:shd w:val="clear" w:color="auto" w:fill="auto"/>
          </w:tcPr>
          <w:p w:rsidR="00617CB0" w:rsidRPr="00022D33" w:rsidRDefault="00617CB0" w:rsidP="000D7011">
            <w:pPr>
              <w:pStyle w:val="Tabletext"/>
              <w:jc w:val="right"/>
            </w:pPr>
          </w:p>
        </w:tc>
        <w:tc>
          <w:tcPr>
            <w:tcW w:w="1350" w:type="dxa"/>
            <w:tcBorders>
              <w:top w:val="nil"/>
              <w:left w:val="nil"/>
              <w:bottom w:val="nil"/>
              <w:right w:val="nil"/>
            </w:tcBorders>
            <w:shd w:val="clear" w:color="auto" w:fill="auto"/>
          </w:tcPr>
          <w:p w:rsidR="00617CB0" w:rsidRPr="00022D33" w:rsidRDefault="00617CB0" w:rsidP="000D7011">
            <w:pPr>
              <w:pStyle w:val="Tabletext"/>
              <w:jc w:val="right"/>
            </w:pPr>
            <w:r w:rsidRPr="00022D33">
              <w:t>84,268</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1472" w:type="dxa"/>
            <w:tcBorders>
              <w:top w:val="nil"/>
              <w:left w:val="nil"/>
              <w:bottom w:val="nil"/>
              <w:right w:val="nil"/>
            </w:tcBorders>
          </w:tcPr>
          <w:p w:rsidR="00617CB0" w:rsidRPr="00022D33" w:rsidRDefault="00617CB0" w:rsidP="000D7011">
            <w:pPr>
              <w:pStyle w:val="Tabletext"/>
              <w:jc w:val="right"/>
            </w:pPr>
            <w:r w:rsidRPr="00022D33">
              <w:t>-</w:t>
            </w:r>
          </w:p>
        </w:tc>
        <w:tc>
          <w:tcPr>
            <w:tcW w:w="1106" w:type="dxa"/>
            <w:tcBorders>
              <w:top w:val="nil"/>
              <w:left w:val="nil"/>
              <w:bottom w:val="nil"/>
              <w:right w:val="nil"/>
            </w:tcBorders>
          </w:tcPr>
          <w:p w:rsidR="00617CB0" w:rsidRPr="00022D33" w:rsidRDefault="00617CB0" w:rsidP="000D7011">
            <w:pPr>
              <w:pStyle w:val="Tabletext"/>
              <w:jc w:val="right"/>
            </w:pPr>
            <w:r w:rsidRPr="00022D33">
              <w:t>84,268</w:t>
            </w:r>
          </w:p>
        </w:tc>
      </w:tr>
      <w:tr w:rsidR="00617CB0" w:rsidRPr="00022D33" w:rsidTr="000D7011">
        <w:tc>
          <w:tcPr>
            <w:tcW w:w="4077" w:type="dxa"/>
            <w:tcBorders>
              <w:top w:val="nil"/>
              <w:left w:val="nil"/>
              <w:bottom w:val="nil"/>
              <w:right w:val="nil"/>
            </w:tcBorders>
            <w:shd w:val="clear" w:color="auto" w:fill="auto"/>
          </w:tcPr>
          <w:p w:rsidR="00617CB0" w:rsidRPr="00022D33" w:rsidRDefault="00617CB0" w:rsidP="000D7011">
            <w:pPr>
              <w:pStyle w:val="Tabletext"/>
            </w:pPr>
            <w:r w:rsidRPr="00022D33">
              <w:t xml:space="preserve">Contributions by owners </w:t>
            </w:r>
          </w:p>
        </w:tc>
        <w:tc>
          <w:tcPr>
            <w:tcW w:w="727" w:type="dxa"/>
            <w:tcBorders>
              <w:top w:val="nil"/>
              <w:left w:val="nil"/>
              <w:bottom w:val="nil"/>
              <w:right w:val="nil"/>
            </w:tcBorders>
            <w:shd w:val="clear" w:color="auto" w:fill="auto"/>
          </w:tcPr>
          <w:p w:rsidR="00617CB0" w:rsidRPr="00022D33" w:rsidRDefault="00617CB0" w:rsidP="000D7011">
            <w:pPr>
              <w:pStyle w:val="Tabletext"/>
            </w:pPr>
          </w:p>
        </w:tc>
        <w:tc>
          <w:tcPr>
            <w:tcW w:w="1350" w:type="dxa"/>
            <w:tcBorders>
              <w:top w:val="nil"/>
              <w:left w:val="nil"/>
              <w:bottom w:val="nil"/>
              <w:right w:val="nil"/>
            </w:tcBorders>
            <w:shd w:val="clear" w:color="auto" w:fill="auto"/>
          </w:tcPr>
          <w:p w:rsidR="00617CB0" w:rsidRPr="00022D33" w:rsidRDefault="00617CB0" w:rsidP="000D7011">
            <w:pPr>
              <w:pStyle w:val="Tabletext"/>
              <w:jc w:val="right"/>
            </w:pPr>
            <w:r w:rsidRPr="00022D33">
              <w:t>5,250</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1472" w:type="dxa"/>
            <w:tcBorders>
              <w:top w:val="nil"/>
              <w:left w:val="nil"/>
              <w:bottom w:val="nil"/>
              <w:right w:val="nil"/>
            </w:tcBorders>
          </w:tcPr>
          <w:p w:rsidR="00617CB0" w:rsidRPr="00022D33" w:rsidRDefault="00617CB0" w:rsidP="000D7011">
            <w:pPr>
              <w:pStyle w:val="Tabletext"/>
              <w:jc w:val="right"/>
            </w:pPr>
            <w:r w:rsidRPr="00022D33">
              <w:t>-</w:t>
            </w:r>
          </w:p>
        </w:tc>
        <w:tc>
          <w:tcPr>
            <w:tcW w:w="1106" w:type="dxa"/>
            <w:tcBorders>
              <w:top w:val="nil"/>
              <w:left w:val="nil"/>
              <w:bottom w:val="nil"/>
              <w:right w:val="nil"/>
            </w:tcBorders>
          </w:tcPr>
          <w:p w:rsidR="00617CB0" w:rsidRPr="00022D33" w:rsidRDefault="00617CB0" w:rsidP="000D7011">
            <w:pPr>
              <w:pStyle w:val="Tabletext"/>
              <w:jc w:val="right"/>
            </w:pPr>
            <w:r w:rsidRPr="00022D33">
              <w:t>5,250</w:t>
            </w:r>
          </w:p>
        </w:tc>
      </w:tr>
      <w:tr w:rsidR="00617CB0" w:rsidRPr="00022D33" w:rsidTr="000D7011">
        <w:tc>
          <w:tcPr>
            <w:tcW w:w="4077" w:type="dxa"/>
            <w:tcBorders>
              <w:top w:val="nil"/>
              <w:left w:val="nil"/>
              <w:bottom w:val="nil"/>
              <w:right w:val="nil"/>
            </w:tcBorders>
            <w:shd w:val="clear" w:color="auto" w:fill="auto"/>
          </w:tcPr>
          <w:p w:rsidR="00617CB0" w:rsidRPr="00022D33" w:rsidRDefault="00617CB0" w:rsidP="000D7011">
            <w:pPr>
              <w:pStyle w:val="Tabletext"/>
            </w:pPr>
            <w:r w:rsidRPr="00022D33">
              <w:t>Distributions to owners</w:t>
            </w:r>
          </w:p>
        </w:tc>
        <w:tc>
          <w:tcPr>
            <w:tcW w:w="727" w:type="dxa"/>
            <w:tcBorders>
              <w:top w:val="nil"/>
              <w:left w:val="nil"/>
              <w:bottom w:val="nil"/>
              <w:right w:val="nil"/>
            </w:tcBorders>
            <w:shd w:val="clear" w:color="auto" w:fill="auto"/>
          </w:tcPr>
          <w:p w:rsidR="00617CB0" w:rsidRPr="00022D33" w:rsidRDefault="00617CB0" w:rsidP="000D7011">
            <w:pPr>
              <w:pStyle w:val="Tabletext"/>
            </w:pPr>
          </w:p>
        </w:tc>
        <w:tc>
          <w:tcPr>
            <w:tcW w:w="1350"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(59,169)</w:t>
            </w:r>
          </w:p>
        </w:tc>
        <w:tc>
          <w:tcPr>
            <w:tcW w:w="1106"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w:t>
            </w:r>
          </w:p>
        </w:tc>
        <w:tc>
          <w:tcPr>
            <w:tcW w:w="1472" w:type="dxa"/>
            <w:tcBorders>
              <w:top w:val="nil"/>
              <w:left w:val="nil"/>
              <w:bottom w:val="single" w:sz="4" w:space="0" w:color="auto"/>
              <w:right w:val="nil"/>
            </w:tcBorders>
          </w:tcPr>
          <w:p w:rsidR="00617CB0" w:rsidRPr="00022D33" w:rsidRDefault="00617CB0" w:rsidP="000D7011">
            <w:pPr>
              <w:pStyle w:val="Tabletext"/>
              <w:jc w:val="right"/>
            </w:pPr>
            <w:r w:rsidRPr="00022D33">
              <w:t>-</w:t>
            </w:r>
          </w:p>
        </w:tc>
        <w:tc>
          <w:tcPr>
            <w:tcW w:w="1106" w:type="dxa"/>
            <w:tcBorders>
              <w:top w:val="nil"/>
              <w:left w:val="nil"/>
              <w:bottom w:val="single" w:sz="4" w:space="0" w:color="auto"/>
              <w:right w:val="nil"/>
            </w:tcBorders>
          </w:tcPr>
          <w:p w:rsidR="00617CB0" w:rsidRPr="00022D33" w:rsidRDefault="00617CB0" w:rsidP="000D7011">
            <w:pPr>
              <w:pStyle w:val="Tabletext"/>
              <w:jc w:val="right"/>
            </w:pPr>
            <w:r w:rsidRPr="00022D33">
              <w:t>(59,169)</w:t>
            </w:r>
          </w:p>
        </w:tc>
      </w:tr>
      <w:tr w:rsidR="00617CB0" w:rsidRPr="00022D33" w:rsidTr="000D7011">
        <w:tc>
          <w:tcPr>
            <w:tcW w:w="4077" w:type="dxa"/>
            <w:tcBorders>
              <w:top w:val="nil"/>
              <w:left w:val="nil"/>
              <w:bottom w:val="nil"/>
              <w:right w:val="nil"/>
            </w:tcBorders>
            <w:shd w:val="clear" w:color="auto" w:fill="auto"/>
          </w:tcPr>
          <w:p w:rsidR="00617CB0" w:rsidRPr="00022D33" w:rsidRDefault="00617CB0" w:rsidP="000D7011">
            <w:pPr>
              <w:pStyle w:val="Tabletext"/>
            </w:pPr>
            <w:r w:rsidRPr="00022D33">
              <w:t>Total</w:t>
            </w:r>
          </w:p>
        </w:tc>
        <w:tc>
          <w:tcPr>
            <w:tcW w:w="727" w:type="dxa"/>
            <w:tcBorders>
              <w:top w:val="nil"/>
              <w:left w:val="nil"/>
              <w:bottom w:val="nil"/>
              <w:right w:val="nil"/>
            </w:tcBorders>
            <w:shd w:val="clear" w:color="auto" w:fill="auto"/>
          </w:tcPr>
          <w:p w:rsidR="00617CB0" w:rsidRPr="00022D33" w:rsidRDefault="00617CB0" w:rsidP="000D7011">
            <w:pPr>
              <w:pStyle w:val="Tabletext"/>
              <w:jc w:val="right"/>
            </w:pPr>
          </w:p>
        </w:tc>
        <w:tc>
          <w:tcPr>
            <w:tcW w:w="1350"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pPr>
            <w:r w:rsidRPr="00022D33">
              <w:t>30,349</w:t>
            </w:r>
          </w:p>
        </w:tc>
        <w:tc>
          <w:tcPr>
            <w:tcW w:w="1106"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pPr>
            <w:r w:rsidRPr="00022D33">
              <w:t>-</w:t>
            </w:r>
          </w:p>
        </w:tc>
        <w:tc>
          <w:tcPr>
            <w:tcW w:w="1472" w:type="dxa"/>
            <w:tcBorders>
              <w:top w:val="single" w:sz="4" w:space="0" w:color="auto"/>
              <w:left w:val="nil"/>
              <w:bottom w:val="single" w:sz="4" w:space="0" w:color="auto"/>
              <w:right w:val="nil"/>
            </w:tcBorders>
          </w:tcPr>
          <w:p w:rsidR="00617CB0" w:rsidRPr="00022D33" w:rsidRDefault="00617CB0" w:rsidP="000D7011">
            <w:pPr>
              <w:pStyle w:val="Tabletext"/>
              <w:jc w:val="right"/>
            </w:pPr>
            <w:r w:rsidRPr="00022D33">
              <w:t>-</w:t>
            </w:r>
          </w:p>
        </w:tc>
        <w:tc>
          <w:tcPr>
            <w:tcW w:w="1106" w:type="dxa"/>
            <w:tcBorders>
              <w:top w:val="single" w:sz="4" w:space="0" w:color="auto"/>
              <w:left w:val="nil"/>
              <w:bottom w:val="single" w:sz="4" w:space="0" w:color="auto"/>
              <w:right w:val="nil"/>
            </w:tcBorders>
          </w:tcPr>
          <w:p w:rsidR="00617CB0" w:rsidRPr="00022D33" w:rsidRDefault="00617CB0" w:rsidP="000D7011">
            <w:pPr>
              <w:pStyle w:val="Tabletext"/>
              <w:jc w:val="right"/>
            </w:pPr>
            <w:r w:rsidRPr="00022D33">
              <w:t>30,349</w:t>
            </w:r>
          </w:p>
        </w:tc>
      </w:tr>
      <w:tr w:rsidR="00617CB0" w:rsidRPr="00022D33" w:rsidTr="000D7011">
        <w:tc>
          <w:tcPr>
            <w:tcW w:w="4077" w:type="dxa"/>
            <w:tcBorders>
              <w:top w:val="nil"/>
              <w:left w:val="nil"/>
              <w:bottom w:val="nil"/>
              <w:right w:val="nil"/>
            </w:tcBorders>
            <w:shd w:val="clear" w:color="auto" w:fill="auto"/>
          </w:tcPr>
          <w:p w:rsidR="00617CB0" w:rsidRPr="00022D33" w:rsidRDefault="00617CB0" w:rsidP="000D7011">
            <w:pPr>
              <w:pStyle w:val="Tableboldedtext"/>
            </w:pPr>
            <w:r w:rsidRPr="00022D33">
              <w:t>Balance at 30 June 2015</w:t>
            </w:r>
          </w:p>
        </w:tc>
        <w:tc>
          <w:tcPr>
            <w:tcW w:w="727" w:type="dxa"/>
            <w:tcBorders>
              <w:top w:val="nil"/>
              <w:left w:val="nil"/>
              <w:bottom w:val="nil"/>
              <w:right w:val="nil"/>
            </w:tcBorders>
            <w:shd w:val="clear" w:color="auto" w:fill="auto"/>
          </w:tcPr>
          <w:p w:rsidR="00617CB0" w:rsidRPr="00022D33" w:rsidRDefault="00617CB0" w:rsidP="000D7011">
            <w:pPr>
              <w:pStyle w:val="Tabletext"/>
              <w:jc w:val="right"/>
            </w:pPr>
          </w:p>
        </w:tc>
        <w:tc>
          <w:tcPr>
            <w:tcW w:w="1350"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1,026,943</w:t>
            </w:r>
          </w:p>
        </w:tc>
        <w:tc>
          <w:tcPr>
            <w:tcW w:w="1106"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w:t>
            </w:r>
          </w:p>
        </w:tc>
        <w:tc>
          <w:tcPr>
            <w:tcW w:w="1472" w:type="dxa"/>
            <w:tcBorders>
              <w:top w:val="single" w:sz="4" w:space="0" w:color="auto"/>
              <w:left w:val="nil"/>
              <w:bottom w:val="double" w:sz="4" w:space="0" w:color="auto"/>
              <w:right w:val="nil"/>
            </w:tcBorders>
          </w:tcPr>
          <w:p w:rsidR="00617CB0" w:rsidRPr="00022D33" w:rsidRDefault="00617CB0" w:rsidP="000D7011">
            <w:pPr>
              <w:pStyle w:val="Tableboldedtext"/>
              <w:jc w:val="right"/>
            </w:pPr>
            <w:r w:rsidRPr="00022D33">
              <w:t>48,292</w:t>
            </w:r>
          </w:p>
        </w:tc>
        <w:tc>
          <w:tcPr>
            <w:tcW w:w="1106" w:type="dxa"/>
            <w:tcBorders>
              <w:top w:val="single" w:sz="4" w:space="0" w:color="auto"/>
              <w:left w:val="nil"/>
              <w:bottom w:val="double" w:sz="4" w:space="0" w:color="auto"/>
              <w:right w:val="nil"/>
            </w:tcBorders>
          </w:tcPr>
          <w:p w:rsidR="00617CB0" w:rsidRPr="00022D33" w:rsidRDefault="00617CB0" w:rsidP="000D7011">
            <w:pPr>
              <w:pStyle w:val="Tableboldedtext"/>
              <w:jc w:val="right"/>
            </w:pPr>
            <w:r w:rsidRPr="00022D33">
              <w:t>1,075,236</w:t>
            </w:r>
          </w:p>
        </w:tc>
      </w:tr>
    </w:tbl>
    <w:p w:rsidR="00617CB0" w:rsidRPr="00022D33" w:rsidRDefault="00617CB0" w:rsidP="00617CB0">
      <w:pPr>
        <w:pStyle w:val="BodyText"/>
      </w:pPr>
      <w:r w:rsidRPr="00022D33">
        <w:t>The Statement of Changes in Equity should be read in conjunction with the accompanying notes.</w:t>
      </w:r>
    </w:p>
    <w:p w:rsidR="00617CB0" w:rsidRPr="00022D33" w:rsidRDefault="00617CB0" w:rsidP="00617CB0">
      <w:pPr>
        <w:pStyle w:val="Heading2"/>
      </w:pPr>
      <w:r w:rsidRPr="00022D33">
        <w:br w:type="page"/>
      </w:r>
      <w:r w:rsidRPr="00022D33">
        <w:lastRenderedPageBreak/>
        <w:t>Statement of Cash Flows</w:t>
      </w:r>
    </w:p>
    <w:p w:rsidR="00617CB0" w:rsidRPr="00022D33" w:rsidRDefault="00617CB0" w:rsidP="00617CB0">
      <w:pPr>
        <w:pStyle w:val="Heading3"/>
      </w:pPr>
      <w:r w:rsidRPr="00022D33">
        <w:t>For the year ended 30 June 2016</w:t>
      </w:r>
    </w:p>
    <w:p w:rsidR="00617CB0" w:rsidRPr="00022D33" w:rsidRDefault="00196F4C" w:rsidP="00617CB0">
      <w:pPr>
        <w:pStyle w:val="Caption"/>
        <w:keepNext/>
        <w:spacing w:after="60"/>
        <w:rPr>
          <w:noProof/>
        </w:rPr>
      </w:pPr>
      <w:fldSimple w:instr=" SEQ Table \* ARABIC ">
        <w:r w:rsidR="00D8778B">
          <w:rPr>
            <w:noProof/>
          </w:rPr>
          <w:t>8</w:t>
        </w:r>
      </w:fldSimple>
      <w:r w:rsidR="00617CB0" w:rsidRPr="00022D33">
        <w:rPr>
          <w:noProof/>
        </w:rPr>
        <w:t xml:space="preserve"> Statement of Cash Flows. For the year ended 30 June 2016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772"/>
        <w:gridCol w:w="1240"/>
        <w:gridCol w:w="1240"/>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tc>
        <w:tc>
          <w:tcPr>
            <w:tcW w:w="772" w:type="dxa"/>
            <w:tcBorders>
              <w:top w:val="nil"/>
              <w:left w:val="nil"/>
              <w:bottom w:val="nil"/>
              <w:right w:val="nil"/>
            </w:tcBorders>
            <w:shd w:val="clear" w:color="auto" w:fill="auto"/>
          </w:tcPr>
          <w:p w:rsidR="00617CB0" w:rsidRPr="00022D33" w:rsidRDefault="00617CB0" w:rsidP="000D7011">
            <w:pPr>
              <w:pStyle w:val="Tableboldedtext"/>
              <w:jc w:val="right"/>
            </w:pPr>
            <w:r w:rsidRPr="00022D33">
              <w:t>Note</w:t>
            </w:r>
          </w:p>
        </w:tc>
        <w:tc>
          <w:tcPr>
            <w:tcW w:w="1240" w:type="dxa"/>
            <w:tcBorders>
              <w:top w:val="nil"/>
              <w:left w:val="nil"/>
              <w:bottom w:val="nil"/>
              <w:right w:val="nil"/>
            </w:tcBorders>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240"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b/>
              </w:rPr>
            </w:pPr>
            <w:r w:rsidRPr="00022D33">
              <w:rPr>
                <w:b/>
              </w:rPr>
              <w:t>CASH FLOWS FROM STATE GOVERNMENT</w:t>
            </w:r>
          </w:p>
        </w:tc>
        <w:tc>
          <w:tcPr>
            <w:tcW w:w="772" w:type="dxa"/>
            <w:tcBorders>
              <w:top w:val="nil"/>
              <w:left w:val="nil"/>
              <w:bottom w:val="nil"/>
              <w:right w:val="nil"/>
            </w:tcBorders>
            <w:shd w:val="clear" w:color="auto" w:fill="auto"/>
          </w:tcPr>
          <w:p w:rsidR="00617CB0" w:rsidRPr="00022D33" w:rsidRDefault="00617CB0" w:rsidP="000D7011">
            <w:pPr>
              <w:pStyle w:val="Tabletext"/>
              <w:rPr>
                <w:b/>
              </w:rPr>
            </w:pPr>
          </w:p>
        </w:tc>
        <w:tc>
          <w:tcPr>
            <w:tcW w:w="1240" w:type="dxa"/>
            <w:tcBorders>
              <w:top w:val="nil"/>
              <w:left w:val="nil"/>
              <w:bottom w:val="nil"/>
              <w:right w:val="nil"/>
            </w:tcBorders>
          </w:tcPr>
          <w:p w:rsidR="00617CB0" w:rsidRPr="00022D33" w:rsidRDefault="00617CB0" w:rsidP="000D7011">
            <w:pPr>
              <w:pStyle w:val="Tabletext"/>
              <w:jc w:val="right"/>
              <w:rPr>
                <w:b/>
              </w:rPr>
            </w:pPr>
          </w:p>
        </w:tc>
        <w:tc>
          <w:tcPr>
            <w:tcW w:w="1240" w:type="dxa"/>
            <w:tcBorders>
              <w:top w:val="nil"/>
              <w:left w:val="nil"/>
              <w:bottom w:val="nil"/>
              <w:right w:val="nil"/>
            </w:tcBorders>
            <w:shd w:val="clear" w:color="auto" w:fill="auto"/>
          </w:tcPr>
          <w:p w:rsidR="00617CB0" w:rsidRPr="00022D33" w:rsidRDefault="00617CB0" w:rsidP="000D7011">
            <w:pPr>
              <w:pStyle w:val="Tabletext"/>
              <w:jc w:val="right"/>
              <w:rPr>
                <w:b/>
              </w:rPr>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Service appropriations </w:t>
            </w:r>
          </w:p>
        </w:tc>
        <w:tc>
          <w:tcPr>
            <w:tcW w:w="772" w:type="dxa"/>
            <w:tcBorders>
              <w:top w:val="nil"/>
              <w:left w:val="nil"/>
              <w:bottom w:val="nil"/>
              <w:right w:val="nil"/>
            </w:tcBorders>
            <w:shd w:val="clear" w:color="auto" w:fill="auto"/>
          </w:tcPr>
          <w:p w:rsidR="00617CB0" w:rsidRPr="00022D33" w:rsidRDefault="00617CB0" w:rsidP="000D7011">
            <w:pPr>
              <w:pStyle w:val="Tabletext"/>
            </w:pPr>
          </w:p>
        </w:tc>
        <w:tc>
          <w:tcPr>
            <w:tcW w:w="1240" w:type="dxa"/>
            <w:tcBorders>
              <w:top w:val="nil"/>
              <w:left w:val="nil"/>
              <w:bottom w:val="nil"/>
              <w:right w:val="nil"/>
            </w:tcBorders>
          </w:tcPr>
          <w:p w:rsidR="00617CB0" w:rsidRPr="00022D33" w:rsidRDefault="00617CB0" w:rsidP="000D7011">
            <w:pPr>
              <w:pStyle w:val="Tabletext"/>
              <w:jc w:val="right"/>
            </w:pPr>
            <w:r w:rsidRPr="00022D33">
              <w:t>151,719</w:t>
            </w:r>
          </w:p>
        </w:tc>
        <w:tc>
          <w:tcPr>
            <w:tcW w:w="1240" w:type="dxa"/>
            <w:tcBorders>
              <w:top w:val="nil"/>
              <w:left w:val="nil"/>
              <w:bottom w:val="nil"/>
              <w:right w:val="nil"/>
            </w:tcBorders>
            <w:shd w:val="clear" w:color="auto" w:fill="auto"/>
          </w:tcPr>
          <w:p w:rsidR="00617CB0" w:rsidRPr="00022D33" w:rsidRDefault="00617CB0" w:rsidP="000D7011">
            <w:pPr>
              <w:pStyle w:val="Tabletext"/>
              <w:jc w:val="right"/>
            </w:pPr>
            <w:r w:rsidRPr="00022D33">
              <w:t>121,485</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Capital appropriations </w:t>
            </w:r>
          </w:p>
        </w:tc>
        <w:tc>
          <w:tcPr>
            <w:tcW w:w="772" w:type="dxa"/>
            <w:tcBorders>
              <w:top w:val="nil"/>
              <w:left w:val="nil"/>
              <w:bottom w:val="nil"/>
              <w:right w:val="nil"/>
            </w:tcBorders>
            <w:shd w:val="clear" w:color="auto" w:fill="auto"/>
          </w:tcPr>
          <w:p w:rsidR="00617CB0" w:rsidRPr="00022D33" w:rsidRDefault="00617CB0" w:rsidP="000D7011">
            <w:pPr>
              <w:pStyle w:val="Tabletext"/>
            </w:pPr>
          </w:p>
        </w:tc>
        <w:tc>
          <w:tcPr>
            <w:tcW w:w="1240" w:type="dxa"/>
            <w:tcBorders>
              <w:top w:val="nil"/>
              <w:left w:val="nil"/>
              <w:bottom w:val="nil"/>
              <w:right w:val="nil"/>
            </w:tcBorders>
          </w:tcPr>
          <w:p w:rsidR="00617CB0" w:rsidRPr="00022D33" w:rsidRDefault="00617CB0" w:rsidP="000D7011">
            <w:pPr>
              <w:pStyle w:val="Tabletext"/>
              <w:jc w:val="right"/>
            </w:pPr>
            <w:r w:rsidRPr="00022D33">
              <w:t>84,268</w:t>
            </w:r>
          </w:p>
        </w:tc>
        <w:tc>
          <w:tcPr>
            <w:tcW w:w="1240" w:type="dxa"/>
            <w:tcBorders>
              <w:top w:val="nil"/>
              <w:left w:val="nil"/>
              <w:bottom w:val="nil"/>
              <w:right w:val="nil"/>
            </w:tcBorders>
            <w:shd w:val="clear" w:color="auto" w:fill="auto"/>
          </w:tcPr>
          <w:p w:rsidR="00617CB0" w:rsidRPr="00022D33" w:rsidRDefault="00617CB0" w:rsidP="000D7011">
            <w:pPr>
              <w:pStyle w:val="Tabletext"/>
              <w:jc w:val="right"/>
            </w:pPr>
            <w:r w:rsidRPr="00022D33">
              <w:t>15,353</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Holding account drawdowns</w:t>
            </w:r>
          </w:p>
        </w:tc>
        <w:tc>
          <w:tcPr>
            <w:tcW w:w="772" w:type="dxa"/>
            <w:tcBorders>
              <w:top w:val="nil"/>
              <w:left w:val="nil"/>
              <w:bottom w:val="nil"/>
              <w:right w:val="nil"/>
            </w:tcBorders>
            <w:shd w:val="clear" w:color="auto" w:fill="auto"/>
          </w:tcPr>
          <w:p w:rsidR="00617CB0" w:rsidRPr="00022D33" w:rsidRDefault="00617CB0" w:rsidP="000D7011">
            <w:pPr>
              <w:pStyle w:val="Tabletext"/>
            </w:pPr>
          </w:p>
        </w:tc>
        <w:tc>
          <w:tcPr>
            <w:tcW w:w="1240" w:type="dxa"/>
            <w:tcBorders>
              <w:top w:val="nil"/>
              <w:left w:val="nil"/>
              <w:bottom w:val="nil"/>
              <w:right w:val="nil"/>
            </w:tcBorders>
          </w:tcPr>
          <w:p w:rsidR="00617CB0" w:rsidRPr="00022D33" w:rsidRDefault="00617CB0" w:rsidP="000D7011">
            <w:pPr>
              <w:pStyle w:val="Tabletext"/>
              <w:jc w:val="right"/>
            </w:pPr>
            <w:r w:rsidRPr="00022D33">
              <w:t>1,469</w:t>
            </w:r>
          </w:p>
        </w:tc>
        <w:tc>
          <w:tcPr>
            <w:tcW w:w="1240" w:type="dxa"/>
            <w:tcBorders>
              <w:top w:val="nil"/>
              <w:left w:val="nil"/>
              <w:bottom w:val="nil"/>
              <w:right w:val="nil"/>
            </w:tcBorders>
            <w:shd w:val="clear" w:color="auto" w:fill="auto"/>
          </w:tcPr>
          <w:p w:rsidR="00617CB0" w:rsidRPr="00022D33" w:rsidRDefault="00617CB0" w:rsidP="000D7011">
            <w:pPr>
              <w:pStyle w:val="Tabletext"/>
              <w:jc w:val="right"/>
            </w:pPr>
            <w:r w:rsidRPr="00022D33">
              <w:t>1,553</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Receipts from Treasurer’s advance </w:t>
            </w:r>
          </w:p>
        </w:tc>
        <w:tc>
          <w:tcPr>
            <w:tcW w:w="772" w:type="dxa"/>
            <w:tcBorders>
              <w:top w:val="nil"/>
              <w:left w:val="nil"/>
              <w:bottom w:val="nil"/>
              <w:right w:val="nil"/>
            </w:tcBorders>
            <w:shd w:val="clear" w:color="auto" w:fill="auto"/>
          </w:tcPr>
          <w:p w:rsidR="00617CB0" w:rsidRPr="00022D33" w:rsidRDefault="00617CB0" w:rsidP="000D7011">
            <w:pPr>
              <w:pStyle w:val="Tabletext"/>
            </w:pPr>
          </w:p>
        </w:tc>
        <w:tc>
          <w:tcPr>
            <w:tcW w:w="1240" w:type="dxa"/>
            <w:tcBorders>
              <w:top w:val="nil"/>
              <w:left w:val="nil"/>
              <w:bottom w:val="nil"/>
              <w:right w:val="nil"/>
            </w:tcBorders>
          </w:tcPr>
          <w:p w:rsidR="00617CB0" w:rsidRPr="00022D33" w:rsidRDefault="00617CB0" w:rsidP="000D7011">
            <w:pPr>
              <w:pStyle w:val="Tabletext"/>
              <w:jc w:val="right"/>
            </w:pPr>
            <w:r w:rsidRPr="00022D33">
              <w:t>-</w:t>
            </w:r>
          </w:p>
        </w:tc>
        <w:tc>
          <w:tcPr>
            <w:tcW w:w="1240" w:type="dxa"/>
            <w:tcBorders>
              <w:top w:val="nil"/>
              <w:left w:val="nil"/>
              <w:bottom w:val="nil"/>
              <w:right w:val="nil"/>
            </w:tcBorders>
            <w:shd w:val="clear" w:color="auto" w:fill="auto"/>
          </w:tcPr>
          <w:p w:rsidR="00617CB0" w:rsidRPr="00022D33" w:rsidRDefault="00617CB0" w:rsidP="000D7011">
            <w:pPr>
              <w:pStyle w:val="Tabletext"/>
              <w:jc w:val="right"/>
            </w:pPr>
            <w:r w:rsidRPr="00022D33">
              <w:t>100,000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Payments to Treasurer’s advance </w:t>
            </w:r>
          </w:p>
        </w:tc>
        <w:tc>
          <w:tcPr>
            <w:tcW w:w="772" w:type="dxa"/>
            <w:tcBorders>
              <w:top w:val="nil"/>
              <w:left w:val="nil"/>
              <w:bottom w:val="nil"/>
              <w:right w:val="nil"/>
            </w:tcBorders>
            <w:shd w:val="clear" w:color="auto" w:fill="auto"/>
          </w:tcPr>
          <w:p w:rsidR="00617CB0" w:rsidRPr="00022D33" w:rsidRDefault="00617CB0" w:rsidP="000D7011">
            <w:pPr>
              <w:pStyle w:val="Tabletext"/>
            </w:pPr>
          </w:p>
        </w:tc>
        <w:tc>
          <w:tcPr>
            <w:tcW w:w="1240" w:type="dxa"/>
            <w:tcBorders>
              <w:top w:val="nil"/>
              <w:left w:val="nil"/>
              <w:bottom w:val="nil"/>
              <w:right w:val="nil"/>
            </w:tcBorders>
          </w:tcPr>
          <w:p w:rsidR="00617CB0" w:rsidRPr="00022D33" w:rsidRDefault="00617CB0" w:rsidP="000D7011">
            <w:pPr>
              <w:pStyle w:val="Tabletext"/>
              <w:jc w:val="right"/>
            </w:pPr>
            <w:r w:rsidRPr="00022D33">
              <w:t>-</w:t>
            </w:r>
          </w:p>
        </w:tc>
        <w:tc>
          <w:tcPr>
            <w:tcW w:w="1240" w:type="dxa"/>
            <w:tcBorders>
              <w:top w:val="nil"/>
              <w:left w:val="nil"/>
              <w:bottom w:val="nil"/>
              <w:right w:val="nil"/>
            </w:tcBorders>
            <w:shd w:val="clear" w:color="auto" w:fill="auto"/>
          </w:tcPr>
          <w:p w:rsidR="00617CB0" w:rsidRPr="00022D33" w:rsidRDefault="00617CB0" w:rsidP="000D7011">
            <w:pPr>
              <w:pStyle w:val="Tabletext"/>
              <w:jc w:val="right"/>
            </w:pPr>
            <w:r w:rsidRPr="00022D33">
              <w:t>(100,000)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Royalties for Regions Fund</w:t>
            </w:r>
          </w:p>
        </w:tc>
        <w:tc>
          <w:tcPr>
            <w:tcW w:w="772" w:type="dxa"/>
            <w:tcBorders>
              <w:top w:val="nil"/>
              <w:left w:val="nil"/>
              <w:bottom w:val="nil"/>
              <w:right w:val="nil"/>
            </w:tcBorders>
            <w:shd w:val="clear" w:color="auto" w:fill="auto"/>
          </w:tcPr>
          <w:p w:rsidR="00617CB0" w:rsidRPr="00022D33" w:rsidRDefault="00617CB0" w:rsidP="000D7011">
            <w:pPr>
              <w:pStyle w:val="Tabletext"/>
            </w:pPr>
          </w:p>
        </w:tc>
        <w:tc>
          <w:tcPr>
            <w:tcW w:w="1240" w:type="dxa"/>
            <w:tcBorders>
              <w:top w:val="nil"/>
              <w:left w:val="nil"/>
              <w:bottom w:val="nil"/>
              <w:right w:val="nil"/>
            </w:tcBorders>
          </w:tcPr>
          <w:p w:rsidR="00617CB0" w:rsidRPr="00022D33" w:rsidRDefault="00617CB0" w:rsidP="000D7011">
            <w:pPr>
              <w:pStyle w:val="Tabletext"/>
              <w:jc w:val="right"/>
            </w:pPr>
            <w:r w:rsidRPr="00022D33">
              <w:t>127</w:t>
            </w:r>
          </w:p>
        </w:tc>
        <w:tc>
          <w:tcPr>
            <w:tcW w:w="1240" w:type="dxa"/>
            <w:tcBorders>
              <w:top w:val="nil"/>
              <w:left w:val="nil"/>
              <w:bottom w:val="nil"/>
              <w:right w:val="nil"/>
            </w:tcBorders>
            <w:shd w:val="clear" w:color="auto" w:fill="auto"/>
          </w:tcPr>
          <w:p w:rsidR="00617CB0" w:rsidRPr="00022D33" w:rsidRDefault="00617CB0" w:rsidP="000D7011">
            <w:pPr>
              <w:pStyle w:val="Tabletext"/>
              <w:jc w:val="right"/>
            </w:pPr>
            <w:r w:rsidRPr="00022D33">
              <w:t>189</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Regional Infrastructure and Headworks Fund</w:t>
            </w:r>
          </w:p>
        </w:tc>
        <w:tc>
          <w:tcPr>
            <w:tcW w:w="772" w:type="dxa"/>
            <w:tcBorders>
              <w:top w:val="nil"/>
              <w:left w:val="nil"/>
              <w:bottom w:val="nil"/>
              <w:right w:val="nil"/>
            </w:tcBorders>
            <w:shd w:val="clear" w:color="auto" w:fill="auto"/>
          </w:tcPr>
          <w:p w:rsidR="00617CB0" w:rsidRPr="00022D33" w:rsidRDefault="00617CB0" w:rsidP="000D7011">
            <w:pPr>
              <w:pStyle w:val="Tabletext"/>
            </w:pPr>
          </w:p>
        </w:tc>
        <w:tc>
          <w:tcPr>
            <w:tcW w:w="1240" w:type="dxa"/>
            <w:tcBorders>
              <w:top w:val="nil"/>
              <w:left w:val="nil"/>
              <w:bottom w:val="nil"/>
              <w:right w:val="nil"/>
            </w:tcBorders>
          </w:tcPr>
          <w:p w:rsidR="00617CB0" w:rsidRPr="00022D33" w:rsidRDefault="00617CB0" w:rsidP="000D7011">
            <w:pPr>
              <w:pStyle w:val="Tabletext"/>
              <w:jc w:val="right"/>
            </w:pPr>
            <w:r w:rsidRPr="00022D33">
              <w:t>5,250</w:t>
            </w:r>
          </w:p>
        </w:tc>
        <w:tc>
          <w:tcPr>
            <w:tcW w:w="1240" w:type="dxa"/>
            <w:tcBorders>
              <w:top w:val="nil"/>
              <w:left w:val="nil"/>
              <w:bottom w:val="nil"/>
              <w:right w:val="nil"/>
            </w:tcBorders>
            <w:shd w:val="clear" w:color="auto" w:fill="auto"/>
          </w:tcPr>
          <w:p w:rsidR="00617CB0" w:rsidRPr="00022D33" w:rsidRDefault="00617CB0" w:rsidP="000D7011">
            <w:pPr>
              <w:pStyle w:val="Tabletext"/>
              <w:jc w:val="right"/>
            </w:pPr>
            <w:r w:rsidRPr="00022D33">
              <w:t>500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Non-retained revenue distributed to owner</w:t>
            </w:r>
          </w:p>
        </w:tc>
        <w:tc>
          <w:tcPr>
            <w:tcW w:w="772" w:type="dxa"/>
            <w:tcBorders>
              <w:top w:val="nil"/>
              <w:left w:val="nil"/>
              <w:bottom w:val="nil"/>
              <w:right w:val="nil"/>
            </w:tcBorders>
            <w:shd w:val="clear" w:color="auto" w:fill="auto"/>
          </w:tcPr>
          <w:p w:rsidR="00617CB0" w:rsidRPr="00022D33" w:rsidRDefault="00617CB0" w:rsidP="000D7011">
            <w:pPr>
              <w:pStyle w:val="Tabletext"/>
            </w:pPr>
          </w:p>
        </w:tc>
        <w:tc>
          <w:tcPr>
            <w:tcW w:w="1240" w:type="dxa"/>
            <w:tcBorders>
              <w:top w:val="nil"/>
              <w:left w:val="nil"/>
              <w:bottom w:val="single" w:sz="4" w:space="0" w:color="auto"/>
              <w:right w:val="nil"/>
            </w:tcBorders>
          </w:tcPr>
          <w:p w:rsidR="00617CB0" w:rsidRPr="00022D33" w:rsidRDefault="00617CB0" w:rsidP="000D7011">
            <w:pPr>
              <w:pStyle w:val="Tabletext"/>
              <w:jc w:val="right"/>
            </w:pPr>
            <w:r w:rsidRPr="00022D33">
              <w:t>(96)</w:t>
            </w:r>
          </w:p>
        </w:tc>
        <w:tc>
          <w:tcPr>
            <w:tcW w:w="1240"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r w:rsidRPr="00022D33">
              <w:t>Net cash provided by State Government</w:t>
            </w:r>
          </w:p>
        </w:tc>
        <w:tc>
          <w:tcPr>
            <w:tcW w:w="772" w:type="dxa"/>
            <w:tcBorders>
              <w:top w:val="nil"/>
              <w:left w:val="nil"/>
              <w:bottom w:val="nil"/>
              <w:right w:val="nil"/>
            </w:tcBorders>
            <w:shd w:val="clear" w:color="auto" w:fill="auto"/>
          </w:tcPr>
          <w:p w:rsidR="00617CB0" w:rsidRPr="00022D33" w:rsidRDefault="00617CB0" w:rsidP="000D7011">
            <w:pPr>
              <w:pStyle w:val="Tabletext"/>
            </w:pPr>
          </w:p>
        </w:tc>
        <w:tc>
          <w:tcPr>
            <w:tcW w:w="1240" w:type="dxa"/>
            <w:tcBorders>
              <w:top w:val="single" w:sz="4" w:space="0" w:color="auto"/>
              <w:left w:val="nil"/>
              <w:bottom w:val="single" w:sz="4" w:space="0" w:color="auto"/>
              <w:right w:val="nil"/>
            </w:tcBorders>
          </w:tcPr>
          <w:p w:rsidR="00617CB0" w:rsidRPr="00022D33" w:rsidRDefault="00617CB0" w:rsidP="000D7011">
            <w:pPr>
              <w:pStyle w:val="Tableboldedtext"/>
              <w:jc w:val="right"/>
            </w:pPr>
            <w:r w:rsidRPr="00022D33">
              <w:t>242,738</w:t>
            </w:r>
          </w:p>
        </w:tc>
        <w:tc>
          <w:tcPr>
            <w:tcW w:w="1240"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139,080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772" w:type="dxa"/>
            <w:tcBorders>
              <w:top w:val="nil"/>
              <w:left w:val="nil"/>
              <w:bottom w:val="nil"/>
              <w:right w:val="nil"/>
            </w:tcBorders>
            <w:shd w:val="clear" w:color="auto" w:fill="auto"/>
          </w:tcPr>
          <w:p w:rsidR="00617CB0" w:rsidRPr="00022D33" w:rsidRDefault="00617CB0" w:rsidP="000D7011">
            <w:pPr>
              <w:pStyle w:val="Tabletext"/>
            </w:pPr>
          </w:p>
        </w:tc>
        <w:tc>
          <w:tcPr>
            <w:tcW w:w="1240" w:type="dxa"/>
            <w:tcBorders>
              <w:top w:val="nil"/>
              <w:left w:val="nil"/>
              <w:bottom w:val="nil"/>
              <w:right w:val="nil"/>
            </w:tcBorders>
          </w:tcPr>
          <w:p w:rsidR="00617CB0" w:rsidRPr="00022D33" w:rsidRDefault="00617CB0" w:rsidP="000D7011">
            <w:pPr>
              <w:pStyle w:val="Tabletext"/>
              <w:jc w:val="right"/>
            </w:pPr>
          </w:p>
        </w:tc>
        <w:tc>
          <w:tcPr>
            <w:tcW w:w="1240"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Utilised as follows:</w:t>
            </w:r>
          </w:p>
        </w:tc>
        <w:tc>
          <w:tcPr>
            <w:tcW w:w="772" w:type="dxa"/>
            <w:tcBorders>
              <w:top w:val="nil"/>
              <w:left w:val="nil"/>
              <w:bottom w:val="nil"/>
              <w:right w:val="nil"/>
            </w:tcBorders>
            <w:shd w:val="clear" w:color="auto" w:fill="auto"/>
          </w:tcPr>
          <w:p w:rsidR="00617CB0" w:rsidRPr="00022D33" w:rsidRDefault="00617CB0" w:rsidP="000D7011">
            <w:pPr>
              <w:pStyle w:val="Tabletext"/>
            </w:pPr>
          </w:p>
        </w:tc>
        <w:tc>
          <w:tcPr>
            <w:tcW w:w="1240" w:type="dxa"/>
            <w:tcBorders>
              <w:top w:val="nil"/>
              <w:left w:val="nil"/>
              <w:bottom w:val="nil"/>
              <w:right w:val="nil"/>
            </w:tcBorders>
          </w:tcPr>
          <w:p w:rsidR="00617CB0" w:rsidRPr="00022D33" w:rsidRDefault="00617CB0" w:rsidP="000D7011">
            <w:pPr>
              <w:pStyle w:val="Tabletext"/>
              <w:jc w:val="right"/>
            </w:pPr>
          </w:p>
        </w:tc>
        <w:tc>
          <w:tcPr>
            <w:tcW w:w="1240"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b/>
              </w:rPr>
            </w:pPr>
            <w:r w:rsidRPr="00022D33">
              <w:rPr>
                <w:b/>
              </w:rPr>
              <w:t>CASH FLOWS FROM OPERATING ACTIVITIES</w:t>
            </w:r>
          </w:p>
        </w:tc>
        <w:tc>
          <w:tcPr>
            <w:tcW w:w="772" w:type="dxa"/>
            <w:tcBorders>
              <w:top w:val="nil"/>
              <w:left w:val="nil"/>
              <w:bottom w:val="nil"/>
              <w:right w:val="nil"/>
            </w:tcBorders>
            <w:shd w:val="clear" w:color="auto" w:fill="auto"/>
          </w:tcPr>
          <w:p w:rsidR="00617CB0" w:rsidRPr="00022D33" w:rsidRDefault="00617CB0" w:rsidP="000D7011">
            <w:pPr>
              <w:pStyle w:val="Tabletext"/>
              <w:rPr>
                <w:b/>
              </w:rPr>
            </w:pPr>
          </w:p>
        </w:tc>
        <w:tc>
          <w:tcPr>
            <w:tcW w:w="1240" w:type="dxa"/>
            <w:tcBorders>
              <w:top w:val="nil"/>
              <w:left w:val="nil"/>
              <w:bottom w:val="nil"/>
              <w:right w:val="nil"/>
            </w:tcBorders>
          </w:tcPr>
          <w:p w:rsidR="00617CB0" w:rsidRPr="00022D33" w:rsidRDefault="00617CB0" w:rsidP="000D7011">
            <w:pPr>
              <w:pStyle w:val="Tabletext"/>
              <w:jc w:val="right"/>
              <w:rPr>
                <w:b/>
              </w:rPr>
            </w:pPr>
          </w:p>
        </w:tc>
        <w:tc>
          <w:tcPr>
            <w:tcW w:w="1240" w:type="dxa"/>
            <w:tcBorders>
              <w:top w:val="nil"/>
              <w:left w:val="nil"/>
              <w:bottom w:val="nil"/>
              <w:right w:val="nil"/>
            </w:tcBorders>
            <w:shd w:val="clear" w:color="auto" w:fill="auto"/>
          </w:tcPr>
          <w:p w:rsidR="00617CB0" w:rsidRPr="00022D33" w:rsidRDefault="00617CB0" w:rsidP="000D7011">
            <w:pPr>
              <w:pStyle w:val="Tabletext"/>
              <w:jc w:val="right"/>
              <w:rPr>
                <w:b/>
              </w:rPr>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b/>
              </w:rPr>
            </w:pPr>
            <w:r w:rsidRPr="00022D33">
              <w:rPr>
                <w:b/>
              </w:rPr>
              <w:t xml:space="preserve">Payments </w:t>
            </w:r>
          </w:p>
        </w:tc>
        <w:tc>
          <w:tcPr>
            <w:tcW w:w="772" w:type="dxa"/>
            <w:tcBorders>
              <w:top w:val="nil"/>
              <w:left w:val="nil"/>
              <w:bottom w:val="nil"/>
              <w:right w:val="nil"/>
            </w:tcBorders>
            <w:shd w:val="clear" w:color="auto" w:fill="auto"/>
          </w:tcPr>
          <w:p w:rsidR="00617CB0" w:rsidRPr="00022D33" w:rsidRDefault="00617CB0" w:rsidP="000D7011">
            <w:pPr>
              <w:pStyle w:val="Tabletext"/>
              <w:rPr>
                <w:b/>
              </w:rPr>
            </w:pPr>
          </w:p>
        </w:tc>
        <w:tc>
          <w:tcPr>
            <w:tcW w:w="1240" w:type="dxa"/>
            <w:tcBorders>
              <w:top w:val="nil"/>
              <w:left w:val="nil"/>
              <w:bottom w:val="nil"/>
              <w:right w:val="nil"/>
            </w:tcBorders>
          </w:tcPr>
          <w:p w:rsidR="00617CB0" w:rsidRPr="00022D33" w:rsidRDefault="00617CB0" w:rsidP="000D7011">
            <w:pPr>
              <w:pStyle w:val="Tabletext"/>
              <w:jc w:val="right"/>
              <w:rPr>
                <w:b/>
              </w:rPr>
            </w:pPr>
          </w:p>
        </w:tc>
        <w:tc>
          <w:tcPr>
            <w:tcW w:w="1240" w:type="dxa"/>
            <w:tcBorders>
              <w:top w:val="nil"/>
              <w:left w:val="nil"/>
              <w:bottom w:val="nil"/>
              <w:right w:val="nil"/>
            </w:tcBorders>
            <w:shd w:val="clear" w:color="auto" w:fill="auto"/>
          </w:tcPr>
          <w:p w:rsidR="00617CB0" w:rsidRPr="00022D33" w:rsidRDefault="00617CB0" w:rsidP="000D7011">
            <w:pPr>
              <w:pStyle w:val="Tabletext"/>
              <w:jc w:val="right"/>
              <w:rPr>
                <w:b/>
              </w:rPr>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Employee benefits </w:t>
            </w:r>
          </w:p>
        </w:tc>
        <w:tc>
          <w:tcPr>
            <w:tcW w:w="772" w:type="dxa"/>
            <w:tcBorders>
              <w:top w:val="nil"/>
              <w:left w:val="nil"/>
              <w:bottom w:val="nil"/>
              <w:right w:val="nil"/>
            </w:tcBorders>
            <w:shd w:val="clear" w:color="auto" w:fill="auto"/>
          </w:tcPr>
          <w:p w:rsidR="00617CB0" w:rsidRPr="00022D33" w:rsidRDefault="00617CB0" w:rsidP="000D7011">
            <w:pPr>
              <w:pStyle w:val="Tabletext"/>
            </w:pPr>
          </w:p>
        </w:tc>
        <w:tc>
          <w:tcPr>
            <w:tcW w:w="1240" w:type="dxa"/>
            <w:tcBorders>
              <w:top w:val="nil"/>
              <w:left w:val="nil"/>
              <w:bottom w:val="nil"/>
              <w:right w:val="nil"/>
            </w:tcBorders>
          </w:tcPr>
          <w:p w:rsidR="00617CB0" w:rsidRPr="00022D33" w:rsidRDefault="00617CB0" w:rsidP="000D7011">
            <w:pPr>
              <w:pStyle w:val="Tabletext"/>
              <w:jc w:val="right"/>
            </w:pPr>
            <w:r w:rsidRPr="00022D33">
              <w:t>(135,221)</w:t>
            </w:r>
          </w:p>
        </w:tc>
        <w:tc>
          <w:tcPr>
            <w:tcW w:w="1240" w:type="dxa"/>
            <w:tcBorders>
              <w:top w:val="nil"/>
              <w:left w:val="nil"/>
              <w:bottom w:val="nil"/>
              <w:right w:val="nil"/>
            </w:tcBorders>
            <w:shd w:val="clear" w:color="auto" w:fill="auto"/>
          </w:tcPr>
          <w:p w:rsidR="00617CB0" w:rsidRPr="00022D33" w:rsidRDefault="00617CB0" w:rsidP="000D7011">
            <w:pPr>
              <w:pStyle w:val="Tabletext"/>
              <w:jc w:val="right"/>
            </w:pPr>
            <w:r w:rsidRPr="00022D33">
              <w:t>(137,905)</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Supplies and services</w:t>
            </w:r>
          </w:p>
        </w:tc>
        <w:tc>
          <w:tcPr>
            <w:tcW w:w="772" w:type="dxa"/>
            <w:tcBorders>
              <w:top w:val="nil"/>
              <w:left w:val="nil"/>
              <w:bottom w:val="nil"/>
              <w:right w:val="nil"/>
            </w:tcBorders>
            <w:shd w:val="clear" w:color="auto" w:fill="auto"/>
          </w:tcPr>
          <w:p w:rsidR="00617CB0" w:rsidRPr="00022D33" w:rsidRDefault="00617CB0" w:rsidP="000D7011">
            <w:pPr>
              <w:pStyle w:val="Tabletext"/>
            </w:pPr>
          </w:p>
        </w:tc>
        <w:tc>
          <w:tcPr>
            <w:tcW w:w="1240" w:type="dxa"/>
            <w:tcBorders>
              <w:top w:val="nil"/>
              <w:left w:val="nil"/>
              <w:bottom w:val="nil"/>
              <w:right w:val="nil"/>
            </w:tcBorders>
          </w:tcPr>
          <w:p w:rsidR="00617CB0" w:rsidRPr="00022D33" w:rsidRDefault="00617CB0" w:rsidP="000D7011">
            <w:pPr>
              <w:pStyle w:val="Tabletext"/>
              <w:jc w:val="right"/>
            </w:pPr>
            <w:r w:rsidRPr="00022D33">
              <w:t>(873,672)</w:t>
            </w:r>
          </w:p>
        </w:tc>
        <w:tc>
          <w:tcPr>
            <w:tcW w:w="1240" w:type="dxa"/>
            <w:tcBorders>
              <w:top w:val="nil"/>
              <w:left w:val="nil"/>
              <w:bottom w:val="nil"/>
              <w:right w:val="nil"/>
            </w:tcBorders>
            <w:shd w:val="clear" w:color="auto" w:fill="auto"/>
          </w:tcPr>
          <w:p w:rsidR="00617CB0" w:rsidRPr="00022D33" w:rsidRDefault="00617CB0" w:rsidP="000D7011">
            <w:pPr>
              <w:pStyle w:val="Tabletext"/>
              <w:jc w:val="right"/>
            </w:pPr>
            <w:r w:rsidRPr="00022D33">
              <w:t>(1,018,899)</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Finance costs </w:t>
            </w:r>
          </w:p>
        </w:tc>
        <w:tc>
          <w:tcPr>
            <w:tcW w:w="772" w:type="dxa"/>
            <w:tcBorders>
              <w:top w:val="nil"/>
              <w:left w:val="nil"/>
              <w:bottom w:val="nil"/>
              <w:right w:val="nil"/>
            </w:tcBorders>
            <w:shd w:val="clear" w:color="auto" w:fill="auto"/>
          </w:tcPr>
          <w:p w:rsidR="00617CB0" w:rsidRPr="00022D33" w:rsidRDefault="00617CB0" w:rsidP="000D7011">
            <w:pPr>
              <w:pStyle w:val="Tabletext"/>
            </w:pPr>
          </w:p>
        </w:tc>
        <w:tc>
          <w:tcPr>
            <w:tcW w:w="1240" w:type="dxa"/>
            <w:tcBorders>
              <w:top w:val="nil"/>
              <w:left w:val="nil"/>
              <w:bottom w:val="nil"/>
              <w:right w:val="nil"/>
            </w:tcBorders>
          </w:tcPr>
          <w:p w:rsidR="00617CB0" w:rsidRPr="00022D33" w:rsidRDefault="00617CB0" w:rsidP="000D7011">
            <w:pPr>
              <w:pStyle w:val="Tabletext"/>
              <w:jc w:val="right"/>
            </w:pPr>
            <w:r w:rsidRPr="00022D33">
              <w:t>(7,743)</w:t>
            </w:r>
          </w:p>
        </w:tc>
        <w:tc>
          <w:tcPr>
            <w:tcW w:w="1240" w:type="dxa"/>
            <w:tcBorders>
              <w:top w:val="nil"/>
              <w:left w:val="nil"/>
              <w:bottom w:val="nil"/>
              <w:right w:val="nil"/>
            </w:tcBorders>
            <w:shd w:val="clear" w:color="auto" w:fill="auto"/>
          </w:tcPr>
          <w:p w:rsidR="00617CB0" w:rsidRPr="00022D33" w:rsidRDefault="00617CB0" w:rsidP="000D7011">
            <w:pPr>
              <w:pStyle w:val="Tabletext"/>
              <w:jc w:val="right"/>
            </w:pPr>
            <w:r w:rsidRPr="00022D33">
              <w:t>(4,884)</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Accommodation</w:t>
            </w:r>
          </w:p>
        </w:tc>
        <w:tc>
          <w:tcPr>
            <w:tcW w:w="772" w:type="dxa"/>
            <w:tcBorders>
              <w:top w:val="nil"/>
              <w:left w:val="nil"/>
              <w:bottom w:val="nil"/>
              <w:right w:val="nil"/>
            </w:tcBorders>
            <w:shd w:val="clear" w:color="auto" w:fill="auto"/>
          </w:tcPr>
          <w:p w:rsidR="00617CB0" w:rsidRPr="00022D33" w:rsidRDefault="00617CB0" w:rsidP="000D7011">
            <w:pPr>
              <w:pStyle w:val="Tabletext"/>
            </w:pPr>
          </w:p>
        </w:tc>
        <w:tc>
          <w:tcPr>
            <w:tcW w:w="1240" w:type="dxa"/>
            <w:tcBorders>
              <w:top w:val="nil"/>
              <w:left w:val="nil"/>
              <w:bottom w:val="nil"/>
              <w:right w:val="nil"/>
            </w:tcBorders>
          </w:tcPr>
          <w:p w:rsidR="00617CB0" w:rsidRPr="00022D33" w:rsidRDefault="00617CB0" w:rsidP="000D7011">
            <w:pPr>
              <w:pStyle w:val="Tabletext"/>
              <w:jc w:val="right"/>
            </w:pPr>
            <w:r w:rsidRPr="00022D33">
              <w:t>(21,959)</w:t>
            </w:r>
          </w:p>
        </w:tc>
        <w:tc>
          <w:tcPr>
            <w:tcW w:w="1240" w:type="dxa"/>
            <w:tcBorders>
              <w:top w:val="nil"/>
              <w:left w:val="nil"/>
              <w:bottom w:val="nil"/>
              <w:right w:val="nil"/>
            </w:tcBorders>
            <w:shd w:val="clear" w:color="auto" w:fill="auto"/>
          </w:tcPr>
          <w:p w:rsidR="00617CB0" w:rsidRPr="00022D33" w:rsidRDefault="00617CB0" w:rsidP="000D7011">
            <w:pPr>
              <w:pStyle w:val="Tabletext"/>
              <w:jc w:val="right"/>
            </w:pPr>
            <w:r w:rsidRPr="00022D33">
              <w:t>(26,793)</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Grants and subsidies</w:t>
            </w:r>
          </w:p>
        </w:tc>
        <w:tc>
          <w:tcPr>
            <w:tcW w:w="772" w:type="dxa"/>
            <w:tcBorders>
              <w:top w:val="nil"/>
              <w:left w:val="nil"/>
              <w:bottom w:val="nil"/>
              <w:right w:val="nil"/>
            </w:tcBorders>
            <w:shd w:val="clear" w:color="auto" w:fill="auto"/>
          </w:tcPr>
          <w:p w:rsidR="00617CB0" w:rsidRPr="00022D33" w:rsidRDefault="00617CB0" w:rsidP="000D7011">
            <w:pPr>
              <w:pStyle w:val="Tabletext"/>
            </w:pPr>
          </w:p>
        </w:tc>
        <w:tc>
          <w:tcPr>
            <w:tcW w:w="1240" w:type="dxa"/>
            <w:tcBorders>
              <w:top w:val="nil"/>
              <w:left w:val="nil"/>
              <w:bottom w:val="nil"/>
              <w:right w:val="nil"/>
            </w:tcBorders>
          </w:tcPr>
          <w:p w:rsidR="00617CB0" w:rsidRPr="00022D33" w:rsidRDefault="00617CB0" w:rsidP="000D7011">
            <w:pPr>
              <w:pStyle w:val="Tabletext"/>
              <w:jc w:val="right"/>
            </w:pPr>
            <w:r w:rsidRPr="00022D33">
              <w:t>(3,763)</w:t>
            </w:r>
          </w:p>
        </w:tc>
        <w:tc>
          <w:tcPr>
            <w:tcW w:w="1240" w:type="dxa"/>
            <w:tcBorders>
              <w:top w:val="nil"/>
              <w:left w:val="nil"/>
              <w:bottom w:val="nil"/>
              <w:right w:val="nil"/>
            </w:tcBorders>
            <w:shd w:val="clear" w:color="auto" w:fill="auto"/>
          </w:tcPr>
          <w:p w:rsidR="00617CB0" w:rsidRPr="00022D33" w:rsidRDefault="00617CB0" w:rsidP="000D7011">
            <w:pPr>
              <w:pStyle w:val="Tabletext"/>
              <w:jc w:val="right"/>
            </w:pPr>
            <w:r w:rsidRPr="00022D33">
              <w:t>(5,172)</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GST payments on purchases</w:t>
            </w:r>
          </w:p>
        </w:tc>
        <w:tc>
          <w:tcPr>
            <w:tcW w:w="772" w:type="dxa"/>
            <w:tcBorders>
              <w:top w:val="nil"/>
              <w:left w:val="nil"/>
              <w:bottom w:val="nil"/>
              <w:right w:val="nil"/>
            </w:tcBorders>
            <w:shd w:val="clear" w:color="auto" w:fill="auto"/>
          </w:tcPr>
          <w:p w:rsidR="00617CB0" w:rsidRPr="00022D33" w:rsidRDefault="00617CB0" w:rsidP="000D7011">
            <w:pPr>
              <w:pStyle w:val="Tabletext"/>
            </w:pPr>
          </w:p>
        </w:tc>
        <w:tc>
          <w:tcPr>
            <w:tcW w:w="1240" w:type="dxa"/>
            <w:tcBorders>
              <w:top w:val="nil"/>
              <w:left w:val="nil"/>
              <w:bottom w:val="nil"/>
              <w:right w:val="nil"/>
            </w:tcBorders>
          </w:tcPr>
          <w:p w:rsidR="00617CB0" w:rsidRPr="00022D33" w:rsidRDefault="00617CB0" w:rsidP="000D7011">
            <w:pPr>
              <w:pStyle w:val="Tabletext"/>
              <w:jc w:val="right"/>
            </w:pPr>
            <w:r w:rsidRPr="00022D33">
              <w:t>(107,281)</w:t>
            </w:r>
          </w:p>
        </w:tc>
        <w:tc>
          <w:tcPr>
            <w:tcW w:w="1240" w:type="dxa"/>
            <w:tcBorders>
              <w:top w:val="nil"/>
              <w:left w:val="nil"/>
              <w:bottom w:val="nil"/>
              <w:right w:val="nil"/>
            </w:tcBorders>
            <w:shd w:val="clear" w:color="auto" w:fill="auto"/>
          </w:tcPr>
          <w:p w:rsidR="00617CB0" w:rsidRPr="00022D33" w:rsidRDefault="00617CB0" w:rsidP="000D7011">
            <w:pPr>
              <w:pStyle w:val="Tabletext"/>
              <w:jc w:val="right"/>
            </w:pPr>
            <w:r w:rsidRPr="00022D33">
              <w:t>(120,741)</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GST payments to taxation authority </w:t>
            </w:r>
          </w:p>
        </w:tc>
        <w:tc>
          <w:tcPr>
            <w:tcW w:w="772" w:type="dxa"/>
            <w:tcBorders>
              <w:top w:val="nil"/>
              <w:left w:val="nil"/>
              <w:bottom w:val="nil"/>
              <w:right w:val="nil"/>
            </w:tcBorders>
            <w:shd w:val="clear" w:color="auto" w:fill="auto"/>
          </w:tcPr>
          <w:p w:rsidR="00617CB0" w:rsidRPr="00022D33" w:rsidRDefault="00617CB0" w:rsidP="000D7011">
            <w:pPr>
              <w:pStyle w:val="Tabletext"/>
            </w:pPr>
          </w:p>
        </w:tc>
        <w:tc>
          <w:tcPr>
            <w:tcW w:w="1240" w:type="dxa"/>
            <w:tcBorders>
              <w:top w:val="nil"/>
              <w:left w:val="nil"/>
              <w:bottom w:val="nil"/>
              <w:right w:val="nil"/>
            </w:tcBorders>
          </w:tcPr>
          <w:p w:rsidR="00617CB0" w:rsidRPr="00022D33" w:rsidRDefault="00617CB0" w:rsidP="000D7011">
            <w:pPr>
              <w:pStyle w:val="Tabletext"/>
              <w:jc w:val="right"/>
            </w:pPr>
            <w:r w:rsidRPr="00022D33">
              <w:t>(3,972)</w:t>
            </w:r>
          </w:p>
        </w:tc>
        <w:tc>
          <w:tcPr>
            <w:tcW w:w="1240" w:type="dxa"/>
            <w:tcBorders>
              <w:top w:val="nil"/>
              <w:left w:val="nil"/>
              <w:bottom w:val="nil"/>
              <w:right w:val="nil"/>
            </w:tcBorders>
            <w:shd w:val="clear" w:color="auto" w:fill="auto"/>
          </w:tcPr>
          <w:p w:rsidR="00617CB0" w:rsidRPr="00022D33" w:rsidRDefault="00617CB0" w:rsidP="000D7011">
            <w:pPr>
              <w:pStyle w:val="Tabletext"/>
              <w:jc w:val="right"/>
            </w:pPr>
            <w:r w:rsidRPr="00022D33">
              <w:t>(4,044)</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Other payments</w:t>
            </w:r>
          </w:p>
        </w:tc>
        <w:tc>
          <w:tcPr>
            <w:tcW w:w="772" w:type="dxa"/>
            <w:tcBorders>
              <w:top w:val="nil"/>
              <w:left w:val="nil"/>
              <w:bottom w:val="nil"/>
              <w:right w:val="nil"/>
            </w:tcBorders>
            <w:shd w:val="clear" w:color="auto" w:fill="auto"/>
          </w:tcPr>
          <w:p w:rsidR="00617CB0" w:rsidRPr="00022D33" w:rsidRDefault="00617CB0" w:rsidP="000D7011">
            <w:pPr>
              <w:pStyle w:val="Tabletext"/>
            </w:pPr>
          </w:p>
        </w:tc>
        <w:tc>
          <w:tcPr>
            <w:tcW w:w="1240" w:type="dxa"/>
            <w:tcBorders>
              <w:top w:val="nil"/>
              <w:left w:val="nil"/>
              <w:bottom w:val="nil"/>
              <w:right w:val="nil"/>
            </w:tcBorders>
          </w:tcPr>
          <w:p w:rsidR="00617CB0" w:rsidRPr="00022D33" w:rsidRDefault="00617CB0" w:rsidP="000D7011">
            <w:pPr>
              <w:pStyle w:val="Tabletext"/>
              <w:jc w:val="right"/>
            </w:pPr>
            <w:r w:rsidRPr="00022D33">
              <w:t>(3,730)</w:t>
            </w:r>
          </w:p>
        </w:tc>
        <w:tc>
          <w:tcPr>
            <w:tcW w:w="1240" w:type="dxa"/>
            <w:tcBorders>
              <w:top w:val="nil"/>
              <w:left w:val="nil"/>
              <w:bottom w:val="nil"/>
              <w:right w:val="nil"/>
            </w:tcBorders>
            <w:shd w:val="clear" w:color="auto" w:fill="auto"/>
          </w:tcPr>
          <w:p w:rsidR="00617CB0" w:rsidRPr="00022D33" w:rsidRDefault="00617CB0" w:rsidP="000D7011">
            <w:pPr>
              <w:pStyle w:val="Tabletext"/>
              <w:jc w:val="right"/>
            </w:pPr>
            <w:r w:rsidRPr="00022D33">
              <w:t>(4,036)</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b/>
              </w:rPr>
            </w:pPr>
            <w:r w:rsidRPr="00022D33">
              <w:rPr>
                <w:b/>
              </w:rPr>
              <w:t>Receipts</w:t>
            </w:r>
          </w:p>
        </w:tc>
        <w:tc>
          <w:tcPr>
            <w:tcW w:w="772" w:type="dxa"/>
            <w:tcBorders>
              <w:top w:val="nil"/>
              <w:left w:val="nil"/>
              <w:bottom w:val="nil"/>
              <w:right w:val="nil"/>
            </w:tcBorders>
            <w:shd w:val="clear" w:color="auto" w:fill="auto"/>
          </w:tcPr>
          <w:p w:rsidR="00617CB0" w:rsidRPr="00022D33" w:rsidRDefault="00617CB0" w:rsidP="000D7011">
            <w:pPr>
              <w:pStyle w:val="Tabletext"/>
            </w:pPr>
          </w:p>
        </w:tc>
        <w:tc>
          <w:tcPr>
            <w:tcW w:w="1240" w:type="dxa"/>
            <w:tcBorders>
              <w:top w:val="nil"/>
              <w:left w:val="nil"/>
              <w:bottom w:val="nil"/>
              <w:right w:val="nil"/>
            </w:tcBorders>
          </w:tcPr>
          <w:p w:rsidR="00617CB0" w:rsidRPr="00022D33" w:rsidRDefault="00617CB0" w:rsidP="000D7011">
            <w:pPr>
              <w:pStyle w:val="Tabletext"/>
              <w:jc w:val="right"/>
            </w:pPr>
          </w:p>
        </w:tc>
        <w:tc>
          <w:tcPr>
            <w:tcW w:w="1240"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User charges and fees</w:t>
            </w:r>
          </w:p>
        </w:tc>
        <w:tc>
          <w:tcPr>
            <w:tcW w:w="772" w:type="dxa"/>
            <w:tcBorders>
              <w:top w:val="nil"/>
              <w:left w:val="nil"/>
              <w:bottom w:val="nil"/>
              <w:right w:val="nil"/>
            </w:tcBorders>
            <w:shd w:val="clear" w:color="auto" w:fill="auto"/>
          </w:tcPr>
          <w:p w:rsidR="00617CB0" w:rsidRPr="00022D33" w:rsidRDefault="00617CB0" w:rsidP="000D7011">
            <w:pPr>
              <w:pStyle w:val="Tabletext"/>
            </w:pPr>
          </w:p>
        </w:tc>
        <w:tc>
          <w:tcPr>
            <w:tcW w:w="1240" w:type="dxa"/>
            <w:tcBorders>
              <w:top w:val="nil"/>
              <w:left w:val="nil"/>
              <w:bottom w:val="nil"/>
              <w:right w:val="nil"/>
            </w:tcBorders>
          </w:tcPr>
          <w:p w:rsidR="00617CB0" w:rsidRPr="00022D33" w:rsidRDefault="00617CB0" w:rsidP="000D7011">
            <w:pPr>
              <w:pStyle w:val="Tabletext"/>
              <w:jc w:val="right"/>
            </w:pPr>
            <w:r w:rsidRPr="00022D33">
              <w:t>938,279</w:t>
            </w:r>
          </w:p>
        </w:tc>
        <w:tc>
          <w:tcPr>
            <w:tcW w:w="1240" w:type="dxa"/>
            <w:tcBorders>
              <w:top w:val="nil"/>
              <w:left w:val="nil"/>
              <w:bottom w:val="nil"/>
              <w:right w:val="nil"/>
            </w:tcBorders>
            <w:shd w:val="clear" w:color="auto" w:fill="auto"/>
          </w:tcPr>
          <w:p w:rsidR="00617CB0" w:rsidRPr="00022D33" w:rsidRDefault="00617CB0" w:rsidP="000D7011">
            <w:pPr>
              <w:pStyle w:val="Tabletext"/>
              <w:jc w:val="right"/>
            </w:pPr>
            <w:r w:rsidRPr="00022D33">
              <w:t>995,128</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Commonwealth grants and contributions </w:t>
            </w:r>
          </w:p>
        </w:tc>
        <w:tc>
          <w:tcPr>
            <w:tcW w:w="772" w:type="dxa"/>
            <w:tcBorders>
              <w:top w:val="nil"/>
              <w:left w:val="nil"/>
              <w:bottom w:val="nil"/>
              <w:right w:val="nil"/>
            </w:tcBorders>
            <w:shd w:val="clear" w:color="auto" w:fill="auto"/>
          </w:tcPr>
          <w:p w:rsidR="00617CB0" w:rsidRPr="00022D33" w:rsidRDefault="00617CB0" w:rsidP="000D7011">
            <w:pPr>
              <w:pStyle w:val="Tabletext"/>
            </w:pPr>
          </w:p>
        </w:tc>
        <w:tc>
          <w:tcPr>
            <w:tcW w:w="1240" w:type="dxa"/>
            <w:tcBorders>
              <w:top w:val="nil"/>
              <w:left w:val="nil"/>
              <w:bottom w:val="nil"/>
              <w:right w:val="nil"/>
            </w:tcBorders>
          </w:tcPr>
          <w:p w:rsidR="00617CB0" w:rsidRPr="00022D33" w:rsidRDefault="00617CB0" w:rsidP="000D7011">
            <w:pPr>
              <w:pStyle w:val="Tabletext"/>
              <w:jc w:val="right"/>
            </w:pPr>
            <w:r w:rsidRPr="00022D33">
              <w:t>1,665</w:t>
            </w:r>
          </w:p>
        </w:tc>
        <w:tc>
          <w:tcPr>
            <w:tcW w:w="1240" w:type="dxa"/>
            <w:tcBorders>
              <w:top w:val="nil"/>
              <w:left w:val="nil"/>
              <w:bottom w:val="nil"/>
              <w:right w:val="nil"/>
            </w:tcBorders>
            <w:shd w:val="clear" w:color="auto" w:fill="auto"/>
          </w:tcPr>
          <w:p w:rsidR="00617CB0" w:rsidRPr="00022D33" w:rsidRDefault="00617CB0" w:rsidP="000D7011">
            <w:pPr>
              <w:pStyle w:val="Tabletext"/>
              <w:jc w:val="right"/>
            </w:pPr>
            <w:r w:rsidRPr="00022D33">
              <w:t>1,376</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Interest received</w:t>
            </w:r>
          </w:p>
        </w:tc>
        <w:tc>
          <w:tcPr>
            <w:tcW w:w="772" w:type="dxa"/>
            <w:tcBorders>
              <w:top w:val="nil"/>
              <w:left w:val="nil"/>
              <w:bottom w:val="nil"/>
              <w:right w:val="nil"/>
            </w:tcBorders>
            <w:shd w:val="clear" w:color="auto" w:fill="auto"/>
          </w:tcPr>
          <w:p w:rsidR="00617CB0" w:rsidRPr="00022D33" w:rsidRDefault="00617CB0" w:rsidP="000D7011">
            <w:pPr>
              <w:pStyle w:val="Tabletext"/>
            </w:pPr>
          </w:p>
        </w:tc>
        <w:tc>
          <w:tcPr>
            <w:tcW w:w="1240" w:type="dxa"/>
            <w:tcBorders>
              <w:top w:val="nil"/>
              <w:left w:val="nil"/>
              <w:bottom w:val="nil"/>
              <w:right w:val="nil"/>
            </w:tcBorders>
          </w:tcPr>
          <w:p w:rsidR="00617CB0" w:rsidRPr="00022D33" w:rsidRDefault="00617CB0" w:rsidP="000D7011">
            <w:pPr>
              <w:pStyle w:val="Tabletext"/>
              <w:jc w:val="right"/>
            </w:pPr>
            <w:r w:rsidRPr="00022D33">
              <w:t>214</w:t>
            </w:r>
          </w:p>
        </w:tc>
        <w:tc>
          <w:tcPr>
            <w:tcW w:w="1240" w:type="dxa"/>
            <w:tcBorders>
              <w:top w:val="nil"/>
              <w:left w:val="nil"/>
              <w:bottom w:val="nil"/>
              <w:right w:val="nil"/>
            </w:tcBorders>
            <w:shd w:val="clear" w:color="auto" w:fill="auto"/>
          </w:tcPr>
          <w:p w:rsidR="00617CB0" w:rsidRPr="00022D33" w:rsidRDefault="00617CB0" w:rsidP="000D7011">
            <w:pPr>
              <w:pStyle w:val="Tabletext"/>
              <w:jc w:val="right"/>
            </w:pPr>
            <w:r w:rsidRPr="00022D33">
              <w:t>269</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GST receipts on sales</w:t>
            </w:r>
          </w:p>
        </w:tc>
        <w:tc>
          <w:tcPr>
            <w:tcW w:w="772" w:type="dxa"/>
            <w:tcBorders>
              <w:top w:val="nil"/>
              <w:left w:val="nil"/>
              <w:bottom w:val="nil"/>
              <w:right w:val="nil"/>
            </w:tcBorders>
            <w:shd w:val="clear" w:color="auto" w:fill="auto"/>
          </w:tcPr>
          <w:p w:rsidR="00617CB0" w:rsidRPr="00022D33" w:rsidRDefault="00617CB0" w:rsidP="000D7011">
            <w:pPr>
              <w:pStyle w:val="Tabletext"/>
            </w:pPr>
          </w:p>
        </w:tc>
        <w:tc>
          <w:tcPr>
            <w:tcW w:w="1240" w:type="dxa"/>
            <w:tcBorders>
              <w:top w:val="nil"/>
              <w:left w:val="nil"/>
              <w:bottom w:val="nil"/>
              <w:right w:val="nil"/>
            </w:tcBorders>
          </w:tcPr>
          <w:p w:rsidR="00617CB0" w:rsidRPr="00022D33" w:rsidRDefault="00617CB0" w:rsidP="000D7011">
            <w:pPr>
              <w:pStyle w:val="Tabletext"/>
              <w:jc w:val="right"/>
            </w:pPr>
            <w:r w:rsidRPr="00022D33">
              <w:t>103,120</w:t>
            </w:r>
          </w:p>
        </w:tc>
        <w:tc>
          <w:tcPr>
            <w:tcW w:w="1240" w:type="dxa"/>
            <w:tcBorders>
              <w:top w:val="nil"/>
              <w:left w:val="nil"/>
              <w:bottom w:val="nil"/>
              <w:right w:val="nil"/>
            </w:tcBorders>
            <w:shd w:val="clear" w:color="auto" w:fill="auto"/>
          </w:tcPr>
          <w:p w:rsidR="00617CB0" w:rsidRPr="00022D33" w:rsidRDefault="00617CB0" w:rsidP="000D7011">
            <w:pPr>
              <w:pStyle w:val="Tabletext"/>
              <w:jc w:val="right"/>
            </w:pPr>
            <w:r w:rsidRPr="00022D33">
              <w:t>125,241</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GST receipts from taxation authority </w:t>
            </w:r>
          </w:p>
        </w:tc>
        <w:tc>
          <w:tcPr>
            <w:tcW w:w="772" w:type="dxa"/>
            <w:tcBorders>
              <w:top w:val="nil"/>
              <w:left w:val="nil"/>
              <w:bottom w:val="nil"/>
              <w:right w:val="nil"/>
            </w:tcBorders>
            <w:shd w:val="clear" w:color="auto" w:fill="auto"/>
          </w:tcPr>
          <w:p w:rsidR="00617CB0" w:rsidRPr="00022D33" w:rsidRDefault="00617CB0" w:rsidP="000D7011">
            <w:pPr>
              <w:pStyle w:val="Tabletext"/>
            </w:pPr>
          </w:p>
        </w:tc>
        <w:tc>
          <w:tcPr>
            <w:tcW w:w="1240" w:type="dxa"/>
            <w:tcBorders>
              <w:top w:val="nil"/>
              <w:left w:val="nil"/>
              <w:bottom w:val="nil"/>
              <w:right w:val="nil"/>
            </w:tcBorders>
          </w:tcPr>
          <w:p w:rsidR="00617CB0" w:rsidRPr="00022D33" w:rsidRDefault="00617CB0" w:rsidP="000D7011">
            <w:pPr>
              <w:pStyle w:val="Tabletext"/>
              <w:jc w:val="right"/>
            </w:pPr>
            <w:r w:rsidRPr="00022D33">
              <w:t>8,688</w:t>
            </w:r>
          </w:p>
        </w:tc>
        <w:tc>
          <w:tcPr>
            <w:tcW w:w="1240" w:type="dxa"/>
            <w:tcBorders>
              <w:top w:val="nil"/>
              <w:left w:val="nil"/>
              <w:bottom w:val="nil"/>
              <w:right w:val="nil"/>
            </w:tcBorders>
            <w:shd w:val="clear" w:color="auto" w:fill="auto"/>
          </w:tcPr>
          <w:p w:rsidR="00617CB0" w:rsidRPr="00022D33" w:rsidRDefault="00617CB0" w:rsidP="000D7011">
            <w:pPr>
              <w:pStyle w:val="Tabletext"/>
              <w:jc w:val="right"/>
            </w:pPr>
            <w:r w:rsidRPr="00022D33">
              <w:t>23,182</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Other receipts</w:t>
            </w:r>
          </w:p>
        </w:tc>
        <w:tc>
          <w:tcPr>
            <w:tcW w:w="772" w:type="dxa"/>
            <w:tcBorders>
              <w:top w:val="nil"/>
              <w:left w:val="nil"/>
              <w:bottom w:val="nil"/>
              <w:right w:val="nil"/>
            </w:tcBorders>
            <w:shd w:val="clear" w:color="auto" w:fill="auto"/>
          </w:tcPr>
          <w:p w:rsidR="00617CB0" w:rsidRPr="00022D33" w:rsidRDefault="00617CB0" w:rsidP="000D7011">
            <w:pPr>
              <w:pStyle w:val="Tabletext"/>
            </w:pPr>
          </w:p>
        </w:tc>
        <w:tc>
          <w:tcPr>
            <w:tcW w:w="1240" w:type="dxa"/>
            <w:tcBorders>
              <w:top w:val="nil"/>
              <w:left w:val="nil"/>
              <w:bottom w:val="single" w:sz="4" w:space="0" w:color="auto"/>
              <w:right w:val="nil"/>
            </w:tcBorders>
          </w:tcPr>
          <w:p w:rsidR="00617CB0" w:rsidRPr="00022D33" w:rsidRDefault="00617CB0" w:rsidP="000D7011">
            <w:pPr>
              <w:pStyle w:val="Tabletext"/>
              <w:jc w:val="right"/>
            </w:pPr>
            <w:r w:rsidRPr="00022D33">
              <w:t>48,314</w:t>
            </w:r>
          </w:p>
        </w:tc>
        <w:tc>
          <w:tcPr>
            <w:tcW w:w="1240"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19,292</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r w:rsidRPr="00022D33">
              <w:t>Net cash used in operating activities</w:t>
            </w:r>
          </w:p>
        </w:tc>
        <w:tc>
          <w:tcPr>
            <w:tcW w:w="772" w:type="dxa"/>
            <w:tcBorders>
              <w:top w:val="nil"/>
              <w:left w:val="nil"/>
              <w:bottom w:val="nil"/>
              <w:right w:val="nil"/>
            </w:tcBorders>
            <w:shd w:val="clear" w:color="auto" w:fill="auto"/>
          </w:tcPr>
          <w:p w:rsidR="00617CB0" w:rsidRPr="00022D33" w:rsidRDefault="00617CB0" w:rsidP="000D7011">
            <w:pPr>
              <w:pStyle w:val="Tabletext"/>
            </w:pPr>
            <w:r w:rsidRPr="00022D33">
              <w:t>34</w:t>
            </w:r>
          </w:p>
        </w:tc>
        <w:tc>
          <w:tcPr>
            <w:tcW w:w="1240" w:type="dxa"/>
            <w:tcBorders>
              <w:top w:val="single" w:sz="4" w:space="0" w:color="auto"/>
              <w:left w:val="nil"/>
              <w:bottom w:val="single" w:sz="4" w:space="0" w:color="auto"/>
              <w:right w:val="nil"/>
            </w:tcBorders>
          </w:tcPr>
          <w:p w:rsidR="00617CB0" w:rsidRPr="00022D33" w:rsidRDefault="00617CB0" w:rsidP="000D7011">
            <w:pPr>
              <w:pStyle w:val="Tableboldedtext"/>
              <w:jc w:val="right"/>
            </w:pPr>
            <w:r w:rsidRPr="00022D33">
              <w:t>(57,062)</w:t>
            </w:r>
          </w:p>
        </w:tc>
        <w:tc>
          <w:tcPr>
            <w:tcW w:w="1240"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(157,987)</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b/>
              </w:rPr>
            </w:pPr>
          </w:p>
        </w:tc>
        <w:tc>
          <w:tcPr>
            <w:tcW w:w="772" w:type="dxa"/>
            <w:tcBorders>
              <w:top w:val="nil"/>
              <w:left w:val="nil"/>
              <w:bottom w:val="nil"/>
              <w:right w:val="nil"/>
            </w:tcBorders>
            <w:shd w:val="clear" w:color="auto" w:fill="auto"/>
          </w:tcPr>
          <w:p w:rsidR="00617CB0" w:rsidRPr="00022D33" w:rsidRDefault="00617CB0" w:rsidP="000D7011">
            <w:pPr>
              <w:pStyle w:val="Tabletext"/>
              <w:rPr>
                <w:b/>
              </w:rPr>
            </w:pPr>
          </w:p>
        </w:tc>
        <w:tc>
          <w:tcPr>
            <w:tcW w:w="1240" w:type="dxa"/>
            <w:tcBorders>
              <w:top w:val="nil"/>
              <w:left w:val="nil"/>
              <w:bottom w:val="nil"/>
              <w:right w:val="nil"/>
            </w:tcBorders>
          </w:tcPr>
          <w:p w:rsidR="00617CB0" w:rsidRPr="00022D33" w:rsidRDefault="00617CB0" w:rsidP="000D7011">
            <w:pPr>
              <w:pStyle w:val="Tabletext"/>
              <w:jc w:val="right"/>
              <w:rPr>
                <w:b/>
              </w:rPr>
            </w:pPr>
          </w:p>
        </w:tc>
        <w:tc>
          <w:tcPr>
            <w:tcW w:w="1240" w:type="dxa"/>
            <w:tcBorders>
              <w:top w:val="nil"/>
              <w:left w:val="nil"/>
              <w:bottom w:val="nil"/>
              <w:right w:val="nil"/>
            </w:tcBorders>
            <w:shd w:val="clear" w:color="auto" w:fill="auto"/>
          </w:tcPr>
          <w:p w:rsidR="00617CB0" w:rsidRPr="00022D33" w:rsidRDefault="00617CB0" w:rsidP="000D7011">
            <w:pPr>
              <w:pStyle w:val="Tabletext"/>
              <w:jc w:val="right"/>
              <w:rPr>
                <w:b/>
              </w:rPr>
            </w:pPr>
          </w:p>
        </w:tc>
      </w:tr>
    </w:tbl>
    <w:p w:rsidR="00617CB0" w:rsidRDefault="00617CB0" w:rsidP="00617CB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772"/>
        <w:gridCol w:w="1240"/>
        <w:gridCol w:w="1240"/>
      </w:tblGrid>
      <w:tr w:rsidR="00617CB0" w:rsidRPr="00022D33" w:rsidTr="000D7011">
        <w:tc>
          <w:tcPr>
            <w:tcW w:w="5629" w:type="dxa"/>
            <w:tcBorders>
              <w:top w:val="nil"/>
              <w:left w:val="nil"/>
              <w:bottom w:val="nil"/>
              <w:right w:val="nil"/>
            </w:tcBorders>
            <w:shd w:val="clear" w:color="auto" w:fill="auto"/>
          </w:tcPr>
          <w:p w:rsidR="00617CB0" w:rsidRPr="00BF6819" w:rsidRDefault="00617CB0" w:rsidP="000D7011">
            <w:pPr>
              <w:pStyle w:val="Tabletext"/>
              <w:rPr>
                <w:b/>
              </w:rPr>
            </w:pPr>
          </w:p>
        </w:tc>
        <w:tc>
          <w:tcPr>
            <w:tcW w:w="772" w:type="dxa"/>
            <w:tcBorders>
              <w:top w:val="nil"/>
              <w:left w:val="nil"/>
              <w:bottom w:val="nil"/>
              <w:right w:val="nil"/>
            </w:tcBorders>
            <w:shd w:val="clear" w:color="auto" w:fill="auto"/>
          </w:tcPr>
          <w:p w:rsidR="00617CB0" w:rsidRPr="00BF6819" w:rsidRDefault="00617CB0" w:rsidP="000D7011">
            <w:pPr>
              <w:pStyle w:val="Tabletext"/>
              <w:rPr>
                <w:b/>
              </w:rPr>
            </w:pPr>
            <w:r w:rsidRPr="00BF6819">
              <w:rPr>
                <w:b/>
              </w:rPr>
              <w:t>Note</w:t>
            </w:r>
          </w:p>
        </w:tc>
        <w:tc>
          <w:tcPr>
            <w:tcW w:w="1240" w:type="dxa"/>
            <w:tcBorders>
              <w:top w:val="nil"/>
              <w:left w:val="nil"/>
              <w:bottom w:val="nil"/>
              <w:right w:val="nil"/>
            </w:tcBorders>
          </w:tcPr>
          <w:p w:rsidR="00617CB0" w:rsidRPr="00BF6819" w:rsidRDefault="00617CB0" w:rsidP="000D7011">
            <w:pPr>
              <w:pStyle w:val="Tabletext"/>
              <w:jc w:val="right"/>
              <w:rPr>
                <w:b/>
              </w:rPr>
            </w:pPr>
            <w:r w:rsidRPr="00BF6819">
              <w:rPr>
                <w:b/>
              </w:rPr>
              <w:t>2016</w:t>
            </w:r>
          </w:p>
          <w:p w:rsidR="00617CB0" w:rsidRPr="00BF6819" w:rsidRDefault="00617CB0" w:rsidP="000D7011">
            <w:pPr>
              <w:pStyle w:val="Tabletext"/>
              <w:jc w:val="right"/>
              <w:rPr>
                <w:b/>
              </w:rPr>
            </w:pPr>
            <w:r w:rsidRPr="00BF6819">
              <w:rPr>
                <w:b/>
              </w:rPr>
              <w:t>$000</w:t>
            </w:r>
          </w:p>
        </w:tc>
        <w:tc>
          <w:tcPr>
            <w:tcW w:w="1240" w:type="dxa"/>
            <w:tcBorders>
              <w:top w:val="nil"/>
              <w:left w:val="nil"/>
              <w:bottom w:val="nil"/>
              <w:right w:val="nil"/>
            </w:tcBorders>
            <w:shd w:val="clear" w:color="auto" w:fill="auto"/>
          </w:tcPr>
          <w:p w:rsidR="00617CB0" w:rsidRPr="00BF6819" w:rsidRDefault="00617CB0" w:rsidP="000D7011">
            <w:pPr>
              <w:pStyle w:val="Tabletext"/>
              <w:jc w:val="right"/>
              <w:rPr>
                <w:b/>
              </w:rPr>
            </w:pPr>
            <w:r w:rsidRPr="00BF6819">
              <w:rPr>
                <w:b/>
              </w:rPr>
              <w:t>2015</w:t>
            </w:r>
          </w:p>
          <w:p w:rsidR="00617CB0" w:rsidRPr="00BF6819" w:rsidRDefault="00617CB0" w:rsidP="000D7011">
            <w:pPr>
              <w:pStyle w:val="Tabletext"/>
              <w:jc w:val="right"/>
              <w:rPr>
                <w:b/>
              </w:rPr>
            </w:pPr>
            <w:r w:rsidRPr="00BF6819">
              <w:rPr>
                <w:b/>
              </w:rPr>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b/>
              </w:rPr>
            </w:pPr>
            <w:r w:rsidRPr="00022D33">
              <w:rPr>
                <w:b/>
              </w:rPr>
              <w:t>CASH FLOWS FROM INVESTING ACTIVITIES</w:t>
            </w:r>
          </w:p>
        </w:tc>
        <w:tc>
          <w:tcPr>
            <w:tcW w:w="772" w:type="dxa"/>
            <w:tcBorders>
              <w:top w:val="nil"/>
              <w:left w:val="nil"/>
              <w:bottom w:val="nil"/>
              <w:right w:val="nil"/>
            </w:tcBorders>
            <w:shd w:val="clear" w:color="auto" w:fill="auto"/>
          </w:tcPr>
          <w:p w:rsidR="00617CB0" w:rsidRPr="00022D33" w:rsidRDefault="00617CB0" w:rsidP="000D7011">
            <w:pPr>
              <w:pStyle w:val="Tabletext"/>
              <w:rPr>
                <w:b/>
              </w:rPr>
            </w:pPr>
          </w:p>
        </w:tc>
        <w:tc>
          <w:tcPr>
            <w:tcW w:w="1240" w:type="dxa"/>
            <w:tcBorders>
              <w:top w:val="nil"/>
              <w:left w:val="nil"/>
              <w:bottom w:val="nil"/>
              <w:right w:val="nil"/>
            </w:tcBorders>
          </w:tcPr>
          <w:p w:rsidR="00617CB0" w:rsidRPr="00022D33" w:rsidRDefault="00617CB0" w:rsidP="000D7011">
            <w:pPr>
              <w:pStyle w:val="Tabletext"/>
              <w:jc w:val="right"/>
              <w:rPr>
                <w:b/>
              </w:rPr>
            </w:pPr>
          </w:p>
        </w:tc>
        <w:tc>
          <w:tcPr>
            <w:tcW w:w="1240" w:type="dxa"/>
            <w:tcBorders>
              <w:top w:val="nil"/>
              <w:left w:val="nil"/>
              <w:bottom w:val="nil"/>
              <w:right w:val="nil"/>
            </w:tcBorders>
            <w:shd w:val="clear" w:color="auto" w:fill="auto"/>
          </w:tcPr>
          <w:p w:rsidR="00617CB0" w:rsidRPr="00022D33" w:rsidRDefault="00617CB0" w:rsidP="000D7011">
            <w:pPr>
              <w:pStyle w:val="Tabletext"/>
              <w:jc w:val="right"/>
              <w:rPr>
                <w:b/>
              </w:rPr>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b/>
              </w:rPr>
            </w:pPr>
            <w:r w:rsidRPr="00022D33">
              <w:rPr>
                <w:b/>
              </w:rPr>
              <w:t xml:space="preserve">Payments </w:t>
            </w:r>
          </w:p>
        </w:tc>
        <w:tc>
          <w:tcPr>
            <w:tcW w:w="772" w:type="dxa"/>
            <w:tcBorders>
              <w:top w:val="nil"/>
              <w:left w:val="nil"/>
              <w:bottom w:val="nil"/>
              <w:right w:val="nil"/>
            </w:tcBorders>
            <w:shd w:val="clear" w:color="auto" w:fill="auto"/>
          </w:tcPr>
          <w:p w:rsidR="00617CB0" w:rsidRPr="00022D33" w:rsidRDefault="00617CB0" w:rsidP="000D7011">
            <w:pPr>
              <w:pStyle w:val="Tabletext"/>
              <w:rPr>
                <w:b/>
              </w:rPr>
            </w:pPr>
          </w:p>
        </w:tc>
        <w:tc>
          <w:tcPr>
            <w:tcW w:w="1240" w:type="dxa"/>
            <w:tcBorders>
              <w:top w:val="nil"/>
              <w:left w:val="nil"/>
              <w:bottom w:val="nil"/>
              <w:right w:val="nil"/>
            </w:tcBorders>
          </w:tcPr>
          <w:p w:rsidR="00617CB0" w:rsidRPr="00022D33" w:rsidRDefault="00617CB0" w:rsidP="000D7011">
            <w:pPr>
              <w:pStyle w:val="Tabletext"/>
              <w:jc w:val="right"/>
              <w:rPr>
                <w:b/>
              </w:rPr>
            </w:pPr>
          </w:p>
        </w:tc>
        <w:tc>
          <w:tcPr>
            <w:tcW w:w="1240" w:type="dxa"/>
            <w:tcBorders>
              <w:top w:val="nil"/>
              <w:left w:val="nil"/>
              <w:bottom w:val="nil"/>
              <w:right w:val="nil"/>
            </w:tcBorders>
            <w:shd w:val="clear" w:color="auto" w:fill="auto"/>
          </w:tcPr>
          <w:p w:rsidR="00617CB0" w:rsidRPr="00022D33" w:rsidRDefault="00617CB0" w:rsidP="000D7011">
            <w:pPr>
              <w:pStyle w:val="Tabletext"/>
              <w:jc w:val="right"/>
              <w:rPr>
                <w:b/>
              </w:rPr>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Purchase of non-current physical assets</w:t>
            </w:r>
          </w:p>
        </w:tc>
        <w:tc>
          <w:tcPr>
            <w:tcW w:w="772" w:type="dxa"/>
            <w:tcBorders>
              <w:top w:val="nil"/>
              <w:left w:val="nil"/>
              <w:bottom w:val="nil"/>
              <w:right w:val="nil"/>
            </w:tcBorders>
            <w:shd w:val="clear" w:color="auto" w:fill="auto"/>
          </w:tcPr>
          <w:p w:rsidR="00617CB0" w:rsidRPr="00022D33" w:rsidRDefault="00617CB0" w:rsidP="000D7011">
            <w:pPr>
              <w:pStyle w:val="Tabletext"/>
            </w:pPr>
          </w:p>
        </w:tc>
        <w:tc>
          <w:tcPr>
            <w:tcW w:w="1240" w:type="dxa"/>
            <w:tcBorders>
              <w:top w:val="nil"/>
              <w:left w:val="nil"/>
              <w:bottom w:val="nil"/>
              <w:right w:val="nil"/>
            </w:tcBorders>
          </w:tcPr>
          <w:p w:rsidR="00617CB0" w:rsidRPr="00022D33" w:rsidRDefault="00617CB0" w:rsidP="000D7011">
            <w:pPr>
              <w:pStyle w:val="Tabletext"/>
              <w:jc w:val="right"/>
            </w:pPr>
            <w:r w:rsidRPr="00022D33">
              <w:t>(185,967)</w:t>
            </w:r>
          </w:p>
        </w:tc>
        <w:tc>
          <w:tcPr>
            <w:tcW w:w="1240" w:type="dxa"/>
            <w:tcBorders>
              <w:top w:val="nil"/>
              <w:left w:val="nil"/>
              <w:bottom w:val="nil"/>
              <w:right w:val="nil"/>
            </w:tcBorders>
            <w:shd w:val="clear" w:color="auto" w:fill="auto"/>
          </w:tcPr>
          <w:p w:rsidR="00617CB0" w:rsidRPr="00022D33" w:rsidRDefault="00617CB0" w:rsidP="000D7011">
            <w:pPr>
              <w:pStyle w:val="Tabletext"/>
              <w:jc w:val="right"/>
            </w:pPr>
            <w:r w:rsidRPr="00022D33">
              <w:t>(103,042)</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772" w:type="dxa"/>
            <w:tcBorders>
              <w:top w:val="nil"/>
              <w:left w:val="nil"/>
              <w:bottom w:val="nil"/>
              <w:right w:val="nil"/>
            </w:tcBorders>
            <w:shd w:val="clear" w:color="auto" w:fill="auto"/>
          </w:tcPr>
          <w:p w:rsidR="00617CB0" w:rsidRPr="00022D33" w:rsidRDefault="00617CB0" w:rsidP="000D7011">
            <w:pPr>
              <w:pStyle w:val="Tabletext"/>
            </w:pPr>
          </w:p>
        </w:tc>
        <w:tc>
          <w:tcPr>
            <w:tcW w:w="1240" w:type="dxa"/>
            <w:tcBorders>
              <w:top w:val="nil"/>
              <w:left w:val="nil"/>
              <w:bottom w:val="nil"/>
              <w:right w:val="nil"/>
            </w:tcBorders>
          </w:tcPr>
          <w:p w:rsidR="00617CB0" w:rsidRPr="00022D33" w:rsidRDefault="00617CB0" w:rsidP="000D7011">
            <w:pPr>
              <w:pStyle w:val="Tabletext"/>
              <w:jc w:val="right"/>
            </w:pPr>
          </w:p>
        </w:tc>
        <w:tc>
          <w:tcPr>
            <w:tcW w:w="1240"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b/>
              </w:rPr>
            </w:pPr>
            <w:r w:rsidRPr="00022D33">
              <w:rPr>
                <w:b/>
              </w:rPr>
              <w:t>Receipts</w:t>
            </w:r>
          </w:p>
        </w:tc>
        <w:tc>
          <w:tcPr>
            <w:tcW w:w="772" w:type="dxa"/>
            <w:tcBorders>
              <w:top w:val="nil"/>
              <w:left w:val="nil"/>
              <w:bottom w:val="nil"/>
              <w:right w:val="nil"/>
            </w:tcBorders>
            <w:shd w:val="clear" w:color="auto" w:fill="auto"/>
          </w:tcPr>
          <w:p w:rsidR="00617CB0" w:rsidRPr="00022D33" w:rsidRDefault="00617CB0" w:rsidP="000D7011">
            <w:pPr>
              <w:pStyle w:val="Tabletext"/>
            </w:pPr>
          </w:p>
        </w:tc>
        <w:tc>
          <w:tcPr>
            <w:tcW w:w="1240" w:type="dxa"/>
            <w:tcBorders>
              <w:top w:val="nil"/>
              <w:left w:val="nil"/>
              <w:bottom w:val="nil"/>
              <w:right w:val="nil"/>
            </w:tcBorders>
          </w:tcPr>
          <w:p w:rsidR="00617CB0" w:rsidRPr="00022D33" w:rsidRDefault="00617CB0" w:rsidP="000D7011">
            <w:pPr>
              <w:pStyle w:val="Tabletext"/>
              <w:jc w:val="right"/>
            </w:pPr>
          </w:p>
        </w:tc>
        <w:tc>
          <w:tcPr>
            <w:tcW w:w="1240"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Proceeds from sale of non-current physical assets</w:t>
            </w:r>
          </w:p>
        </w:tc>
        <w:tc>
          <w:tcPr>
            <w:tcW w:w="772" w:type="dxa"/>
            <w:tcBorders>
              <w:top w:val="nil"/>
              <w:left w:val="nil"/>
              <w:bottom w:val="nil"/>
              <w:right w:val="nil"/>
            </w:tcBorders>
            <w:shd w:val="clear" w:color="auto" w:fill="auto"/>
          </w:tcPr>
          <w:p w:rsidR="00617CB0" w:rsidRPr="00022D33" w:rsidRDefault="00617CB0" w:rsidP="000D7011">
            <w:pPr>
              <w:pStyle w:val="Tabletext"/>
            </w:pPr>
          </w:p>
        </w:tc>
        <w:tc>
          <w:tcPr>
            <w:tcW w:w="1240" w:type="dxa"/>
            <w:tcBorders>
              <w:top w:val="nil"/>
              <w:left w:val="nil"/>
              <w:bottom w:val="single" w:sz="4" w:space="0" w:color="auto"/>
              <w:right w:val="nil"/>
            </w:tcBorders>
          </w:tcPr>
          <w:p w:rsidR="00617CB0" w:rsidRPr="00022D33" w:rsidRDefault="00617CB0" w:rsidP="000D7011">
            <w:pPr>
              <w:pStyle w:val="Tabletext"/>
              <w:jc w:val="right"/>
            </w:pPr>
            <w:r w:rsidRPr="00022D33">
              <w:t>40,212</w:t>
            </w:r>
          </w:p>
        </w:tc>
        <w:tc>
          <w:tcPr>
            <w:tcW w:w="1240"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47,619</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r w:rsidRPr="00022D33">
              <w:t>Net cash used in investing activities</w:t>
            </w:r>
          </w:p>
        </w:tc>
        <w:tc>
          <w:tcPr>
            <w:tcW w:w="772" w:type="dxa"/>
            <w:tcBorders>
              <w:top w:val="nil"/>
              <w:left w:val="nil"/>
              <w:bottom w:val="nil"/>
              <w:right w:val="nil"/>
            </w:tcBorders>
            <w:shd w:val="clear" w:color="auto" w:fill="auto"/>
          </w:tcPr>
          <w:p w:rsidR="00617CB0" w:rsidRPr="00022D33" w:rsidRDefault="00617CB0" w:rsidP="000D7011">
            <w:pPr>
              <w:pStyle w:val="Tabletext"/>
            </w:pPr>
          </w:p>
        </w:tc>
        <w:tc>
          <w:tcPr>
            <w:tcW w:w="1240" w:type="dxa"/>
            <w:tcBorders>
              <w:top w:val="single" w:sz="4" w:space="0" w:color="auto"/>
              <w:left w:val="nil"/>
              <w:bottom w:val="single" w:sz="4" w:space="0" w:color="auto"/>
              <w:right w:val="nil"/>
            </w:tcBorders>
          </w:tcPr>
          <w:p w:rsidR="00617CB0" w:rsidRPr="00022D33" w:rsidRDefault="00617CB0" w:rsidP="000D7011">
            <w:pPr>
              <w:pStyle w:val="Tableboldedtext"/>
              <w:jc w:val="right"/>
            </w:pPr>
            <w:r w:rsidRPr="00022D33">
              <w:t>(145,755)</w:t>
            </w:r>
          </w:p>
        </w:tc>
        <w:tc>
          <w:tcPr>
            <w:tcW w:w="1240"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(55,424)</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b/>
              </w:rPr>
            </w:pPr>
          </w:p>
        </w:tc>
        <w:tc>
          <w:tcPr>
            <w:tcW w:w="772" w:type="dxa"/>
            <w:tcBorders>
              <w:top w:val="nil"/>
              <w:left w:val="nil"/>
              <w:bottom w:val="nil"/>
              <w:right w:val="nil"/>
            </w:tcBorders>
            <w:shd w:val="clear" w:color="auto" w:fill="auto"/>
          </w:tcPr>
          <w:p w:rsidR="00617CB0" w:rsidRPr="00022D33" w:rsidRDefault="00617CB0" w:rsidP="000D7011">
            <w:pPr>
              <w:pStyle w:val="Tabletext"/>
              <w:jc w:val="right"/>
              <w:rPr>
                <w:b/>
              </w:rPr>
            </w:pPr>
          </w:p>
        </w:tc>
        <w:tc>
          <w:tcPr>
            <w:tcW w:w="1240" w:type="dxa"/>
            <w:tcBorders>
              <w:top w:val="nil"/>
              <w:left w:val="nil"/>
              <w:bottom w:val="nil"/>
              <w:right w:val="nil"/>
            </w:tcBorders>
          </w:tcPr>
          <w:p w:rsidR="00617CB0" w:rsidRPr="00022D33" w:rsidRDefault="00617CB0" w:rsidP="000D7011">
            <w:pPr>
              <w:pStyle w:val="Tabletext"/>
              <w:jc w:val="right"/>
              <w:rPr>
                <w:b/>
              </w:rPr>
            </w:pPr>
          </w:p>
        </w:tc>
        <w:tc>
          <w:tcPr>
            <w:tcW w:w="1240" w:type="dxa"/>
            <w:tcBorders>
              <w:top w:val="nil"/>
              <w:left w:val="nil"/>
              <w:bottom w:val="nil"/>
              <w:right w:val="nil"/>
            </w:tcBorders>
            <w:shd w:val="clear" w:color="auto" w:fill="auto"/>
          </w:tcPr>
          <w:p w:rsidR="00617CB0" w:rsidRPr="00022D33" w:rsidRDefault="00617CB0" w:rsidP="000D7011">
            <w:pPr>
              <w:pStyle w:val="Tabletext"/>
              <w:jc w:val="right"/>
              <w:rPr>
                <w:b/>
              </w:rPr>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b/>
              </w:rPr>
            </w:pPr>
            <w:r w:rsidRPr="00022D33">
              <w:rPr>
                <w:b/>
              </w:rPr>
              <w:t>CASH FLOWS FROM FINANCING ACTIVITIES</w:t>
            </w:r>
          </w:p>
        </w:tc>
        <w:tc>
          <w:tcPr>
            <w:tcW w:w="772" w:type="dxa"/>
            <w:tcBorders>
              <w:top w:val="nil"/>
              <w:left w:val="nil"/>
              <w:bottom w:val="nil"/>
              <w:right w:val="nil"/>
            </w:tcBorders>
            <w:shd w:val="clear" w:color="auto" w:fill="auto"/>
          </w:tcPr>
          <w:p w:rsidR="00617CB0" w:rsidRPr="00022D33" w:rsidRDefault="00617CB0" w:rsidP="000D7011">
            <w:pPr>
              <w:pStyle w:val="Tabletext"/>
              <w:jc w:val="right"/>
              <w:rPr>
                <w:b/>
              </w:rPr>
            </w:pPr>
          </w:p>
        </w:tc>
        <w:tc>
          <w:tcPr>
            <w:tcW w:w="1240" w:type="dxa"/>
            <w:tcBorders>
              <w:top w:val="nil"/>
              <w:left w:val="nil"/>
              <w:bottom w:val="nil"/>
              <w:right w:val="nil"/>
            </w:tcBorders>
          </w:tcPr>
          <w:p w:rsidR="00617CB0" w:rsidRPr="00022D33" w:rsidRDefault="00617CB0" w:rsidP="000D7011">
            <w:pPr>
              <w:pStyle w:val="Tabletext"/>
              <w:jc w:val="right"/>
              <w:rPr>
                <w:b/>
              </w:rPr>
            </w:pPr>
          </w:p>
        </w:tc>
        <w:tc>
          <w:tcPr>
            <w:tcW w:w="1240" w:type="dxa"/>
            <w:tcBorders>
              <w:top w:val="nil"/>
              <w:left w:val="nil"/>
              <w:bottom w:val="nil"/>
              <w:right w:val="nil"/>
            </w:tcBorders>
            <w:shd w:val="clear" w:color="auto" w:fill="auto"/>
          </w:tcPr>
          <w:p w:rsidR="00617CB0" w:rsidRPr="00022D33" w:rsidRDefault="00617CB0" w:rsidP="000D7011">
            <w:pPr>
              <w:pStyle w:val="Tabletext"/>
              <w:jc w:val="right"/>
              <w:rPr>
                <w:b/>
              </w:rPr>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b/>
              </w:rPr>
            </w:pPr>
            <w:r w:rsidRPr="00022D33">
              <w:rPr>
                <w:b/>
              </w:rPr>
              <w:t xml:space="preserve">Payments </w:t>
            </w:r>
          </w:p>
        </w:tc>
        <w:tc>
          <w:tcPr>
            <w:tcW w:w="772" w:type="dxa"/>
            <w:tcBorders>
              <w:top w:val="nil"/>
              <w:left w:val="nil"/>
              <w:bottom w:val="nil"/>
              <w:right w:val="nil"/>
            </w:tcBorders>
            <w:shd w:val="clear" w:color="auto" w:fill="auto"/>
          </w:tcPr>
          <w:p w:rsidR="00617CB0" w:rsidRPr="00022D33" w:rsidRDefault="00617CB0" w:rsidP="000D7011">
            <w:pPr>
              <w:pStyle w:val="Tabletext"/>
              <w:jc w:val="right"/>
            </w:pPr>
          </w:p>
        </w:tc>
        <w:tc>
          <w:tcPr>
            <w:tcW w:w="1240" w:type="dxa"/>
            <w:tcBorders>
              <w:top w:val="nil"/>
              <w:left w:val="nil"/>
              <w:bottom w:val="nil"/>
              <w:right w:val="nil"/>
            </w:tcBorders>
          </w:tcPr>
          <w:p w:rsidR="00617CB0" w:rsidRPr="00022D33" w:rsidRDefault="00617CB0" w:rsidP="000D7011">
            <w:pPr>
              <w:pStyle w:val="Tabletext"/>
              <w:jc w:val="right"/>
            </w:pPr>
          </w:p>
        </w:tc>
        <w:tc>
          <w:tcPr>
            <w:tcW w:w="1240"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Repayment of borrowings</w:t>
            </w:r>
          </w:p>
        </w:tc>
        <w:tc>
          <w:tcPr>
            <w:tcW w:w="772" w:type="dxa"/>
            <w:tcBorders>
              <w:top w:val="nil"/>
              <w:left w:val="nil"/>
              <w:bottom w:val="nil"/>
              <w:right w:val="nil"/>
            </w:tcBorders>
            <w:shd w:val="clear" w:color="auto" w:fill="auto"/>
          </w:tcPr>
          <w:p w:rsidR="00617CB0" w:rsidRPr="00022D33" w:rsidRDefault="00617CB0" w:rsidP="000D7011">
            <w:pPr>
              <w:pStyle w:val="Tabletext"/>
              <w:jc w:val="right"/>
            </w:pPr>
          </w:p>
        </w:tc>
        <w:tc>
          <w:tcPr>
            <w:tcW w:w="1240" w:type="dxa"/>
            <w:tcBorders>
              <w:top w:val="nil"/>
              <w:left w:val="nil"/>
              <w:bottom w:val="nil"/>
              <w:right w:val="nil"/>
            </w:tcBorders>
          </w:tcPr>
          <w:p w:rsidR="00617CB0" w:rsidRPr="00022D33" w:rsidRDefault="00617CB0" w:rsidP="000D7011">
            <w:pPr>
              <w:pStyle w:val="Tabletext"/>
              <w:jc w:val="right"/>
            </w:pPr>
            <w:r w:rsidRPr="00022D33">
              <w:t>(20,487)</w:t>
            </w:r>
          </w:p>
        </w:tc>
        <w:tc>
          <w:tcPr>
            <w:tcW w:w="1240" w:type="dxa"/>
            <w:tcBorders>
              <w:top w:val="nil"/>
              <w:left w:val="nil"/>
              <w:bottom w:val="nil"/>
              <w:right w:val="nil"/>
            </w:tcBorders>
            <w:shd w:val="clear" w:color="auto" w:fill="auto"/>
          </w:tcPr>
          <w:p w:rsidR="00617CB0" w:rsidRPr="00022D33" w:rsidRDefault="00617CB0" w:rsidP="000D7011">
            <w:pPr>
              <w:pStyle w:val="Tabletext"/>
              <w:jc w:val="right"/>
            </w:pPr>
            <w:r w:rsidRPr="00022D33">
              <w:t>(28,857)</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b/>
              </w:rPr>
            </w:pPr>
            <w:r w:rsidRPr="00022D33">
              <w:rPr>
                <w:b/>
              </w:rPr>
              <w:t>Receipts</w:t>
            </w:r>
          </w:p>
        </w:tc>
        <w:tc>
          <w:tcPr>
            <w:tcW w:w="772" w:type="dxa"/>
            <w:tcBorders>
              <w:top w:val="nil"/>
              <w:left w:val="nil"/>
              <w:bottom w:val="nil"/>
              <w:right w:val="nil"/>
            </w:tcBorders>
            <w:shd w:val="clear" w:color="auto" w:fill="auto"/>
          </w:tcPr>
          <w:p w:rsidR="00617CB0" w:rsidRPr="00022D33" w:rsidRDefault="00617CB0" w:rsidP="000D7011">
            <w:pPr>
              <w:pStyle w:val="Tabletext"/>
              <w:jc w:val="right"/>
              <w:rPr>
                <w:b/>
              </w:rPr>
            </w:pPr>
          </w:p>
        </w:tc>
        <w:tc>
          <w:tcPr>
            <w:tcW w:w="1240" w:type="dxa"/>
            <w:tcBorders>
              <w:top w:val="nil"/>
              <w:left w:val="nil"/>
              <w:bottom w:val="nil"/>
              <w:right w:val="nil"/>
            </w:tcBorders>
          </w:tcPr>
          <w:p w:rsidR="00617CB0" w:rsidRPr="00022D33" w:rsidRDefault="00617CB0" w:rsidP="000D7011">
            <w:pPr>
              <w:pStyle w:val="Tabletext"/>
              <w:jc w:val="right"/>
              <w:rPr>
                <w:b/>
              </w:rPr>
            </w:pPr>
          </w:p>
        </w:tc>
        <w:tc>
          <w:tcPr>
            <w:tcW w:w="1240" w:type="dxa"/>
            <w:tcBorders>
              <w:top w:val="nil"/>
              <w:left w:val="nil"/>
              <w:bottom w:val="nil"/>
              <w:right w:val="nil"/>
            </w:tcBorders>
            <w:shd w:val="clear" w:color="auto" w:fill="auto"/>
          </w:tcPr>
          <w:p w:rsidR="00617CB0" w:rsidRPr="00022D33" w:rsidRDefault="00617CB0" w:rsidP="000D7011">
            <w:pPr>
              <w:pStyle w:val="Tabletext"/>
              <w:jc w:val="right"/>
              <w:rPr>
                <w:b/>
              </w:rPr>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Proceeds from borrowings</w:t>
            </w:r>
          </w:p>
        </w:tc>
        <w:tc>
          <w:tcPr>
            <w:tcW w:w="772" w:type="dxa"/>
            <w:tcBorders>
              <w:top w:val="nil"/>
              <w:left w:val="nil"/>
              <w:bottom w:val="nil"/>
              <w:right w:val="nil"/>
            </w:tcBorders>
            <w:shd w:val="clear" w:color="auto" w:fill="auto"/>
          </w:tcPr>
          <w:p w:rsidR="00617CB0" w:rsidRPr="00022D33" w:rsidRDefault="00617CB0" w:rsidP="000D7011">
            <w:pPr>
              <w:pStyle w:val="Tabletext"/>
              <w:jc w:val="right"/>
            </w:pPr>
          </w:p>
        </w:tc>
        <w:tc>
          <w:tcPr>
            <w:tcW w:w="1240" w:type="dxa"/>
            <w:tcBorders>
              <w:top w:val="nil"/>
              <w:left w:val="nil"/>
              <w:bottom w:val="nil"/>
              <w:right w:val="nil"/>
            </w:tcBorders>
          </w:tcPr>
          <w:p w:rsidR="00617CB0" w:rsidRPr="00022D33" w:rsidRDefault="00617CB0" w:rsidP="000D7011">
            <w:pPr>
              <w:pStyle w:val="Tabletext"/>
              <w:jc w:val="right"/>
            </w:pPr>
            <w:r w:rsidRPr="00022D33">
              <w:t>4,408</w:t>
            </w:r>
          </w:p>
        </w:tc>
        <w:tc>
          <w:tcPr>
            <w:tcW w:w="1240" w:type="dxa"/>
            <w:tcBorders>
              <w:top w:val="nil"/>
              <w:left w:val="nil"/>
              <w:bottom w:val="nil"/>
              <w:right w:val="nil"/>
            </w:tcBorders>
            <w:shd w:val="clear" w:color="auto" w:fill="auto"/>
          </w:tcPr>
          <w:p w:rsidR="00617CB0" w:rsidRPr="00022D33" w:rsidRDefault="00617CB0" w:rsidP="000D7011">
            <w:pPr>
              <w:pStyle w:val="Tabletext"/>
              <w:jc w:val="right"/>
            </w:pPr>
            <w:r w:rsidRPr="00022D33">
              <w:t>17</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Finance Leases Receipts</w:t>
            </w:r>
          </w:p>
        </w:tc>
        <w:tc>
          <w:tcPr>
            <w:tcW w:w="772" w:type="dxa"/>
            <w:tcBorders>
              <w:top w:val="nil"/>
              <w:left w:val="nil"/>
              <w:bottom w:val="nil"/>
              <w:right w:val="nil"/>
            </w:tcBorders>
            <w:shd w:val="clear" w:color="auto" w:fill="auto"/>
          </w:tcPr>
          <w:p w:rsidR="00617CB0" w:rsidRPr="00022D33" w:rsidRDefault="00617CB0" w:rsidP="000D7011">
            <w:pPr>
              <w:pStyle w:val="Tabletext"/>
              <w:jc w:val="right"/>
            </w:pPr>
          </w:p>
        </w:tc>
        <w:tc>
          <w:tcPr>
            <w:tcW w:w="1240" w:type="dxa"/>
            <w:tcBorders>
              <w:top w:val="nil"/>
              <w:left w:val="nil"/>
              <w:bottom w:val="single" w:sz="4" w:space="0" w:color="auto"/>
              <w:right w:val="nil"/>
            </w:tcBorders>
          </w:tcPr>
          <w:p w:rsidR="00617CB0" w:rsidRPr="00022D33" w:rsidRDefault="00617CB0" w:rsidP="000D7011">
            <w:pPr>
              <w:pStyle w:val="Tabletext"/>
              <w:jc w:val="right"/>
            </w:pPr>
            <w:r w:rsidRPr="00022D33">
              <w:t>598</w:t>
            </w:r>
          </w:p>
        </w:tc>
        <w:tc>
          <w:tcPr>
            <w:tcW w:w="1240"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742</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r w:rsidRPr="00022D33">
              <w:t>Net cash used in financing activities</w:t>
            </w:r>
          </w:p>
        </w:tc>
        <w:tc>
          <w:tcPr>
            <w:tcW w:w="772" w:type="dxa"/>
            <w:tcBorders>
              <w:top w:val="nil"/>
              <w:left w:val="nil"/>
              <w:bottom w:val="nil"/>
              <w:right w:val="nil"/>
            </w:tcBorders>
            <w:shd w:val="clear" w:color="auto" w:fill="auto"/>
          </w:tcPr>
          <w:p w:rsidR="00617CB0" w:rsidRPr="00022D33" w:rsidRDefault="00617CB0" w:rsidP="000D7011">
            <w:pPr>
              <w:pStyle w:val="Tabletext"/>
              <w:jc w:val="right"/>
            </w:pPr>
          </w:p>
        </w:tc>
        <w:tc>
          <w:tcPr>
            <w:tcW w:w="1240" w:type="dxa"/>
            <w:tcBorders>
              <w:top w:val="single" w:sz="4" w:space="0" w:color="auto"/>
              <w:left w:val="nil"/>
              <w:bottom w:val="single" w:sz="4" w:space="0" w:color="auto"/>
              <w:right w:val="nil"/>
            </w:tcBorders>
          </w:tcPr>
          <w:p w:rsidR="00617CB0" w:rsidRPr="00022D33" w:rsidRDefault="00617CB0" w:rsidP="000D7011">
            <w:pPr>
              <w:pStyle w:val="Tableboldedtext"/>
              <w:jc w:val="right"/>
            </w:pPr>
            <w:r w:rsidRPr="00022D33">
              <w:t>(15,481)</w:t>
            </w:r>
          </w:p>
        </w:tc>
        <w:tc>
          <w:tcPr>
            <w:tcW w:w="1240"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(28,098)</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772" w:type="dxa"/>
            <w:tcBorders>
              <w:top w:val="nil"/>
              <w:left w:val="nil"/>
              <w:bottom w:val="nil"/>
              <w:right w:val="nil"/>
            </w:tcBorders>
            <w:shd w:val="clear" w:color="auto" w:fill="auto"/>
          </w:tcPr>
          <w:p w:rsidR="00617CB0" w:rsidRPr="00022D33" w:rsidRDefault="00617CB0" w:rsidP="000D7011">
            <w:pPr>
              <w:pStyle w:val="Tabletext"/>
              <w:jc w:val="right"/>
            </w:pPr>
          </w:p>
        </w:tc>
        <w:tc>
          <w:tcPr>
            <w:tcW w:w="1240" w:type="dxa"/>
            <w:tcBorders>
              <w:top w:val="single" w:sz="4" w:space="0" w:color="auto"/>
              <w:left w:val="nil"/>
              <w:bottom w:val="nil"/>
              <w:right w:val="nil"/>
            </w:tcBorders>
          </w:tcPr>
          <w:p w:rsidR="00617CB0" w:rsidRPr="00022D33" w:rsidRDefault="00617CB0" w:rsidP="000D7011">
            <w:pPr>
              <w:pStyle w:val="Tabletext"/>
              <w:jc w:val="right"/>
            </w:pPr>
          </w:p>
        </w:tc>
        <w:tc>
          <w:tcPr>
            <w:tcW w:w="1240" w:type="dxa"/>
            <w:tcBorders>
              <w:top w:val="single" w:sz="4" w:space="0" w:color="auto"/>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Net increase/(decrease) in cash and cash equivalents </w:t>
            </w:r>
          </w:p>
        </w:tc>
        <w:tc>
          <w:tcPr>
            <w:tcW w:w="772" w:type="dxa"/>
            <w:tcBorders>
              <w:top w:val="nil"/>
              <w:left w:val="nil"/>
              <w:bottom w:val="nil"/>
              <w:right w:val="nil"/>
            </w:tcBorders>
            <w:shd w:val="clear" w:color="auto" w:fill="auto"/>
          </w:tcPr>
          <w:p w:rsidR="00617CB0" w:rsidRPr="00022D33" w:rsidRDefault="00617CB0" w:rsidP="000D7011">
            <w:pPr>
              <w:pStyle w:val="Tabletext"/>
              <w:jc w:val="right"/>
            </w:pPr>
          </w:p>
        </w:tc>
        <w:tc>
          <w:tcPr>
            <w:tcW w:w="1240" w:type="dxa"/>
            <w:tcBorders>
              <w:top w:val="single" w:sz="4" w:space="0" w:color="auto"/>
              <w:left w:val="nil"/>
              <w:bottom w:val="nil"/>
              <w:right w:val="nil"/>
            </w:tcBorders>
          </w:tcPr>
          <w:p w:rsidR="00617CB0" w:rsidRPr="00022D33" w:rsidRDefault="00617CB0" w:rsidP="000D7011">
            <w:pPr>
              <w:pStyle w:val="Tabletext"/>
              <w:jc w:val="right"/>
            </w:pPr>
            <w:r w:rsidRPr="00022D33">
              <w:t>24,439</w:t>
            </w:r>
          </w:p>
        </w:tc>
        <w:tc>
          <w:tcPr>
            <w:tcW w:w="1240" w:type="dxa"/>
            <w:tcBorders>
              <w:top w:val="single" w:sz="4" w:space="0" w:color="auto"/>
              <w:left w:val="nil"/>
              <w:bottom w:val="nil"/>
              <w:right w:val="nil"/>
            </w:tcBorders>
            <w:shd w:val="clear" w:color="auto" w:fill="auto"/>
          </w:tcPr>
          <w:p w:rsidR="00617CB0" w:rsidRPr="00022D33" w:rsidRDefault="00617CB0" w:rsidP="000D7011">
            <w:pPr>
              <w:pStyle w:val="Tabletext"/>
              <w:jc w:val="right"/>
            </w:pPr>
            <w:r w:rsidRPr="00022D33">
              <w:t>(102,429)</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Cash and cash equivalents at the beginning of period</w:t>
            </w:r>
          </w:p>
        </w:tc>
        <w:tc>
          <w:tcPr>
            <w:tcW w:w="772" w:type="dxa"/>
            <w:tcBorders>
              <w:top w:val="nil"/>
              <w:left w:val="nil"/>
              <w:bottom w:val="nil"/>
              <w:right w:val="nil"/>
            </w:tcBorders>
            <w:shd w:val="clear" w:color="auto" w:fill="auto"/>
          </w:tcPr>
          <w:p w:rsidR="00617CB0" w:rsidRPr="00022D33" w:rsidRDefault="00617CB0" w:rsidP="000D7011">
            <w:pPr>
              <w:pStyle w:val="Tabletext"/>
              <w:jc w:val="right"/>
            </w:pPr>
          </w:p>
        </w:tc>
        <w:tc>
          <w:tcPr>
            <w:tcW w:w="1240" w:type="dxa"/>
            <w:tcBorders>
              <w:top w:val="nil"/>
              <w:left w:val="nil"/>
              <w:bottom w:val="single" w:sz="4" w:space="0" w:color="auto"/>
              <w:right w:val="nil"/>
            </w:tcBorders>
          </w:tcPr>
          <w:p w:rsidR="00617CB0" w:rsidRPr="00022D33" w:rsidRDefault="00617CB0" w:rsidP="000D7011">
            <w:pPr>
              <w:pStyle w:val="Tabletext"/>
              <w:jc w:val="right"/>
            </w:pPr>
            <w:r w:rsidRPr="00022D33">
              <w:t>73,792</w:t>
            </w:r>
          </w:p>
        </w:tc>
        <w:tc>
          <w:tcPr>
            <w:tcW w:w="1240"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176,220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r w:rsidRPr="00022D33">
              <w:t>CASH AND CASH EQUIVALENTS AT THE END OF PERIOD</w:t>
            </w:r>
          </w:p>
        </w:tc>
        <w:tc>
          <w:tcPr>
            <w:tcW w:w="772" w:type="dxa"/>
            <w:tcBorders>
              <w:top w:val="nil"/>
              <w:left w:val="nil"/>
              <w:bottom w:val="nil"/>
              <w:right w:val="nil"/>
            </w:tcBorders>
            <w:shd w:val="clear" w:color="auto" w:fill="auto"/>
          </w:tcPr>
          <w:p w:rsidR="00617CB0" w:rsidRPr="00022D33" w:rsidRDefault="00617CB0" w:rsidP="000D7011">
            <w:pPr>
              <w:pStyle w:val="Tabletext"/>
              <w:jc w:val="right"/>
            </w:pPr>
            <w:r w:rsidRPr="00022D33">
              <w:t>34</w:t>
            </w:r>
          </w:p>
        </w:tc>
        <w:tc>
          <w:tcPr>
            <w:tcW w:w="1240" w:type="dxa"/>
            <w:tcBorders>
              <w:top w:val="single" w:sz="4" w:space="0" w:color="auto"/>
              <w:left w:val="nil"/>
              <w:bottom w:val="double" w:sz="4" w:space="0" w:color="auto"/>
              <w:right w:val="nil"/>
            </w:tcBorders>
          </w:tcPr>
          <w:p w:rsidR="00617CB0" w:rsidRPr="00022D33" w:rsidRDefault="00617CB0" w:rsidP="000D7011">
            <w:pPr>
              <w:pStyle w:val="Tableboldedtext"/>
              <w:jc w:val="right"/>
            </w:pPr>
            <w:r w:rsidRPr="00022D33">
              <w:t>98,230</w:t>
            </w:r>
          </w:p>
        </w:tc>
        <w:tc>
          <w:tcPr>
            <w:tcW w:w="1240"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73,792</w:t>
            </w:r>
          </w:p>
        </w:tc>
      </w:tr>
    </w:tbl>
    <w:p w:rsidR="00617CB0" w:rsidRPr="00022D33" w:rsidRDefault="00617CB0" w:rsidP="00617CB0">
      <w:pPr>
        <w:pStyle w:val="BodyText"/>
      </w:pPr>
      <w:r w:rsidRPr="00022D33">
        <w:t>The Statement of Cash Flows should be read in conjunction with the accompanying notes.</w:t>
      </w:r>
    </w:p>
    <w:p w:rsidR="00617CB0" w:rsidRPr="00022D33" w:rsidRDefault="00617CB0" w:rsidP="00617CB0">
      <w:pPr>
        <w:pStyle w:val="BodyText"/>
        <w:sectPr w:rsidR="00617CB0" w:rsidRPr="00022D33" w:rsidSect="00EC67A7">
          <w:pgSz w:w="11906" w:h="16838" w:code="9"/>
          <w:pgMar w:top="1440" w:right="1440" w:bottom="1440" w:left="1440" w:header="0" w:footer="709" w:gutter="0"/>
          <w:cols w:space="708"/>
          <w:docGrid w:linePitch="360"/>
        </w:sectPr>
      </w:pPr>
    </w:p>
    <w:p w:rsidR="00617CB0" w:rsidRPr="00022D33" w:rsidRDefault="00617CB0" w:rsidP="00617CB0">
      <w:pPr>
        <w:pStyle w:val="Heading2"/>
      </w:pPr>
      <w:r w:rsidRPr="00022D33">
        <w:lastRenderedPageBreak/>
        <w:t>Summary of Consolidated Account Appropriations and Income Estimates</w:t>
      </w:r>
    </w:p>
    <w:p w:rsidR="00617CB0" w:rsidRPr="00022D33" w:rsidRDefault="00617CB0" w:rsidP="00617CB0">
      <w:pPr>
        <w:pStyle w:val="Heading3"/>
      </w:pPr>
      <w:r w:rsidRPr="00022D33">
        <w:t>For the year ended 30 June 2016</w:t>
      </w:r>
    </w:p>
    <w:p w:rsidR="00617CB0" w:rsidRPr="00022D33" w:rsidRDefault="00196F4C" w:rsidP="00617CB0">
      <w:pPr>
        <w:pStyle w:val="Caption"/>
        <w:keepNext/>
        <w:spacing w:after="60"/>
        <w:rPr>
          <w:noProof/>
        </w:rPr>
      </w:pPr>
      <w:fldSimple w:instr=" SEQ Table \* ARABIC ">
        <w:r w:rsidR="00D8778B">
          <w:rPr>
            <w:noProof/>
          </w:rPr>
          <w:t>9</w:t>
        </w:r>
      </w:fldSimple>
      <w:r w:rsidR="00617CB0" w:rsidRPr="00022D33">
        <w:rPr>
          <w:noProof/>
        </w:rPr>
        <w:t xml:space="preserve"> Summary of Consolidated Account Appropriations and Income Estimates. For the year ended 30 June 2016</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8"/>
        <w:gridCol w:w="1129"/>
        <w:gridCol w:w="1217"/>
        <w:gridCol w:w="1162"/>
        <w:gridCol w:w="1217"/>
        <w:gridCol w:w="1276"/>
        <w:gridCol w:w="1162"/>
      </w:tblGrid>
      <w:tr w:rsidR="00617CB0" w:rsidRPr="00022D33" w:rsidTr="000D7011">
        <w:tc>
          <w:tcPr>
            <w:tcW w:w="3038" w:type="dxa"/>
            <w:tcBorders>
              <w:top w:val="nil"/>
              <w:left w:val="nil"/>
              <w:bottom w:val="nil"/>
              <w:right w:val="nil"/>
            </w:tcBorders>
            <w:shd w:val="clear" w:color="auto" w:fill="auto"/>
          </w:tcPr>
          <w:p w:rsidR="00617CB0" w:rsidRPr="00022D33" w:rsidRDefault="00617CB0" w:rsidP="000D7011">
            <w:pPr>
              <w:pStyle w:val="Tableboldedtext"/>
              <w:jc w:val="right"/>
            </w:pPr>
          </w:p>
        </w:tc>
        <w:tc>
          <w:tcPr>
            <w:tcW w:w="1129"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estimate</w:t>
            </w:r>
          </w:p>
          <w:p w:rsidR="00617CB0" w:rsidRPr="00022D33" w:rsidRDefault="00617CB0" w:rsidP="000D7011">
            <w:pPr>
              <w:pStyle w:val="Tableboldedtext"/>
              <w:jc w:val="right"/>
            </w:pPr>
            <w:r w:rsidRPr="00022D33">
              <w:t>$000</w:t>
            </w:r>
          </w:p>
        </w:tc>
        <w:tc>
          <w:tcPr>
            <w:tcW w:w="1217"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actual</w:t>
            </w:r>
          </w:p>
          <w:p w:rsidR="00617CB0" w:rsidRPr="00022D33" w:rsidRDefault="00617CB0" w:rsidP="000D7011">
            <w:pPr>
              <w:pStyle w:val="Tableboldedtext"/>
              <w:jc w:val="right"/>
            </w:pPr>
            <w:r w:rsidRPr="00022D33">
              <w:t>$000</w:t>
            </w:r>
          </w:p>
        </w:tc>
        <w:tc>
          <w:tcPr>
            <w:tcW w:w="1162" w:type="dxa"/>
            <w:tcBorders>
              <w:top w:val="nil"/>
              <w:left w:val="nil"/>
              <w:bottom w:val="nil"/>
              <w:right w:val="nil"/>
            </w:tcBorders>
            <w:shd w:val="clear" w:color="auto" w:fill="auto"/>
          </w:tcPr>
          <w:p w:rsidR="00617CB0" w:rsidRPr="00022D33" w:rsidRDefault="00617CB0" w:rsidP="000D7011">
            <w:pPr>
              <w:pStyle w:val="Tableboldedtext"/>
              <w:jc w:val="right"/>
            </w:pPr>
            <w:r w:rsidRPr="00022D33">
              <w:t>Variance</w:t>
            </w:r>
          </w:p>
          <w:p w:rsidR="00617CB0" w:rsidRPr="00022D33" w:rsidRDefault="00617CB0" w:rsidP="000D7011">
            <w:pPr>
              <w:pStyle w:val="Tableboldedtext"/>
              <w:jc w:val="right"/>
            </w:pPr>
            <w:r w:rsidRPr="00022D33">
              <w:t>$000</w:t>
            </w:r>
          </w:p>
        </w:tc>
        <w:tc>
          <w:tcPr>
            <w:tcW w:w="1217"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2016 actual</w:t>
            </w:r>
          </w:p>
          <w:p w:rsidR="00617CB0" w:rsidRPr="00022D33" w:rsidRDefault="00617CB0" w:rsidP="000D7011">
            <w:pPr>
              <w:pStyle w:val="Tableboldedtext"/>
              <w:jc w:val="right"/>
            </w:pPr>
            <w:r w:rsidRPr="00022D33">
              <w:t>$000</w:t>
            </w:r>
          </w:p>
        </w:tc>
        <w:tc>
          <w:tcPr>
            <w:tcW w:w="1276"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actual</w:t>
            </w:r>
          </w:p>
          <w:p w:rsidR="00617CB0" w:rsidRPr="00022D33" w:rsidRDefault="00617CB0" w:rsidP="000D7011">
            <w:pPr>
              <w:pStyle w:val="Tableboldedtext"/>
              <w:jc w:val="right"/>
            </w:pPr>
            <w:r w:rsidRPr="00022D33">
              <w:t>$000</w:t>
            </w:r>
          </w:p>
        </w:tc>
        <w:tc>
          <w:tcPr>
            <w:tcW w:w="1162" w:type="dxa"/>
            <w:tcBorders>
              <w:top w:val="nil"/>
              <w:left w:val="nil"/>
              <w:bottom w:val="nil"/>
              <w:right w:val="nil"/>
            </w:tcBorders>
            <w:shd w:val="clear" w:color="auto" w:fill="auto"/>
          </w:tcPr>
          <w:p w:rsidR="00617CB0" w:rsidRPr="00022D33" w:rsidRDefault="00617CB0" w:rsidP="000D7011">
            <w:pPr>
              <w:pStyle w:val="Tableboldedtext"/>
              <w:jc w:val="right"/>
            </w:pPr>
            <w:r w:rsidRPr="00022D33">
              <w:t>Variance</w:t>
            </w:r>
          </w:p>
          <w:p w:rsidR="00617CB0" w:rsidRPr="00022D33" w:rsidRDefault="00617CB0" w:rsidP="000D7011">
            <w:pPr>
              <w:pStyle w:val="Tableboldedtext"/>
              <w:jc w:val="right"/>
            </w:pPr>
            <w:r w:rsidRPr="00022D33">
              <w:t>$000</w:t>
            </w:r>
          </w:p>
          <w:p w:rsidR="00617CB0" w:rsidRPr="00022D33" w:rsidRDefault="00617CB0" w:rsidP="000D7011">
            <w:pPr>
              <w:pStyle w:val="Tableboldedtext"/>
              <w:jc w:val="center"/>
            </w:pPr>
          </w:p>
        </w:tc>
      </w:tr>
      <w:tr w:rsidR="00617CB0" w:rsidRPr="00022D33" w:rsidTr="000D7011">
        <w:tc>
          <w:tcPr>
            <w:tcW w:w="10201" w:type="dxa"/>
            <w:gridSpan w:val="7"/>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Delivery of services</w:t>
            </w:r>
          </w:p>
        </w:tc>
      </w:tr>
      <w:tr w:rsidR="00617CB0" w:rsidRPr="00022D33" w:rsidTr="000D7011">
        <w:tc>
          <w:tcPr>
            <w:tcW w:w="3038" w:type="dxa"/>
            <w:tcBorders>
              <w:top w:val="nil"/>
              <w:left w:val="nil"/>
              <w:bottom w:val="nil"/>
              <w:right w:val="nil"/>
            </w:tcBorders>
            <w:shd w:val="clear" w:color="auto" w:fill="auto"/>
          </w:tcPr>
          <w:p w:rsidR="00617CB0" w:rsidRPr="00022D33" w:rsidRDefault="00617CB0" w:rsidP="000D7011">
            <w:pPr>
              <w:pStyle w:val="Tabletext"/>
            </w:pPr>
            <w:r w:rsidRPr="00022D33">
              <w:t xml:space="preserve">Item 58 net amount appropriated to deliver services </w:t>
            </w:r>
          </w:p>
        </w:tc>
        <w:tc>
          <w:tcPr>
            <w:tcW w:w="1129" w:type="dxa"/>
            <w:tcBorders>
              <w:top w:val="nil"/>
              <w:left w:val="nil"/>
              <w:bottom w:val="nil"/>
              <w:right w:val="nil"/>
            </w:tcBorders>
            <w:shd w:val="clear" w:color="auto" w:fill="auto"/>
          </w:tcPr>
          <w:p w:rsidR="00617CB0" w:rsidRPr="00022D33" w:rsidRDefault="00617CB0" w:rsidP="000D7011">
            <w:pPr>
              <w:pStyle w:val="Tabletext"/>
              <w:jc w:val="right"/>
            </w:pPr>
            <w:r w:rsidRPr="00022D33">
              <w:t>209,994</w:t>
            </w:r>
          </w:p>
        </w:tc>
        <w:tc>
          <w:tcPr>
            <w:tcW w:w="1217" w:type="dxa"/>
            <w:tcBorders>
              <w:top w:val="nil"/>
              <w:left w:val="nil"/>
              <w:bottom w:val="nil"/>
              <w:right w:val="nil"/>
            </w:tcBorders>
            <w:shd w:val="clear" w:color="auto" w:fill="auto"/>
          </w:tcPr>
          <w:p w:rsidR="00617CB0" w:rsidRPr="00022D33" w:rsidRDefault="00617CB0" w:rsidP="000D7011">
            <w:pPr>
              <w:pStyle w:val="Tabletext"/>
              <w:jc w:val="right"/>
            </w:pPr>
            <w:r w:rsidRPr="00022D33">
              <w:t>187,307</w:t>
            </w:r>
          </w:p>
        </w:tc>
        <w:tc>
          <w:tcPr>
            <w:tcW w:w="1162" w:type="dxa"/>
            <w:tcBorders>
              <w:top w:val="nil"/>
              <w:left w:val="nil"/>
              <w:bottom w:val="nil"/>
              <w:right w:val="nil"/>
            </w:tcBorders>
            <w:shd w:val="clear" w:color="auto" w:fill="auto"/>
          </w:tcPr>
          <w:p w:rsidR="00617CB0" w:rsidRPr="00022D33" w:rsidRDefault="00617CB0" w:rsidP="000D7011">
            <w:pPr>
              <w:pStyle w:val="Tabletext"/>
              <w:jc w:val="right"/>
            </w:pPr>
            <w:r w:rsidRPr="00022D33">
              <w:t>(22,687)</w:t>
            </w:r>
          </w:p>
        </w:tc>
        <w:tc>
          <w:tcPr>
            <w:tcW w:w="1217" w:type="dxa"/>
            <w:tcBorders>
              <w:top w:val="nil"/>
              <w:left w:val="nil"/>
              <w:bottom w:val="nil"/>
              <w:right w:val="nil"/>
            </w:tcBorders>
            <w:shd w:val="clear" w:color="auto" w:fill="auto"/>
          </w:tcPr>
          <w:p w:rsidR="00617CB0" w:rsidRPr="00022D33" w:rsidRDefault="00617CB0" w:rsidP="000D7011">
            <w:pPr>
              <w:pStyle w:val="Tabletext"/>
              <w:jc w:val="right"/>
            </w:pPr>
            <w:r w:rsidRPr="00022D33">
              <w:t>187,307</w:t>
            </w:r>
          </w:p>
        </w:tc>
        <w:tc>
          <w:tcPr>
            <w:tcW w:w="1276" w:type="dxa"/>
            <w:tcBorders>
              <w:top w:val="nil"/>
              <w:left w:val="nil"/>
              <w:bottom w:val="nil"/>
              <w:right w:val="nil"/>
            </w:tcBorders>
            <w:shd w:val="clear" w:color="auto" w:fill="auto"/>
          </w:tcPr>
          <w:p w:rsidR="00617CB0" w:rsidRPr="00022D33" w:rsidRDefault="00617CB0" w:rsidP="000D7011">
            <w:pPr>
              <w:pStyle w:val="Tabletext"/>
              <w:jc w:val="right"/>
            </w:pPr>
            <w:r w:rsidRPr="00022D33">
              <w:t>176,401</w:t>
            </w:r>
          </w:p>
        </w:tc>
        <w:tc>
          <w:tcPr>
            <w:tcW w:w="1162" w:type="dxa"/>
            <w:tcBorders>
              <w:top w:val="nil"/>
              <w:left w:val="nil"/>
              <w:bottom w:val="nil"/>
              <w:right w:val="nil"/>
            </w:tcBorders>
            <w:shd w:val="clear" w:color="auto" w:fill="auto"/>
          </w:tcPr>
          <w:p w:rsidR="00617CB0" w:rsidRPr="00022D33" w:rsidRDefault="00617CB0" w:rsidP="000D7011">
            <w:pPr>
              <w:pStyle w:val="Tabletext"/>
              <w:jc w:val="right"/>
            </w:pPr>
            <w:r w:rsidRPr="00022D33">
              <w:t>10,906</w:t>
            </w:r>
          </w:p>
        </w:tc>
      </w:tr>
      <w:tr w:rsidR="00617CB0" w:rsidRPr="00022D33" w:rsidTr="000D7011">
        <w:tc>
          <w:tcPr>
            <w:tcW w:w="3038" w:type="dxa"/>
            <w:tcBorders>
              <w:top w:val="nil"/>
              <w:left w:val="nil"/>
              <w:bottom w:val="nil"/>
              <w:right w:val="nil"/>
            </w:tcBorders>
            <w:shd w:val="clear" w:color="auto" w:fill="auto"/>
          </w:tcPr>
          <w:p w:rsidR="00617CB0" w:rsidRPr="00022D33" w:rsidRDefault="00617CB0" w:rsidP="000D7011">
            <w:pPr>
              <w:pStyle w:val="Tabletext"/>
            </w:pPr>
            <w:r w:rsidRPr="00022D33">
              <w:t xml:space="preserve">Amount authorised by other statutes: </w:t>
            </w:r>
            <w:r w:rsidRPr="00022D33">
              <w:rPr>
                <w:i/>
              </w:rPr>
              <w:t>Salaries and Allowances Act 1975</w:t>
            </w:r>
          </w:p>
        </w:tc>
        <w:tc>
          <w:tcPr>
            <w:tcW w:w="1129"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1,625</w:t>
            </w:r>
          </w:p>
        </w:tc>
        <w:tc>
          <w:tcPr>
            <w:tcW w:w="1217"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1,625</w:t>
            </w:r>
          </w:p>
        </w:tc>
        <w:tc>
          <w:tcPr>
            <w:tcW w:w="1162"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w:t>
            </w:r>
          </w:p>
        </w:tc>
        <w:tc>
          <w:tcPr>
            <w:tcW w:w="1217"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1,625</w:t>
            </w:r>
          </w:p>
        </w:tc>
        <w:tc>
          <w:tcPr>
            <w:tcW w:w="1276"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1,625</w:t>
            </w:r>
          </w:p>
        </w:tc>
        <w:tc>
          <w:tcPr>
            <w:tcW w:w="1162"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w:t>
            </w:r>
          </w:p>
        </w:tc>
      </w:tr>
      <w:tr w:rsidR="00617CB0" w:rsidRPr="00022D33" w:rsidTr="000D7011">
        <w:tc>
          <w:tcPr>
            <w:tcW w:w="3038" w:type="dxa"/>
            <w:tcBorders>
              <w:top w:val="nil"/>
              <w:left w:val="nil"/>
              <w:bottom w:val="nil"/>
              <w:right w:val="nil"/>
            </w:tcBorders>
            <w:shd w:val="clear" w:color="auto" w:fill="auto"/>
          </w:tcPr>
          <w:p w:rsidR="00617CB0" w:rsidRPr="00022D33" w:rsidRDefault="00617CB0" w:rsidP="000D7011">
            <w:pPr>
              <w:pStyle w:val="Tableboldedtext"/>
            </w:pPr>
            <w:r w:rsidRPr="00022D33">
              <w:t>Total appropriations provided to deliver services</w:t>
            </w:r>
          </w:p>
        </w:tc>
        <w:tc>
          <w:tcPr>
            <w:tcW w:w="1129"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211,619</w:t>
            </w:r>
          </w:p>
        </w:tc>
        <w:tc>
          <w:tcPr>
            <w:tcW w:w="1217"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188,932</w:t>
            </w:r>
          </w:p>
        </w:tc>
        <w:tc>
          <w:tcPr>
            <w:tcW w:w="1162"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(22,687)</w:t>
            </w:r>
          </w:p>
        </w:tc>
        <w:tc>
          <w:tcPr>
            <w:tcW w:w="1217"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188,932</w:t>
            </w:r>
          </w:p>
        </w:tc>
        <w:tc>
          <w:tcPr>
            <w:tcW w:w="1276"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178,026</w:t>
            </w:r>
          </w:p>
        </w:tc>
        <w:tc>
          <w:tcPr>
            <w:tcW w:w="1162"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10,906</w:t>
            </w:r>
          </w:p>
        </w:tc>
      </w:tr>
      <w:tr w:rsidR="00617CB0" w:rsidRPr="00022D33" w:rsidTr="000D7011">
        <w:tc>
          <w:tcPr>
            <w:tcW w:w="10201" w:type="dxa"/>
            <w:gridSpan w:val="7"/>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Capital</w:t>
            </w:r>
          </w:p>
        </w:tc>
      </w:tr>
      <w:tr w:rsidR="00617CB0" w:rsidRPr="00022D33" w:rsidTr="000D7011">
        <w:tc>
          <w:tcPr>
            <w:tcW w:w="3038" w:type="dxa"/>
            <w:tcBorders>
              <w:top w:val="nil"/>
              <w:left w:val="nil"/>
              <w:bottom w:val="nil"/>
              <w:right w:val="nil"/>
            </w:tcBorders>
            <w:shd w:val="clear" w:color="auto" w:fill="auto"/>
          </w:tcPr>
          <w:p w:rsidR="00617CB0" w:rsidRPr="00022D33" w:rsidRDefault="00617CB0" w:rsidP="000D7011">
            <w:pPr>
              <w:pStyle w:val="Tabletext"/>
            </w:pPr>
            <w:r w:rsidRPr="00022D33">
              <w:t>Item 133 capital appropriations</w:t>
            </w:r>
          </w:p>
        </w:tc>
        <w:tc>
          <w:tcPr>
            <w:tcW w:w="1129"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86,365</w:t>
            </w:r>
          </w:p>
        </w:tc>
        <w:tc>
          <w:tcPr>
            <w:tcW w:w="1217"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84,268</w:t>
            </w:r>
          </w:p>
        </w:tc>
        <w:tc>
          <w:tcPr>
            <w:tcW w:w="1162"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(2,097)</w:t>
            </w:r>
          </w:p>
        </w:tc>
        <w:tc>
          <w:tcPr>
            <w:tcW w:w="1217"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84,268</w:t>
            </w:r>
          </w:p>
        </w:tc>
        <w:tc>
          <w:tcPr>
            <w:tcW w:w="1276"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15,353</w:t>
            </w:r>
          </w:p>
        </w:tc>
        <w:tc>
          <w:tcPr>
            <w:tcW w:w="1162"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68,915</w:t>
            </w:r>
          </w:p>
        </w:tc>
      </w:tr>
      <w:tr w:rsidR="00617CB0" w:rsidRPr="00022D33" w:rsidTr="000D7011">
        <w:tc>
          <w:tcPr>
            <w:tcW w:w="3038" w:type="dxa"/>
            <w:tcBorders>
              <w:top w:val="nil"/>
              <w:left w:val="nil"/>
              <w:bottom w:val="nil"/>
              <w:right w:val="nil"/>
            </w:tcBorders>
            <w:shd w:val="clear" w:color="auto" w:fill="auto"/>
          </w:tcPr>
          <w:p w:rsidR="00617CB0" w:rsidRPr="00022D33" w:rsidRDefault="00617CB0" w:rsidP="000D7011">
            <w:pPr>
              <w:pStyle w:val="Tableboldedtext"/>
            </w:pPr>
            <w:r w:rsidRPr="00022D33">
              <w:t>Total capital appropriations provided to deliver services</w:t>
            </w:r>
          </w:p>
        </w:tc>
        <w:tc>
          <w:tcPr>
            <w:tcW w:w="1129"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86,365</w:t>
            </w:r>
          </w:p>
        </w:tc>
        <w:tc>
          <w:tcPr>
            <w:tcW w:w="1217"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84,268</w:t>
            </w:r>
          </w:p>
        </w:tc>
        <w:tc>
          <w:tcPr>
            <w:tcW w:w="1162"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(2,097)</w:t>
            </w:r>
          </w:p>
        </w:tc>
        <w:tc>
          <w:tcPr>
            <w:tcW w:w="1217"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84,268</w:t>
            </w:r>
          </w:p>
        </w:tc>
        <w:tc>
          <w:tcPr>
            <w:tcW w:w="1276"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15,353</w:t>
            </w:r>
          </w:p>
        </w:tc>
        <w:tc>
          <w:tcPr>
            <w:tcW w:w="1162"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68,915</w:t>
            </w:r>
          </w:p>
        </w:tc>
      </w:tr>
      <w:tr w:rsidR="00617CB0" w:rsidRPr="00022D33" w:rsidTr="000D7011">
        <w:tc>
          <w:tcPr>
            <w:tcW w:w="10201" w:type="dxa"/>
            <w:gridSpan w:val="7"/>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Administered transactions</w:t>
            </w:r>
          </w:p>
        </w:tc>
      </w:tr>
      <w:tr w:rsidR="00617CB0" w:rsidRPr="00022D33" w:rsidTr="000D7011">
        <w:tc>
          <w:tcPr>
            <w:tcW w:w="10201" w:type="dxa"/>
            <w:gridSpan w:val="7"/>
            <w:tcBorders>
              <w:top w:val="nil"/>
              <w:left w:val="nil"/>
              <w:bottom w:val="nil"/>
              <w:right w:val="nil"/>
            </w:tcBorders>
            <w:shd w:val="clear" w:color="auto" w:fill="auto"/>
          </w:tcPr>
          <w:p w:rsidR="00617CB0" w:rsidRPr="00022D33" w:rsidRDefault="00617CB0" w:rsidP="000D7011">
            <w:pPr>
              <w:pStyle w:val="Tabletext"/>
              <w:rPr>
                <w:i/>
              </w:rPr>
            </w:pPr>
            <w:r w:rsidRPr="00022D33">
              <w:rPr>
                <w:i/>
              </w:rPr>
              <w:t>Community service obligation payments</w:t>
            </w:r>
          </w:p>
        </w:tc>
      </w:tr>
      <w:tr w:rsidR="00617CB0" w:rsidRPr="00022D33" w:rsidTr="000D7011">
        <w:tc>
          <w:tcPr>
            <w:tcW w:w="3038" w:type="dxa"/>
            <w:tcBorders>
              <w:top w:val="nil"/>
              <w:left w:val="nil"/>
              <w:bottom w:val="nil"/>
              <w:right w:val="nil"/>
            </w:tcBorders>
            <w:shd w:val="clear" w:color="auto" w:fill="auto"/>
          </w:tcPr>
          <w:p w:rsidR="00617CB0" w:rsidRPr="00022D33" w:rsidRDefault="00617CB0" w:rsidP="000D7011">
            <w:pPr>
              <w:pStyle w:val="Tabletext"/>
            </w:pPr>
            <w:r w:rsidRPr="00022D33">
              <w:t>Item 59 amount provided for Administered Grants, Subsidies and Other Transfer Payments</w:t>
            </w:r>
          </w:p>
        </w:tc>
        <w:tc>
          <w:tcPr>
            <w:tcW w:w="1129" w:type="dxa"/>
            <w:tcBorders>
              <w:top w:val="nil"/>
              <w:left w:val="nil"/>
              <w:bottom w:val="nil"/>
              <w:right w:val="nil"/>
            </w:tcBorders>
            <w:shd w:val="clear" w:color="auto" w:fill="auto"/>
          </w:tcPr>
          <w:p w:rsidR="00617CB0" w:rsidRPr="00022D33" w:rsidRDefault="00617CB0" w:rsidP="000D7011">
            <w:pPr>
              <w:pStyle w:val="Tabletext"/>
              <w:jc w:val="right"/>
            </w:pPr>
            <w:r w:rsidRPr="00022D33">
              <w:t>203,208</w:t>
            </w:r>
          </w:p>
        </w:tc>
        <w:tc>
          <w:tcPr>
            <w:tcW w:w="1217" w:type="dxa"/>
            <w:tcBorders>
              <w:top w:val="nil"/>
              <w:left w:val="nil"/>
              <w:bottom w:val="nil"/>
              <w:right w:val="nil"/>
            </w:tcBorders>
            <w:shd w:val="clear" w:color="auto" w:fill="auto"/>
          </w:tcPr>
          <w:p w:rsidR="00617CB0" w:rsidRPr="00022D33" w:rsidRDefault="00617CB0" w:rsidP="000D7011">
            <w:pPr>
              <w:pStyle w:val="Tabletext"/>
              <w:jc w:val="right"/>
            </w:pPr>
            <w:r w:rsidRPr="00022D33">
              <w:t>148,881</w:t>
            </w:r>
          </w:p>
        </w:tc>
        <w:tc>
          <w:tcPr>
            <w:tcW w:w="1162" w:type="dxa"/>
            <w:tcBorders>
              <w:top w:val="nil"/>
              <w:left w:val="nil"/>
              <w:bottom w:val="nil"/>
              <w:right w:val="nil"/>
            </w:tcBorders>
            <w:shd w:val="clear" w:color="auto" w:fill="auto"/>
          </w:tcPr>
          <w:p w:rsidR="00617CB0" w:rsidRPr="00022D33" w:rsidRDefault="00617CB0" w:rsidP="000D7011">
            <w:pPr>
              <w:pStyle w:val="Tabletext"/>
              <w:jc w:val="right"/>
            </w:pPr>
            <w:r w:rsidRPr="00022D33">
              <w:t>(54,327)</w:t>
            </w:r>
          </w:p>
        </w:tc>
        <w:tc>
          <w:tcPr>
            <w:tcW w:w="1217" w:type="dxa"/>
            <w:tcBorders>
              <w:top w:val="nil"/>
              <w:left w:val="nil"/>
              <w:bottom w:val="nil"/>
              <w:right w:val="nil"/>
            </w:tcBorders>
            <w:shd w:val="clear" w:color="auto" w:fill="auto"/>
          </w:tcPr>
          <w:p w:rsidR="00617CB0" w:rsidRPr="00022D33" w:rsidRDefault="00617CB0" w:rsidP="000D7011">
            <w:pPr>
              <w:pStyle w:val="Tabletext"/>
              <w:jc w:val="right"/>
            </w:pPr>
            <w:r w:rsidRPr="00022D33">
              <w:t>148,881</w:t>
            </w:r>
          </w:p>
        </w:tc>
        <w:tc>
          <w:tcPr>
            <w:tcW w:w="1276" w:type="dxa"/>
            <w:tcBorders>
              <w:top w:val="nil"/>
              <w:left w:val="nil"/>
              <w:bottom w:val="nil"/>
              <w:right w:val="nil"/>
            </w:tcBorders>
            <w:shd w:val="clear" w:color="auto" w:fill="auto"/>
          </w:tcPr>
          <w:p w:rsidR="00617CB0" w:rsidRPr="00022D33" w:rsidRDefault="00617CB0" w:rsidP="000D7011">
            <w:pPr>
              <w:pStyle w:val="Tabletext"/>
              <w:jc w:val="right"/>
            </w:pPr>
            <w:r w:rsidRPr="00022D33">
              <w:t>148,030</w:t>
            </w:r>
          </w:p>
        </w:tc>
        <w:tc>
          <w:tcPr>
            <w:tcW w:w="1162" w:type="dxa"/>
            <w:tcBorders>
              <w:top w:val="nil"/>
              <w:left w:val="nil"/>
              <w:bottom w:val="nil"/>
              <w:right w:val="nil"/>
            </w:tcBorders>
            <w:shd w:val="clear" w:color="auto" w:fill="auto"/>
          </w:tcPr>
          <w:p w:rsidR="00617CB0" w:rsidRPr="00022D33" w:rsidRDefault="00617CB0" w:rsidP="000D7011">
            <w:pPr>
              <w:pStyle w:val="Tabletext"/>
              <w:jc w:val="right"/>
            </w:pPr>
            <w:r w:rsidRPr="00022D33">
              <w:t>851</w:t>
            </w:r>
          </w:p>
        </w:tc>
      </w:tr>
      <w:tr w:rsidR="00617CB0" w:rsidRPr="00022D33" w:rsidTr="000D7011">
        <w:tc>
          <w:tcPr>
            <w:tcW w:w="3038" w:type="dxa"/>
            <w:tcBorders>
              <w:top w:val="nil"/>
              <w:left w:val="nil"/>
              <w:bottom w:val="nil"/>
              <w:right w:val="nil"/>
            </w:tcBorders>
            <w:shd w:val="clear" w:color="auto" w:fill="auto"/>
          </w:tcPr>
          <w:p w:rsidR="00617CB0" w:rsidRPr="00022D33" w:rsidRDefault="00617CB0" w:rsidP="000D7011">
            <w:pPr>
              <w:pStyle w:val="Tabletext"/>
            </w:pPr>
            <w:r w:rsidRPr="00022D33">
              <w:t>Amount authorised by other statutes</w:t>
            </w:r>
            <w:r w:rsidRPr="00022D33">
              <w:rPr>
                <w:i/>
              </w:rPr>
              <w:t>:  First Home Owner Grant Act 2000</w:t>
            </w:r>
          </w:p>
        </w:tc>
        <w:tc>
          <w:tcPr>
            <w:tcW w:w="1129"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88,117</w:t>
            </w:r>
          </w:p>
        </w:tc>
        <w:tc>
          <w:tcPr>
            <w:tcW w:w="1217"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98,582</w:t>
            </w:r>
          </w:p>
        </w:tc>
        <w:tc>
          <w:tcPr>
            <w:tcW w:w="1162"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10,465</w:t>
            </w:r>
          </w:p>
        </w:tc>
        <w:tc>
          <w:tcPr>
            <w:tcW w:w="1217"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98,582</w:t>
            </w:r>
          </w:p>
        </w:tc>
        <w:tc>
          <w:tcPr>
            <w:tcW w:w="1276"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115,904</w:t>
            </w:r>
          </w:p>
        </w:tc>
        <w:tc>
          <w:tcPr>
            <w:tcW w:w="1162"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(17,322)</w:t>
            </w:r>
          </w:p>
        </w:tc>
      </w:tr>
      <w:tr w:rsidR="00617CB0" w:rsidRPr="00022D33" w:rsidTr="000D7011">
        <w:tc>
          <w:tcPr>
            <w:tcW w:w="3038" w:type="dxa"/>
            <w:tcBorders>
              <w:top w:val="nil"/>
              <w:left w:val="nil"/>
              <w:bottom w:val="nil"/>
              <w:right w:val="nil"/>
            </w:tcBorders>
            <w:shd w:val="clear" w:color="auto" w:fill="auto"/>
          </w:tcPr>
          <w:p w:rsidR="00617CB0" w:rsidRPr="00022D33" w:rsidRDefault="00617CB0" w:rsidP="000D7011">
            <w:pPr>
              <w:pStyle w:val="Tableboldedtext"/>
            </w:pPr>
            <w:r w:rsidRPr="00022D33">
              <w:t>Total Administered Transactions</w:t>
            </w:r>
          </w:p>
        </w:tc>
        <w:tc>
          <w:tcPr>
            <w:tcW w:w="1129"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291,325</w:t>
            </w:r>
          </w:p>
        </w:tc>
        <w:tc>
          <w:tcPr>
            <w:tcW w:w="1217"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247,463</w:t>
            </w:r>
          </w:p>
        </w:tc>
        <w:tc>
          <w:tcPr>
            <w:tcW w:w="1162"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(43,862)</w:t>
            </w:r>
          </w:p>
        </w:tc>
        <w:tc>
          <w:tcPr>
            <w:tcW w:w="1217"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247,463</w:t>
            </w:r>
          </w:p>
        </w:tc>
        <w:tc>
          <w:tcPr>
            <w:tcW w:w="1276"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263,934</w:t>
            </w:r>
          </w:p>
        </w:tc>
        <w:tc>
          <w:tcPr>
            <w:tcW w:w="1162"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(16,471)</w:t>
            </w:r>
          </w:p>
        </w:tc>
      </w:tr>
      <w:tr w:rsidR="00617CB0" w:rsidRPr="00022D33" w:rsidTr="000D7011">
        <w:tc>
          <w:tcPr>
            <w:tcW w:w="3038" w:type="dxa"/>
            <w:tcBorders>
              <w:top w:val="nil"/>
              <w:left w:val="nil"/>
              <w:bottom w:val="nil"/>
              <w:right w:val="nil"/>
            </w:tcBorders>
            <w:shd w:val="clear" w:color="auto" w:fill="auto"/>
          </w:tcPr>
          <w:p w:rsidR="00617CB0" w:rsidRPr="00022D33" w:rsidRDefault="00617CB0" w:rsidP="000D7011">
            <w:pPr>
              <w:pStyle w:val="Tableboldedtext"/>
            </w:pPr>
            <w:r w:rsidRPr="00022D33">
              <w:t>GRAND TOTAL</w:t>
            </w:r>
          </w:p>
        </w:tc>
        <w:tc>
          <w:tcPr>
            <w:tcW w:w="1129"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589,309</w:t>
            </w:r>
          </w:p>
        </w:tc>
        <w:tc>
          <w:tcPr>
            <w:tcW w:w="1217"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520,663</w:t>
            </w:r>
          </w:p>
        </w:tc>
        <w:tc>
          <w:tcPr>
            <w:tcW w:w="1162"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(68,646)</w:t>
            </w:r>
          </w:p>
        </w:tc>
        <w:tc>
          <w:tcPr>
            <w:tcW w:w="1217"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520,663</w:t>
            </w:r>
          </w:p>
        </w:tc>
        <w:tc>
          <w:tcPr>
            <w:tcW w:w="1276"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457,313</w:t>
            </w:r>
          </w:p>
        </w:tc>
        <w:tc>
          <w:tcPr>
            <w:tcW w:w="1162"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63,350</w:t>
            </w:r>
          </w:p>
        </w:tc>
      </w:tr>
      <w:tr w:rsidR="00617CB0" w:rsidRPr="00022D33" w:rsidTr="000D7011">
        <w:tc>
          <w:tcPr>
            <w:tcW w:w="10201" w:type="dxa"/>
            <w:gridSpan w:val="7"/>
            <w:tcBorders>
              <w:top w:val="nil"/>
              <w:left w:val="nil"/>
              <w:bottom w:val="nil"/>
              <w:right w:val="nil"/>
            </w:tcBorders>
            <w:shd w:val="clear" w:color="auto" w:fill="auto"/>
          </w:tcPr>
          <w:p w:rsidR="00617CB0" w:rsidRPr="00022D33" w:rsidRDefault="00617CB0" w:rsidP="000D7011">
            <w:pPr>
              <w:pStyle w:val="Tabletext"/>
              <w:rPr>
                <w:u w:val="single"/>
              </w:rPr>
            </w:pPr>
          </w:p>
        </w:tc>
      </w:tr>
      <w:tr w:rsidR="00617CB0" w:rsidRPr="00022D33" w:rsidTr="000D7011">
        <w:tc>
          <w:tcPr>
            <w:tcW w:w="10201" w:type="dxa"/>
            <w:gridSpan w:val="7"/>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Details of expenses by service</w:t>
            </w:r>
          </w:p>
        </w:tc>
      </w:tr>
      <w:tr w:rsidR="00617CB0" w:rsidRPr="00022D33" w:rsidTr="000D7011">
        <w:tc>
          <w:tcPr>
            <w:tcW w:w="3038" w:type="dxa"/>
            <w:tcBorders>
              <w:top w:val="nil"/>
              <w:left w:val="nil"/>
              <w:bottom w:val="nil"/>
              <w:right w:val="nil"/>
            </w:tcBorders>
            <w:shd w:val="clear" w:color="auto" w:fill="auto"/>
          </w:tcPr>
          <w:p w:rsidR="00617CB0" w:rsidRPr="00022D33" w:rsidRDefault="00617CB0" w:rsidP="000D7011">
            <w:pPr>
              <w:pStyle w:val="Tabletext"/>
            </w:pPr>
            <w:r w:rsidRPr="00022D33">
              <w:t>Revenue assessment and collection, and grants and subsidies administration</w:t>
            </w:r>
          </w:p>
        </w:tc>
        <w:tc>
          <w:tcPr>
            <w:tcW w:w="1129" w:type="dxa"/>
            <w:tcBorders>
              <w:top w:val="nil"/>
              <w:left w:val="nil"/>
              <w:bottom w:val="nil"/>
              <w:right w:val="nil"/>
            </w:tcBorders>
            <w:shd w:val="clear" w:color="auto" w:fill="auto"/>
          </w:tcPr>
          <w:p w:rsidR="00617CB0" w:rsidRPr="00022D33" w:rsidRDefault="00617CB0" w:rsidP="000D7011">
            <w:pPr>
              <w:pStyle w:val="Tabletext"/>
              <w:jc w:val="right"/>
            </w:pPr>
            <w:r w:rsidRPr="00022D33">
              <w:t>58,380</w:t>
            </w:r>
          </w:p>
        </w:tc>
        <w:tc>
          <w:tcPr>
            <w:tcW w:w="1217" w:type="dxa"/>
            <w:tcBorders>
              <w:top w:val="nil"/>
              <w:left w:val="nil"/>
              <w:bottom w:val="nil"/>
              <w:right w:val="nil"/>
            </w:tcBorders>
            <w:shd w:val="clear" w:color="auto" w:fill="auto"/>
          </w:tcPr>
          <w:p w:rsidR="00617CB0" w:rsidRPr="00022D33" w:rsidRDefault="00617CB0" w:rsidP="000D7011">
            <w:pPr>
              <w:pStyle w:val="Tabletext"/>
              <w:jc w:val="right"/>
            </w:pPr>
            <w:r w:rsidRPr="00022D33">
              <w:t>56,528</w:t>
            </w:r>
          </w:p>
        </w:tc>
        <w:tc>
          <w:tcPr>
            <w:tcW w:w="1162" w:type="dxa"/>
            <w:tcBorders>
              <w:top w:val="nil"/>
              <w:left w:val="nil"/>
              <w:bottom w:val="nil"/>
              <w:right w:val="nil"/>
            </w:tcBorders>
            <w:shd w:val="clear" w:color="auto" w:fill="auto"/>
          </w:tcPr>
          <w:p w:rsidR="00617CB0" w:rsidRPr="00022D33" w:rsidRDefault="00617CB0" w:rsidP="000D7011">
            <w:pPr>
              <w:pStyle w:val="Tabletext"/>
              <w:jc w:val="right"/>
            </w:pPr>
            <w:r w:rsidRPr="00022D33">
              <w:t>(1,852)</w:t>
            </w:r>
          </w:p>
        </w:tc>
        <w:tc>
          <w:tcPr>
            <w:tcW w:w="1217" w:type="dxa"/>
            <w:tcBorders>
              <w:top w:val="nil"/>
              <w:left w:val="nil"/>
              <w:bottom w:val="nil"/>
              <w:right w:val="nil"/>
            </w:tcBorders>
            <w:shd w:val="clear" w:color="auto" w:fill="auto"/>
          </w:tcPr>
          <w:p w:rsidR="00617CB0" w:rsidRPr="00022D33" w:rsidRDefault="00617CB0" w:rsidP="000D7011">
            <w:pPr>
              <w:pStyle w:val="Tabletext"/>
              <w:jc w:val="right"/>
            </w:pPr>
            <w:r w:rsidRPr="00022D33">
              <w:t>56,528</w:t>
            </w:r>
          </w:p>
        </w:tc>
        <w:tc>
          <w:tcPr>
            <w:tcW w:w="1276" w:type="dxa"/>
            <w:tcBorders>
              <w:top w:val="nil"/>
              <w:left w:val="nil"/>
              <w:bottom w:val="nil"/>
              <w:right w:val="nil"/>
            </w:tcBorders>
            <w:shd w:val="clear" w:color="auto" w:fill="auto"/>
          </w:tcPr>
          <w:p w:rsidR="00617CB0" w:rsidRPr="00022D33" w:rsidRDefault="00617CB0" w:rsidP="000D7011">
            <w:pPr>
              <w:pStyle w:val="Tabletext"/>
              <w:jc w:val="right"/>
            </w:pPr>
            <w:r w:rsidRPr="00022D33">
              <w:t>56,418</w:t>
            </w:r>
          </w:p>
        </w:tc>
        <w:tc>
          <w:tcPr>
            <w:tcW w:w="1162" w:type="dxa"/>
            <w:tcBorders>
              <w:top w:val="nil"/>
              <w:left w:val="nil"/>
              <w:bottom w:val="nil"/>
              <w:right w:val="nil"/>
            </w:tcBorders>
            <w:shd w:val="clear" w:color="auto" w:fill="auto"/>
          </w:tcPr>
          <w:p w:rsidR="00617CB0" w:rsidRPr="00022D33" w:rsidRDefault="00617CB0" w:rsidP="000D7011">
            <w:pPr>
              <w:pStyle w:val="Tabletext"/>
              <w:jc w:val="right"/>
            </w:pPr>
            <w:r w:rsidRPr="00022D33">
              <w:t>110</w:t>
            </w:r>
          </w:p>
        </w:tc>
      </w:tr>
      <w:tr w:rsidR="00617CB0" w:rsidRPr="00022D33" w:rsidTr="000D7011">
        <w:tc>
          <w:tcPr>
            <w:tcW w:w="3038" w:type="dxa"/>
            <w:tcBorders>
              <w:top w:val="nil"/>
              <w:left w:val="nil"/>
              <w:bottom w:val="nil"/>
              <w:right w:val="nil"/>
            </w:tcBorders>
            <w:shd w:val="clear" w:color="auto" w:fill="auto"/>
          </w:tcPr>
          <w:p w:rsidR="00617CB0" w:rsidRPr="00022D33" w:rsidRDefault="00617CB0" w:rsidP="000D7011">
            <w:pPr>
              <w:pStyle w:val="Tabletext"/>
            </w:pPr>
            <w:r w:rsidRPr="00022D33">
              <w:t>Development and management of common use contract arrangements, State Fleet leasing and disposal, and providing facilitation service for agency specific contracts</w:t>
            </w:r>
          </w:p>
        </w:tc>
        <w:tc>
          <w:tcPr>
            <w:tcW w:w="1129" w:type="dxa"/>
            <w:tcBorders>
              <w:top w:val="nil"/>
              <w:left w:val="nil"/>
              <w:bottom w:val="nil"/>
              <w:right w:val="nil"/>
            </w:tcBorders>
            <w:shd w:val="clear" w:color="auto" w:fill="auto"/>
          </w:tcPr>
          <w:p w:rsidR="00617CB0" w:rsidRPr="00022D33" w:rsidRDefault="00617CB0" w:rsidP="000D7011">
            <w:pPr>
              <w:pStyle w:val="Tabletext"/>
              <w:jc w:val="right"/>
            </w:pPr>
            <w:r w:rsidRPr="00022D33">
              <w:t>135,174</w:t>
            </w:r>
          </w:p>
        </w:tc>
        <w:tc>
          <w:tcPr>
            <w:tcW w:w="1217" w:type="dxa"/>
            <w:tcBorders>
              <w:top w:val="nil"/>
              <w:left w:val="nil"/>
              <w:bottom w:val="nil"/>
              <w:right w:val="nil"/>
            </w:tcBorders>
            <w:shd w:val="clear" w:color="auto" w:fill="auto"/>
          </w:tcPr>
          <w:p w:rsidR="00617CB0" w:rsidRPr="00022D33" w:rsidRDefault="00617CB0" w:rsidP="000D7011">
            <w:pPr>
              <w:pStyle w:val="Tabletext"/>
              <w:jc w:val="right"/>
            </w:pPr>
            <w:r w:rsidRPr="00022D33">
              <w:t>95,849</w:t>
            </w:r>
          </w:p>
        </w:tc>
        <w:tc>
          <w:tcPr>
            <w:tcW w:w="1162" w:type="dxa"/>
            <w:tcBorders>
              <w:top w:val="nil"/>
              <w:left w:val="nil"/>
              <w:bottom w:val="nil"/>
              <w:right w:val="nil"/>
            </w:tcBorders>
            <w:shd w:val="clear" w:color="auto" w:fill="auto"/>
          </w:tcPr>
          <w:p w:rsidR="00617CB0" w:rsidRPr="00022D33" w:rsidRDefault="00617CB0" w:rsidP="000D7011">
            <w:pPr>
              <w:pStyle w:val="Tabletext"/>
              <w:jc w:val="right"/>
            </w:pPr>
            <w:r w:rsidRPr="00022D33">
              <w:t>(39,325)</w:t>
            </w:r>
          </w:p>
        </w:tc>
        <w:tc>
          <w:tcPr>
            <w:tcW w:w="1217" w:type="dxa"/>
            <w:tcBorders>
              <w:top w:val="nil"/>
              <w:left w:val="nil"/>
              <w:bottom w:val="nil"/>
              <w:right w:val="nil"/>
            </w:tcBorders>
            <w:shd w:val="clear" w:color="auto" w:fill="auto"/>
          </w:tcPr>
          <w:p w:rsidR="00617CB0" w:rsidRPr="00022D33" w:rsidRDefault="00617CB0" w:rsidP="000D7011">
            <w:pPr>
              <w:pStyle w:val="Tabletext"/>
              <w:jc w:val="right"/>
            </w:pPr>
            <w:r w:rsidRPr="00022D33">
              <w:t>95,849</w:t>
            </w:r>
          </w:p>
        </w:tc>
        <w:tc>
          <w:tcPr>
            <w:tcW w:w="1276" w:type="dxa"/>
            <w:tcBorders>
              <w:top w:val="nil"/>
              <w:left w:val="nil"/>
              <w:bottom w:val="nil"/>
              <w:right w:val="nil"/>
            </w:tcBorders>
            <w:shd w:val="clear" w:color="auto" w:fill="auto"/>
          </w:tcPr>
          <w:p w:rsidR="00617CB0" w:rsidRPr="00022D33" w:rsidRDefault="00617CB0" w:rsidP="000D7011">
            <w:pPr>
              <w:pStyle w:val="Tabletext"/>
              <w:jc w:val="right"/>
            </w:pPr>
            <w:r w:rsidRPr="00022D33">
              <w:t>107,150</w:t>
            </w:r>
          </w:p>
        </w:tc>
        <w:tc>
          <w:tcPr>
            <w:tcW w:w="1162" w:type="dxa"/>
            <w:tcBorders>
              <w:top w:val="nil"/>
              <w:left w:val="nil"/>
              <w:bottom w:val="nil"/>
              <w:right w:val="nil"/>
            </w:tcBorders>
            <w:shd w:val="clear" w:color="auto" w:fill="auto"/>
          </w:tcPr>
          <w:p w:rsidR="00617CB0" w:rsidRPr="00022D33" w:rsidRDefault="00617CB0" w:rsidP="000D7011">
            <w:pPr>
              <w:pStyle w:val="Tabletext"/>
              <w:jc w:val="right"/>
            </w:pPr>
            <w:r w:rsidRPr="00022D33">
              <w:t>(11,301)</w:t>
            </w:r>
          </w:p>
        </w:tc>
      </w:tr>
      <w:tr w:rsidR="00617CB0" w:rsidRPr="00022D33" w:rsidTr="000D7011">
        <w:tc>
          <w:tcPr>
            <w:tcW w:w="3038" w:type="dxa"/>
            <w:tcBorders>
              <w:top w:val="nil"/>
              <w:left w:val="nil"/>
              <w:bottom w:val="nil"/>
              <w:right w:val="nil"/>
            </w:tcBorders>
            <w:shd w:val="clear" w:color="auto" w:fill="auto"/>
          </w:tcPr>
          <w:p w:rsidR="00617CB0" w:rsidRPr="00022D33" w:rsidRDefault="00617CB0" w:rsidP="000D7011">
            <w:pPr>
              <w:pStyle w:val="Tabletext"/>
            </w:pPr>
            <w:r w:rsidRPr="00022D33">
              <w:rPr>
                <w:rFonts w:ascii="HelveticaNeueLT-Light" w:hAnsi="HelveticaNeueLT-Light" w:cs="HelveticaNeueLT-Light"/>
              </w:rPr>
              <w:t>Corporate Services to the Department of Treasury</w:t>
            </w:r>
          </w:p>
        </w:tc>
        <w:tc>
          <w:tcPr>
            <w:tcW w:w="1129" w:type="dxa"/>
            <w:tcBorders>
              <w:top w:val="nil"/>
              <w:left w:val="nil"/>
              <w:bottom w:val="nil"/>
              <w:right w:val="nil"/>
            </w:tcBorders>
            <w:shd w:val="clear" w:color="auto" w:fill="auto"/>
          </w:tcPr>
          <w:p w:rsidR="00617CB0" w:rsidRPr="00022D33" w:rsidRDefault="00617CB0" w:rsidP="000D7011">
            <w:pPr>
              <w:pStyle w:val="Tabletext"/>
              <w:jc w:val="right"/>
            </w:pPr>
            <w:r w:rsidRPr="00022D33">
              <w:t>7,315</w:t>
            </w:r>
          </w:p>
        </w:tc>
        <w:tc>
          <w:tcPr>
            <w:tcW w:w="1217" w:type="dxa"/>
            <w:tcBorders>
              <w:top w:val="nil"/>
              <w:left w:val="nil"/>
              <w:bottom w:val="nil"/>
              <w:right w:val="nil"/>
            </w:tcBorders>
            <w:shd w:val="clear" w:color="auto" w:fill="auto"/>
          </w:tcPr>
          <w:p w:rsidR="00617CB0" w:rsidRPr="00022D33" w:rsidRDefault="00617CB0" w:rsidP="000D7011">
            <w:pPr>
              <w:pStyle w:val="Tabletext"/>
              <w:jc w:val="right"/>
            </w:pPr>
            <w:r w:rsidRPr="00022D33">
              <w:t>7,019</w:t>
            </w:r>
          </w:p>
        </w:tc>
        <w:tc>
          <w:tcPr>
            <w:tcW w:w="1162" w:type="dxa"/>
            <w:tcBorders>
              <w:top w:val="nil"/>
              <w:left w:val="nil"/>
              <w:bottom w:val="nil"/>
              <w:right w:val="nil"/>
            </w:tcBorders>
            <w:shd w:val="clear" w:color="auto" w:fill="auto"/>
          </w:tcPr>
          <w:p w:rsidR="00617CB0" w:rsidRPr="00022D33" w:rsidRDefault="00617CB0" w:rsidP="000D7011">
            <w:pPr>
              <w:pStyle w:val="Tabletext"/>
              <w:jc w:val="right"/>
            </w:pPr>
            <w:r w:rsidRPr="00022D33">
              <w:t>(296)</w:t>
            </w:r>
          </w:p>
        </w:tc>
        <w:tc>
          <w:tcPr>
            <w:tcW w:w="1217" w:type="dxa"/>
            <w:tcBorders>
              <w:top w:val="nil"/>
              <w:left w:val="nil"/>
              <w:bottom w:val="nil"/>
              <w:right w:val="nil"/>
            </w:tcBorders>
            <w:shd w:val="clear" w:color="auto" w:fill="auto"/>
          </w:tcPr>
          <w:p w:rsidR="00617CB0" w:rsidRPr="00022D33" w:rsidRDefault="00617CB0" w:rsidP="000D7011">
            <w:pPr>
              <w:pStyle w:val="Tabletext"/>
              <w:jc w:val="right"/>
            </w:pPr>
            <w:r w:rsidRPr="00022D33">
              <w:t>7,019</w:t>
            </w:r>
          </w:p>
        </w:tc>
        <w:tc>
          <w:tcPr>
            <w:tcW w:w="1276" w:type="dxa"/>
            <w:tcBorders>
              <w:top w:val="nil"/>
              <w:left w:val="nil"/>
              <w:bottom w:val="nil"/>
              <w:right w:val="nil"/>
            </w:tcBorders>
            <w:shd w:val="clear" w:color="auto" w:fill="auto"/>
          </w:tcPr>
          <w:p w:rsidR="00617CB0" w:rsidRPr="00022D33" w:rsidRDefault="00617CB0" w:rsidP="000D7011">
            <w:pPr>
              <w:pStyle w:val="Tabletext"/>
              <w:jc w:val="right"/>
            </w:pPr>
            <w:r w:rsidRPr="00022D33">
              <w:t>7,265</w:t>
            </w:r>
          </w:p>
        </w:tc>
        <w:tc>
          <w:tcPr>
            <w:tcW w:w="1162" w:type="dxa"/>
            <w:tcBorders>
              <w:top w:val="nil"/>
              <w:left w:val="nil"/>
              <w:bottom w:val="nil"/>
              <w:right w:val="nil"/>
            </w:tcBorders>
            <w:shd w:val="clear" w:color="auto" w:fill="auto"/>
          </w:tcPr>
          <w:p w:rsidR="00617CB0" w:rsidRPr="00022D33" w:rsidRDefault="00617CB0" w:rsidP="000D7011">
            <w:pPr>
              <w:pStyle w:val="Tabletext"/>
              <w:jc w:val="right"/>
            </w:pPr>
            <w:r w:rsidRPr="00022D33">
              <w:t>(246)</w:t>
            </w:r>
          </w:p>
        </w:tc>
      </w:tr>
    </w:tbl>
    <w:p w:rsidR="00617CB0" w:rsidRDefault="00617CB0" w:rsidP="00617CB0"/>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8"/>
        <w:gridCol w:w="1129"/>
        <w:gridCol w:w="1217"/>
        <w:gridCol w:w="1162"/>
        <w:gridCol w:w="1217"/>
        <w:gridCol w:w="1276"/>
        <w:gridCol w:w="1162"/>
      </w:tblGrid>
      <w:tr w:rsidR="00617CB0" w:rsidRPr="00980C21" w:rsidTr="000D7011">
        <w:trPr>
          <w:cantSplit/>
        </w:trPr>
        <w:tc>
          <w:tcPr>
            <w:tcW w:w="3038" w:type="dxa"/>
            <w:tcBorders>
              <w:top w:val="nil"/>
              <w:left w:val="nil"/>
              <w:bottom w:val="nil"/>
              <w:right w:val="nil"/>
            </w:tcBorders>
            <w:shd w:val="clear" w:color="auto" w:fill="auto"/>
          </w:tcPr>
          <w:p w:rsidR="00617CB0" w:rsidRPr="00980C21" w:rsidRDefault="00617CB0" w:rsidP="000D7011">
            <w:pPr>
              <w:autoSpaceDE w:val="0"/>
              <w:autoSpaceDN w:val="0"/>
              <w:adjustRightInd w:val="0"/>
              <w:spacing w:after="0"/>
              <w:jc w:val="right"/>
              <w:rPr>
                <w:rFonts w:ascii="HelveticaNeueLT-Light" w:hAnsi="HelveticaNeueLT-Light" w:cs="HelveticaNeueLT-Light"/>
                <w:b/>
                <w:sz w:val="20"/>
                <w:szCs w:val="20"/>
                <w:lang w:eastAsia="en-AU"/>
              </w:rPr>
            </w:pPr>
          </w:p>
        </w:tc>
        <w:tc>
          <w:tcPr>
            <w:tcW w:w="1129" w:type="dxa"/>
            <w:tcBorders>
              <w:top w:val="nil"/>
              <w:left w:val="nil"/>
              <w:bottom w:val="nil"/>
              <w:right w:val="nil"/>
            </w:tcBorders>
            <w:shd w:val="clear" w:color="auto" w:fill="auto"/>
          </w:tcPr>
          <w:p w:rsidR="00617CB0" w:rsidRPr="00980C21" w:rsidRDefault="00617CB0" w:rsidP="000D7011">
            <w:pPr>
              <w:pStyle w:val="Tabletext"/>
              <w:jc w:val="right"/>
              <w:rPr>
                <w:b/>
              </w:rPr>
            </w:pPr>
            <w:r w:rsidRPr="00980C21">
              <w:rPr>
                <w:b/>
              </w:rPr>
              <w:t>2016</w:t>
            </w:r>
          </w:p>
          <w:p w:rsidR="00617CB0" w:rsidRPr="00980C21" w:rsidRDefault="00617CB0" w:rsidP="000D7011">
            <w:pPr>
              <w:pStyle w:val="Tabletext"/>
              <w:jc w:val="right"/>
              <w:rPr>
                <w:b/>
              </w:rPr>
            </w:pPr>
            <w:r w:rsidRPr="00980C21">
              <w:rPr>
                <w:b/>
              </w:rPr>
              <w:t>estimate</w:t>
            </w:r>
          </w:p>
          <w:p w:rsidR="00617CB0" w:rsidRPr="00980C21" w:rsidRDefault="00617CB0" w:rsidP="000D7011">
            <w:pPr>
              <w:pStyle w:val="Tabletext"/>
              <w:jc w:val="right"/>
              <w:rPr>
                <w:b/>
              </w:rPr>
            </w:pPr>
            <w:r w:rsidRPr="00980C21">
              <w:rPr>
                <w:b/>
              </w:rPr>
              <w:t>$000</w:t>
            </w:r>
          </w:p>
        </w:tc>
        <w:tc>
          <w:tcPr>
            <w:tcW w:w="1217" w:type="dxa"/>
            <w:tcBorders>
              <w:top w:val="nil"/>
              <w:left w:val="nil"/>
              <w:bottom w:val="nil"/>
              <w:right w:val="nil"/>
            </w:tcBorders>
            <w:shd w:val="clear" w:color="auto" w:fill="auto"/>
          </w:tcPr>
          <w:p w:rsidR="00617CB0" w:rsidRPr="00980C21" w:rsidRDefault="00617CB0" w:rsidP="000D7011">
            <w:pPr>
              <w:pStyle w:val="Tabletext"/>
              <w:jc w:val="right"/>
              <w:rPr>
                <w:b/>
              </w:rPr>
            </w:pPr>
            <w:r w:rsidRPr="00980C21">
              <w:rPr>
                <w:b/>
              </w:rPr>
              <w:t>2016</w:t>
            </w:r>
          </w:p>
          <w:p w:rsidR="00617CB0" w:rsidRPr="00980C21" w:rsidRDefault="00617CB0" w:rsidP="000D7011">
            <w:pPr>
              <w:pStyle w:val="Tabletext"/>
              <w:jc w:val="right"/>
              <w:rPr>
                <w:b/>
              </w:rPr>
            </w:pPr>
            <w:r w:rsidRPr="00980C21">
              <w:rPr>
                <w:b/>
              </w:rPr>
              <w:t>actual</w:t>
            </w:r>
          </w:p>
          <w:p w:rsidR="00617CB0" w:rsidRPr="00980C21" w:rsidRDefault="00617CB0" w:rsidP="000D7011">
            <w:pPr>
              <w:pStyle w:val="Tabletext"/>
              <w:jc w:val="right"/>
              <w:rPr>
                <w:b/>
              </w:rPr>
            </w:pPr>
            <w:r w:rsidRPr="00980C21">
              <w:rPr>
                <w:b/>
              </w:rPr>
              <w:t>$000</w:t>
            </w:r>
          </w:p>
        </w:tc>
        <w:tc>
          <w:tcPr>
            <w:tcW w:w="1162" w:type="dxa"/>
            <w:tcBorders>
              <w:top w:val="nil"/>
              <w:left w:val="nil"/>
              <w:bottom w:val="nil"/>
              <w:right w:val="nil"/>
            </w:tcBorders>
            <w:shd w:val="clear" w:color="auto" w:fill="auto"/>
          </w:tcPr>
          <w:p w:rsidR="00617CB0" w:rsidRPr="00980C21" w:rsidRDefault="00617CB0" w:rsidP="000D7011">
            <w:pPr>
              <w:pStyle w:val="Tabletext"/>
              <w:jc w:val="right"/>
              <w:rPr>
                <w:b/>
              </w:rPr>
            </w:pPr>
            <w:r w:rsidRPr="00980C21">
              <w:rPr>
                <w:b/>
              </w:rPr>
              <w:t>Variance</w:t>
            </w:r>
          </w:p>
          <w:p w:rsidR="00617CB0" w:rsidRPr="00980C21" w:rsidRDefault="00617CB0" w:rsidP="000D7011">
            <w:pPr>
              <w:pStyle w:val="Tabletext"/>
              <w:jc w:val="right"/>
              <w:rPr>
                <w:b/>
              </w:rPr>
            </w:pPr>
            <w:r w:rsidRPr="00980C21">
              <w:rPr>
                <w:b/>
              </w:rPr>
              <w:t>$000</w:t>
            </w:r>
          </w:p>
        </w:tc>
        <w:tc>
          <w:tcPr>
            <w:tcW w:w="1217" w:type="dxa"/>
            <w:tcBorders>
              <w:top w:val="nil"/>
              <w:left w:val="nil"/>
              <w:bottom w:val="nil"/>
              <w:right w:val="nil"/>
            </w:tcBorders>
            <w:shd w:val="clear" w:color="auto" w:fill="auto"/>
          </w:tcPr>
          <w:p w:rsidR="00617CB0" w:rsidRPr="00980C21" w:rsidRDefault="00617CB0" w:rsidP="000D7011">
            <w:pPr>
              <w:pStyle w:val="Tabletext"/>
              <w:jc w:val="right"/>
              <w:rPr>
                <w:b/>
              </w:rPr>
            </w:pPr>
            <w:r w:rsidRPr="00980C21">
              <w:rPr>
                <w:b/>
              </w:rPr>
              <w:t>2016 actual</w:t>
            </w:r>
          </w:p>
          <w:p w:rsidR="00617CB0" w:rsidRPr="00980C21" w:rsidRDefault="00617CB0" w:rsidP="000D7011">
            <w:pPr>
              <w:pStyle w:val="Tabletext"/>
              <w:jc w:val="right"/>
              <w:rPr>
                <w:b/>
              </w:rPr>
            </w:pPr>
            <w:r w:rsidRPr="00980C21">
              <w:rPr>
                <w:b/>
              </w:rPr>
              <w:t>$000</w:t>
            </w:r>
          </w:p>
        </w:tc>
        <w:tc>
          <w:tcPr>
            <w:tcW w:w="1276" w:type="dxa"/>
            <w:tcBorders>
              <w:top w:val="nil"/>
              <w:left w:val="nil"/>
              <w:bottom w:val="nil"/>
              <w:right w:val="nil"/>
            </w:tcBorders>
            <w:shd w:val="clear" w:color="auto" w:fill="auto"/>
          </w:tcPr>
          <w:p w:rsidR="00617CB0" w:rsidRPr="00980C21" w:rsidRDefault="00617CB0" w:rsidP="000D7011">
            <w:pPr>
              <w:pStyle w:val="Tabletext"/>
              <w:jc w:val="right"/>
              <w:rPr>
                <w:b/>
              </w:rPr>
            </w:pPr>
            <w:r w:rsidRPr="00980C21">
              <w:rPr>
                <w:b/>
              </w:rPr>
              <w:t>2015</w:t>
            </w:r>
          </w:p>
          <w:p w:rsidR="00617CB0" w:rsidRPr="00980C21" w:rsidRDefault="00617CB0" w:rsidP="000D7011">
            <w:pPr>
              <w:pStyle w:val="Tabletext"/>
              <w:jc w:val="right"/>
              <w:rPr>
                <w:b/>
              </w:rPr>
            </w:pPr>
            <w:r w:rsidRPr="00980C21">
              <w:rPr>
                <w:b/>
              </w:rPr>
              <w:t>actual</w:t>
            </w:r>
          </w:p>
          <w:p w:rsidR="00617CB0" w:rsidRPr="00980C21" w:rsidRDefault="00617CB0" w:rsidP="000D7011">
            <w:pPr>
              <w:pStyle w:val="Tabletext"/>
              <w:jc w:val="right"/>
              <w:rPr>
                <w:b/>
              </w:rPr>
            </w:pPr>
            <w:r w:rsidRPr="00980C21">
              <w:rPr>
                <w:b/>
              </w:rPr>
              <w:t>$000</w:t>
            </w:r>
          </w:p>
        </w:tc>
        <w:tc>
          <w:tcPr>
            <w:tcW w:w="1162" w:type="dxa"/>
            <w:tcBorders>
              <w:top w:val="nil"/>
              <w:left w:val="nil"/>
              <w:bottom w:val="nil"/>
              <w:right w:val="nil"/>
            </w:tcBorders>
            <w:shd w:val="clear" w:color="auto" w:fill="auto"/>
          </w:tcPr>
          <w:p w:rsidR="00617CB0" w:rsidRPr="00980C21" w:rsidRDefault="00617CB0" w:rsidP="000D7011">
            <w:pPr>
              <w:pStyle w:val="Tabletext"/>
              <w:jc w:val="right"/>
              <w:rPr>
                <w:b/>
              </w:rPr>
            </w:pPr>
            <w:r w:rsidRPr="00980C21">
              <w:rPr>
                <w:b/>
              </w:rPr>
              <w:t>Variance</w:t>
            </w:r>
          </w:p>
          <w:p w:rsidR="00617CB0" w:rsidRPr="00980C21" w:rsidRDefault="00617CB0" w:rsidP="000D7011">
            <w:pPr>
              <w:pStyle w:val="Tabletext"/>
              <w:jc w:val="right"/>
              <w:rPr>
                <w:b/>
              </w:rPr>
            </w:pPr>
            <w:r w:rsidRPr="00980C21">
              <w:rPr>
                <w:b/>
              </w:rPr>
              <w:t>$000</w:t>
            </w:r>
          </w:p>
          <w:p w:rsidR="00617CB0" w:rsidRPr="00980C21" w:rsidRDefault="00617CB0" w:rsidP="000D7011">
            <w:pPr>
              <w:pStyle w:val="Tabletext"/>
              <w:jc w:val="right"/>
              <w:rPr>
                <w:b/>
              </w:rPr>
            </w:pPr>
          </w:p>
        </w:tc>
      </w:tr>
      <w:tr w:rsidR="00617CB0" w:rsidRPr="00022D33" w:rsidTr="000D7011">
        <w:trPr>
          <w:cantSplit/>
        </w:trPr>
        <w:tc>
          <w:tcPr>
            <w:tcW w:w="3038" w:type="dxa"/>
            <w:tcBorders>
              <w:top w:val="nil"/>
              <w:left w:val="nil"/>
              <w:bottom w:val="nil"/>
              <w:right w:val="nil"/>
            </w:tcBorders>
            <w:shd w:val="clear" w:color="auto" w:fill="auto"/>
          </w:tcPr>
          <w:p w:rsidR="00617CB0" w:rsidRPr="00022D33" w:rsidRDefault="00617CB0" w:rsidP="000D7011">
            <w:pPr>
              <w:autoSpaceDE w:val="0"/>
              <w:autoSpaceDN w:val="0"/>
              <w:adjustRightInd w:val="0"/>
              <w:spacing w:after="0" w:line="240" w:lineRule="auto"/>
              <w:rPr>
                <w:rFonts w:ascii="HelveticaNeueLT-Light" w:hAnsi="HelveticaNeueLT-Light" w:cs="HelveticaNeueLT-Light"/>
                <w:sz w:val="20"/>
                <w:szCs w:val="20"/>
                <w:lang w:eastAsia="en-AU"/>
              </w:rPr>
            </w:pPr>
            <w:r w:rsidRPr="00022D33">
              <w:rPr>
                <w:rFonts w:ascii="HelveticaNeueLT-Light" w:hAnsi="HelveticaNeueLT-Light" w:cs="HelveticaNeueLT-Light"/>
                <w:sz w:val="20"/>
                <w:szCs w:val="20"/>
                <w:lang w:eastAsia="en-AU"/>
              </w:rPr>
              <w:t>Leads the planning, delivery, management and maintenance of government buildings,</w:t>
            </w:r>
          </w:p>
          <w:p w:rsidR="00617CB0" w:rsidRPr="00022D33" w:rsidRDefault="00617CB0" w:rsidP="000D7011">
            <w:pPr>
              <w:pStyle w:val="Tabletext"/>
            </w:pPr>
            <w:r w:rsidRPr="00022D33">
              <w:rPr>
                <w:rFonts w:ascii="HelveticaNeueLT-Light" w:hAnsi="HelveticaNeueLT-Light" w:cs="HelveticaNeueLT-Light"/>
              </w:rPr>
              <w:t>projects and office accommodation</w:t>
            </w:r>
          </w:p>
        </w:tc>
        <w:tc>
          <w:tcPr>
            <w:tcW w:w="1129" w:type="dxa"/>
            <w:tcBorders>
              <w:top w:val="nil"/>
              <w:left w:val="nil"/>
              <w:bottom w:val="nil"/>
              <w:right w:val="nil"/>
            </w:tcBorders>
            <w:shd w:val="clear" w:color="auto" w:fill="auto"/>
          </w:tcPr>
          <w:p w:rsidR="00617CB0" w:rsidRPr="00022D33" w:rsidRDefault="00617CB0" w:rsidP="000D7011">
            <w:pPr>
              <w:pStyle w:val="Tabletext"/>
              <w:jc w:val="right"/>
            </w:pPr>
            <w:r w:rsidRPr="00022D33">
              <w:t>973,503</w:t>
            </w:r>
          </w:p>
        </w:tc>
        <w:tc>
          <w:tcPr>
            <w:tcW w:w="1217" w:type="dxa"/>
            <w:tcBorders>
              <w:top w:val="nil"/>
              <w:left w:val="nil"/>
              <w:bottom w:val="nil"/>
              <w:right w:val="nil"/>
            </w:tcBorders>
            <w:shd w:val="clear" w:color="auto" w:fill="auto"/>
          </w:tcPr>
          <w:p w:rsidR="00617CB0" w:rsidRPr="00022D33" w:rsidRDefault="00617CB0" w:rsidP="000D7011">
            <w:pPr>
              <w:pStyle w:val="Tabletext"/>
              <w:jc w:val="right"/>
            </w:pPr>
            <w:r w:rsidRPr="00022D33">
              <w:t>1,013,206</w:t>
            </w:r>
          </w:p>
        </w:tc>
        <w:tc>
          <w:tcPr>
            <w:tcW w:w="1162" w:type="dxa"/>
            <w:tcBorders>
              <w:top w:val="nil"/>
              <w:left w:val="nil"/>
              <w:bottom w:val="nil"/>
              <w:right w:val="nil"/>
            </w:tcBorders>
            <w:shd w:val="clear" w:color="auto" w:fill="auto"/>
          </w:tcPr>
          <w:p w:rsidR="00617CB0" w:rsidRPr="00022D33" w:rsidRDefault="00617CB0" w:rsidP="000D7011">
            <w:pPr>
              <w:pStyle w:val="Tabletext"/>
              <w:jc w:val="right"/>
            </w:pPr>
            <w:r w:rsidRPr="00022D33">
              <w:t>39,703</w:t>
            </w:r>
          </w:p>
        </w:tc>
        <w:tc>
          <w:tcPr>
            <w:tcW w:w="1217" w:type="dxa"/>
            <w:tcBorders>
              <w:top w:val="nil"/>
              <w:left w:val="nil"/>
              <w:bottom w:val="nil"/>
              <w:right w:val="nil"/>
            </w:tcBorders>
            <w:shd w:val="clear" w:color="auto" w:fill="auto"/>
          </w:tcPr>
          <w:p w:rsidR="00617CB0" w:rsidRPr="00022D33" w:rsidRDefault="00617CB0" w:rsidP="000D7011">
            <w:pPr>
              <w:pStyle w:val="Tabletext"/>
              <w:jc w:val="right"/>
            </w:pPr>
            <w:r w:rsidRPr="00022D33">
              <w:t>1,013,206</w:t>
            </w:r>
          </w:p>
        </w:tc>
        <w:tc>
          <w:tcPr>
            <w:tcW w:w="1276" w:type="dxa"/>
            <w:tcBorders>
              <w:top w:val="nil"/>
              <w:left w:val="nil"/>
              <w:bottom w:val="nil"/>
              <w:right w:val="nil"/>
            </w:tcBorders>
            <w:shd w:val="clear" w:color="auto" w:fill="auto"/>
          </w:tcPr>
          <w:p w:rsidR="00617CB0" w:rsidRPr="00022D33" w:rsidRDefault="00617CB0" w:rsidP="000D7011">
            <w:pPr>
              <w:pStyle w:val="Tabletext"/>
              <w:jc w:val="right"/>
            </w:pPr>
            <w:r w:rsidRPr="00022D33">
              <w:t>1,194,643</w:t>
            </w:r>
          </w:p>
        </w:tc>
        <w:tc>
          <w:tcPr>
            <w:tcW w:w="1162" w:type="dxa"/>
            <w:tcBorders>
              <w:top w:val="nil"/>
              <w:left w:val="nil"/>
              <w:bottom w:val="nil"/>
              <w:right w:val="nil"/>
            </w:tcBorders>
            <w:shd w:val="clear" w:color="auto" w:fill="auto"/>
          </w:tcPr>
          <w:p w:rsidR="00617CB0" w:rsidRPr="00022D33" w:rsidRDefault="00617CB0" w:rsidP="000D7011">
            <w:pPr>
              <w:pStyle w:val="Tabletext"/>
              <w:jc w:val="right"/>
            </w:pPr>
            <w:r w:rsidRPr="00022D33">
              <w:t>(181,437)</w:t>
            </w:r>
          </w:p>
        </w:tc>
      </w:tr>
      <w:tr w:rsidR="00617CB0" w:rsidRPr="00022D33" w:rsidTr="000D7011">
        <w:tc>
          <w:tcPr>
            <w:tcW w:w="3038" w:type="dxa"/>
            <w:tcBorders>
              <w:top w:val="nil"/>
              <w:left w:val="nil"/>
              <w:bottom w:val="nil"/>
              <w:right w:val="nil"/>
            </w:tcBorders>
            <w:shd w:val="clear" w:color="auto" w:fill="auto"/>
          </w:tcPr>
          <w:p w:rsidR="00617CB0" w:rsidRPr="00022D33" w:rsidRDefault="00617CB0" w:rsidP="000D7011">
            <w:pPr>
              <w:pStyle w:val="Tabletext"/>
            </w:pPr>
            <w:r w:rsidRPr="00022D33">
              <w:t>Development and implementation of energy policy and economic reform; assessment of proposed policy changes and the impact on regulatory functions</w:t>
            </w:r>
          </w:p>
        </w:tc>
        <w:tc>
          <w:tcPr>
            <w:tcW w:w="1129"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38,347</w:t>
            </w:r>
          </w:p>
        </w:tc>
        <w:tc>
          <w:tcPr>
            <w:tcW w:w="1217"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24,396</w:t>
            </w:r>
          </w:p>
        </w:tc>
        <w:tc>
          <w:tcPr>
            <w:tcW w:w="1162"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(13,951)</w:t>
            </w:r>
          </w:p>
        </w:tc>
        <w:tc>
          <w:tcPr>
            <w:tcW w:w="1217"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24,396</w:t>
            </w:r>
          </w:p>
        </w:tc>
        <w:tc>
          <w:tcPr>
            <w:tcW w:w="1276"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21,159</w:t>
            </w:r>
          </w:p>
        </w:tc>
        <w:tc>
          <w:tcPr>
            <w:tcW w:w="1162"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3,237</w:t>
            </w:r>
          </w:p>
        </w:tc>
      </w:tr>
      <w:tr w:rsidR="00617CB0" w:rsidRPr="00022D33" w:rsidTr="000D7011">
        <w:tc>
          <w:tcPr>
            <w:tcW w:w="3038" w:type="dxa"/>
            <w:tcBorders>
              <w:top w:val="nil"/>
              <w:left w:val="nil"/>
              <w:bottom w:val="nil"/>
              <w:right w:val="nil"/>
            </w:tcBorders>
            <w:shd w:val="clear" w:color="auto" w:fill="auto"/>
          </w:tcPr>
          <w:p w:rsidR="00617CB0" w:rsidRPr="00022D33" w:rsidRDefault="00617CB0" w:rsidP="000D7011">
            <w:pPr>
              <w:pStyle w:val="Tableboldedtext"/>
              <w:rPr>
                <w:b w:val="0"/>
              </w:rPr>
            </w:pPr>
            <w:r w:rsidRPr="00022D33">
              <w:rPr>
                <w:b w:val="0"/>
              </w:rPr>
              <w:t xml:space="preserve">Total details of expenses by service </w:t>
            </w:r>
          </w:p>
        </w:tc>
        <w:tc>
          <w:tcPr>
            <w:tcW w:w="1129" w:type="dxa"/>
            <w:tcBorders>
              <w:top w:val="single" w:sz="4" w:space="0" w:color="auto"/>
              <w:left w:val="nil"/>
              <w:bottom w:val="nil"/>
              <w:right w:val="nil"/>
            </w:tcBorders>
            <w:shd w:val="clear" w:color="auto" w:fill="auto"/>
          </w:tcPr>
          <w:p w:rsidR="00617CB0" w:rsidRPr="00022D33" w:rsidRDefault="00617CB0" w:rsidP="000D7011">
            <w:pPr>
              <w:pStyle w:val="Tabletext"/>
              <w:jc w:val="right"/>
              <w:rPr>
                <w:b/>
              </w:rPr>
            </w:pPr>
            <w:r w:rsidRPr="00022D33">
              <w:rPr>
                <w:b/>
              </w:rPr>
              <w:t>1,212,719</w:t>
            </w:r>
          </w:p>
        </w:tc>
        <w:tc>
          <w:tcPr>
            <w:tcW w:w="1217" w:type="dxa"/>
            <w:tcBorders>
              <w:top w:val="single" w:sz="4" w:space="0" w:color="auto"/>
              <w:left w:val="nil"/>
              <w:bottom w:val="nil"/>
              <w:right w:val="nil"/>
            </w:tcBorders>
            <w:shd w:val="clear" w:color="auto" w:fill="auto"/>
          </w:tcPr>
          <w:p w:rsidR="00617CB0" w:rsidRPr="00022D33" w:rsidRDefault="00617CB0" w:rsidP="000D7011">
            <w:pPr>
              <w:pStyle w:val="Tabletext"/>
              <w:jc w:val="right"/>
              <w:rPr>
                <w:b/>
              </w:rPr>
            </w:pPr>
            <w:r w:rsidRPr="00022D33">
              <w:rPr>
                <w:b/>
              </w:rPr>
              <w:t>1,196,998</w:t>
            </w:r>
          </w:p>
        </w:tc>
        <w:tc>
          <w:tcPr>
            <w:tcW w:w="1162" w:type="dxa"/>
            <w:tcBorders>
              <w:top w:val="single" w:sz="4" w:space="0" w:color="auto"/>
              <w:left w:val="nil"/>
              <w:bottom w:val="nil"/>
              <w:right w:val="nil"/>
            </w:tcBorders>
            <w:shd w:val="clear" w:color="auto" w:fill="auto"/>
          </w:tcPr>
          <w:p w:rsidR="00617CB0" w:rsidRPr="00022D33" w:rsidRDefault="00617CB0" w:rsidP="000D7011">
            <w:pPr>
              <w:pStyle w:val="Tabletext"/>
              <w:jc w:val="right"/>
              <w:rPr>
                <w:b/>
              </w:rPr>
            </w:pPr>
            <w:r w:rsidRPr="00022D33">
              <w:rPr>
                <w:b/>
              </w:rPr>
              <w:t>(15,721)</w:t>
            </w:r>
          </w:p>
        </w:tc>
        <w:tc>
          <w:tcPr>
            <w:tcW w:w="1217" w:type="dxa"/>
            <w:tcBorders>
              <w:top w:val="single" w:sz="4" w:space="0" w:color="auto"/>
              <w:left w:val="nil"/>
              <w:bottom w:val="nil"/>
              <w:right w:val="nil"/>
            </w:tcBorders>
            <w:shd w:val="clear" w:color="auto" w:fill="auto"/>
          </w:tcPr>
          <w:p w:rsidR="00617CB0" w:rsidRPr="00022D33" w:rsidRDefault="00617CB0" w:rsidP="000D7011">
            <w:pPr>
              <w:pStyle w:val="Tabletext"/>
              <w:jc w:val="right"/>
              <w:rPr>
                <w:b/>
              </w:rPr>
            </w:pPr>
            <w:r w:rsidRPr="00022D33">
              <w:rPr>
                <w:b/>
              </w:rPr>
              <w:t>1,196,998</w:t>
            </w:r>
          </w:p>
        </w:tc>
        <w:tc>
          <w:tcPr>
            <w:tcW w:w="1276" w:type="dxa"/>
            <w:tcBorders>
              <w:top w:val="single" w:sz="4" w:space="0" w:color="auto"/>
              <w:left w:val="nil"/>
              <w:bottom w:val="nil"/>
              <w:right w:val="nil"/>
            </w:tcBorders>
            <w:shd w:val="clear" w:color="auto" w:fill="auto"/>
          </w:tcPr>
          <w:p w:rsidR="00617CB0" w:rsidRPr="00022D33" w:rsidRDefault="00617CB0" w:rsidP="000D7011">
            <w:pPr>
              <w:pStyle w:val="Tabletext"/>
              <w:jc w:val="right"/>
              <w:rPr>
                <w:b/>
              </w:rPr>
            </w:pPr>
            <w:r w:rsidRPr="00022D33">
              <w:rPr>
                <w:b/>
              </w:rPr>
              <w:t>1,386,636</w:t>
            </w:r>
          </w:p>
        </w:tc>
        <w:tc>
          <w:tcPr>
            <w:tcW w:w="1162" w:type="dxa"/>
            <w:tcBorders>
              <w:top w:val="single" w:sz="4" w:space="0" w:color="auto"/>
              <w:left w:val="nil"/>
              <w:bottom w:val="nil"/>
              <w:right w:val="nil"/>
            </w:tcBorders>
            <w:shd w:val="clear" w:color="auto" w:fill="auto"/>
          </w:tcPr>
          <w:p w:rsidR="00617CB0" w:rsidRPr="00022D33" w:rsidRDefault="00617CB0" w:rsidP="000D7011">
            <w:pPr>
              <w:pStyle w:val="Tabletext"/>
              <w:jc w:val="right"/>
              <w:rPr>
                <w:b/>
              </w:rPr>
            </w:pPr>
            <w:r w:rsidRPr="00022D33">
              <w:rPr>
                <w:b/>
              </w:rPr>
              <w:t>(189,638)</w:t>
            </w:r>
          </w:p>
        </w:tc>
      </w:tr>
      <w:tr w:rsidR="00617CB0" w:rsidRPr="00022D33" w:rsidTr="000D7011">
        <w:tc>
          <w:tcPr>
            <w:tcW w:w="3038" w:type="dxa"/>
            <w:tcBorders>
              <w:top w:val="nil"/>
              <w:left w:val="nil"/>
              <w:bottom w:val="nil"/>
              <w:right w:val="nil"/>
            </w:tcBorders>
            <w:shd w:val="clear" w:color="auto" w:fill="auto"/>
          </w:tcPr>
          <w:p w:rsidR="00617CB0" w:rsidRPr="00022D33" w:rsidRDefault="00617CB0" w:rsidP="000D7011">
            <w:pPr>
              <w:pStyle w:val="Tableboldedtext"/>
              <w:rPr>
                <w:b w:val="0"/>
              </w:rPr>
            </w:pPr>
            <w:r w:rsidRPr="00022D33">
              <w:rPr>
                <w:b w:val="0"/>
              </w:rPr>
              <w:t>Less total income</w:t>
            </w:r>
          </w:p>
        </w:tc>
        <w:tc>
          <w:tcPr>
            <w:tcW w:w="1129" w:type="dxa"/>
            <w:tcBorders>
              <w:top w:val="nil"/>
              <w:left w:val="nil"/>
              <w:bottom w:val="single" w:sz="4" w:space="0" w:color="auto"/>
              <w:right w:val="nil"/>
            </w:tcBorders>
            <w:shd w:val="clear" w:color="auto" w:fill="auto"/>
          </w:tcPr>
          <w:p w:rsidR="00617CB0" w:rsidRPr="00022D33" w:rsidRDefault="00617CB0" w:rsidP="000D7011">
            <w:pPr>
              <w:pStyle w:val="Tabletext"/>
              <w:jc w:val="right"/>
              <w:rPr>
                <w:b/>
              </w:rPr>
            </w:pPr>
            <w:r w:rsidRPr="00022D33">
              <w:rPr>
                <w:b/>
              </w:rPr>
              <w:t>(992,299)</w:t>
            </w:r>
          </w:p>
        </w:tc>
        <w:tc>
          <w:tcPr>
            <w:tcW w:w="1217" w:type="dxa"/>
            <w:tcBorders>
              <w:top w:val="nil"/>
              <w:left w:val="nil"/>
              <w:bottom w:val="single" w:sz="4" w:space="0" w:color="auto"/>
              <w:right w:val="nil"/>
            </w:tcBorders>
            <w:shd w:val="clear" w:color="auto" w:fill="auto"/>
          </w:tcPr>
          <w:p w:rsidR="00617CB0" w:rsidRPr="00022D33" w:rsidRDefault="00617CB0" w:rsidP="000D7011">
            <w:pPr>
              <w:pStyle w:val="Tabletext"/>
              <w:jc w:val="right"/>
              <w:rPr>
                <w:b/>
              </w:rPr>
            </w:pPr>
            <w:r w:rsidRPr="00022D33">
              <w:rPr>
                <w:b/>
              </w:rPr>
              <w:t>(972,930)</w:t>
            </w:r>
          </w:p>
        </w:tc>
        <w:tc>
          <w:tcPr>
            <w:tcW w:w="1162" w:type="dxa"/>
            <w:tcBorders>
              <w:top w:val="nil"/>
              <w:left w:val="nil"/>
              <w:bottom w:val="single" w:sz="4" w:space="0" w:color="auto"/>
              <w:right w:val="nil"/>
            </w:tcBorders>
            <w:shd w:val="clear" w:color="auto" w:fill="auto"/>
          </w:tcPr>
          <w:p w:rsidR="00617CB0" w:rsidRPr="00022D33" w:rsidRDefault="00617CB0" w:rsidP="000D7011">
            <w:pPr>
              <w:pStyle w:val="Tabletext"/>
              <w:jc w:val="right"/>
              <w:rPr>
                <w:b/>
              </w:rPr>
            </w:pPr>
            <w:r w:rsidRPr="00022D33">
              <w:rPr>
                <w:b/>
              </w:rPr>
              <w:t>19,369</w:t>
            </w:r>
          </w:p>
        </w:tc>
        <w:tc>
          <w:tcPr>
            <w:tcW w:w="1217" w:type="dxa"/>
            <w:tcBorders>
              <w:top w:val="nil"/>
              <w:left w:val="nil"/>
              <w:bottom w:val="single" w:sz="4" w:space="0" w:color="auto"/>
              <w:right w:val="nil"/>
            </w:tcBorders>
            <w:shd w:val="clear" w:color="auto" w:fill="auto"/>
          </w:tcPr>
          <w:p w:rsidR="00617CB0" w:rsidRPr="00022D33" w:rsidRDefault="00617CB0" w:rsidP="000D7011">
            <w:pPr>
              <w:pStyle w:val="Tabletext"/>
              <w:jc w:val="right"/>
              <w:rPr>
                <w:b/>
              </w:rPr>
            </w:pPr>
            <w:r w:rsidRPr="00022D33">
              <w:rPr>
                <w:b/>
              </w:rPr>
              <w:t>(972,930)</w:t>
            </w:r>
          </w:p>
        </w:tc>
        <w:tc>
          <w:tcPr>
            <w:tcW w:w="1276" w:type="dxa"/>
            <w:tcBorders>
              <w:top w:val="nil"/>
              <w:left w:val="nil"/>
              <w:bottom w:val="single" w:sz="4" w:space="0" w:color="auto"/>
              <w:right w:val="nil"/>
            </w:tcBorders>
            <w:shd w:val="clear" w:color="auto" w:fill="auto"/>
          </w:tcPr>
          <w:p w:rsidR="00617CB0" w:rsidRPr="00022D33" w:rsidRDefault="00617CB0" w:rsidP="000D7011">
            <w:pPr>
              <w:pStyle w:val="Tabletext"/>
              <w:jc w:val="right"/>
              <w:rPr>
                <w:b/>
              </w:rPr>
            </w:pPr>
            <w:r w:rsidRPr="00022D33">
              <w:rPr>
                <w:b/>
              </w:rPr>
              <w:t>(1,160,456)</w:t>
            </w:r>
          </w:p>
        </w:tc>
        <w:tc>
          <w:tcPr>
            <w:tcW w:w="1162" w:type="dxa"/>
            <w:tcBorders>
              <w:top w:val="nil"/>
              <w:left w:val="nil"/>
              <w:bottom w:val="single" w:sz="4" w:space="0" w:color="auto"/>
              <w:right w:val="nil"/>
            </w:tcBorders>
            <w:shd w:val="clear" w:color="auto" w:fill="auto"/>
          </w:tcPr>
          <w:p w:rsidR="00617CB0" w:rsidRPr="00022D33" w:rsidRDefault="00617CB0" w:rsidP="000D7011">
            <w:pPr>
              <w:pStyle w:val="Tabletext"/>
              <w:jc w:val="right"/>
              <w:rPr>
                <w:b/>
              </w:rPr>
            </w:pPr>
            <w:r w:rsidRPr="00022D33">
              <w:rPr>
                <w:b/>
              </w:rPr>
              <w:t>187,526</w:t>
            </w:r>
          </w:p>
        </w:tc>
      </w:tr>
      <w:tr w:rsidR="00617CB0" w:rsidRPr="00022D33" w:rsidTr="000D7011">
        <w:tc>
          <w:tcPr>
            <w:tcW w:w="3038" w:type="dxa"/>
            <w:tcBorders>
              <w:top w:val="nil"/>
              <w:left w:val="nil"/>
              <w:bottom w:val="nil"/>
              <w:right w:val="nil"/>
            </w:tcBorders>
            <w:shd w:val="clear" w:color="auto" w:fill="auto"/>
          </w:tcPr>
          <w:p w:rsidR="00617CB0" w:rsidRPr="00022D33" w:rsidRDefault="00617CB0" w:rsidP="000D7011">
            <w:pPr>
              <w:pStyle w:val="Tabletext"/>
            </w:pPr>
            <w:r w:rsidRPr="00022D33">
              <w:t xml:space="preserve">Net cost of services </w:t>
            </w:r>
          </w:p>
        </w:tc>
        <w:tc>
          <w:tcPr>
            <w:tcW w:w="1129" w:type="dxa"/>
            <w:tcBorders>
              <w:top w:val="nil"/>
              <w:left w:val="nil"/>
              <w:bottom w:val="nil"/>
              <w:right w:val="nil"/>
            </w:tcBorders>
            <w:shd w:val="clear" w:color="auto" w:fill="auto"/>
          </w:tcPr>
          <w:p w:rsidR="00617CB0" w:rsidRPr="00022D33" w:rsidRDefault="00617CB0" w:rsidP="000D7011">
            <w:pPr>
              <w:pStyle w:val="Tabletext"/>
              <w:jc w:val="right"/>
            </w:pPr>
            <w:r w:rsidRPr="00022D33">
              <w:t>220,420</w:t>
            </w:r>
          </w:p>
        </w:tc>
        <w:tc>
          <w:tcPr>
            <w:tcW w:w="1217" w:type="dxa"/>
            <w:tcBorders>
              <w:top w:val="nil"/>
              <w:left w:val="nil"/>
              <w:bottom w:val="nil"/>
              <w:right w:val="nil"/>
            </w:tcBorders>
            <w:shd w:val="clear" w:color="auto" w:fill="auto"/>
          </w:tcPr>
          <w:p w:rsidR="00617CB0" w:rsidRPr="00022D33" w:rsidRDefault="00617CB0" w:rsidP="000D7011">
            <w:pPr>
              <w:pStyle w:val="Tabletext"/>
              <w:jc w:val="right"/>
            </w:pPr>
            <w:r w:rsidRPr="00022D33">
              <w:t>224,068</w:t>
            </w:r>
          </w:p>
        </w:tc>
        <w:tc>
          <w:tcPr>
            <w:tcW w:w="1162" w:type="dxa"/>
            <w:tcBorders>
              <w:top w:val="nil"/>
              <w:left w:val="nil"/>
              <w:bottom w:val="nil"/>
              <w:right w:val="nil"/>
            </w:tcBorders>
            <w:shd w:val="clear" w:color="auto" w:fill="auto"/>
          </w:tcPr>
          <w:p w:rsidR="00617CB0" w:rsidRPr="00022D33" w:rsidRDefault="00617CB0" w:rsidP="000D7011">
            <w:pPr>
              <w:pStyle w:val="Tabletext"/>
              <w:jc w:val="right"/>
            </w:pPr>
            <w:r w:rsidRPr="00022D33">
              <w:t>3,648</w:t>
            </w:r>
          </w:p>
        </w:tc>
        <w:tc>
          <w:tcPr>
            <w:tcW w:w="1217" w:type="dxa"/>
            <w:tcBorders>
              <w:top w:val="nil"/>
              <w:left w:val="nil"/>
              <w:bottom w:val="nil"/>
              <w:right w:val="nil"/>
            </w:tcBorders>
            <w:shd w:val="clear" w:color="auto" w:fill="auto"/>
          </w:tcPr>
          <w:p w:rsidR="00617CB0" w:rsidRPr="00022D33" w:rsidRDefault="00617CB0" w:rsidP="000D7011">
            <w:pPr>
              <w:pStyle w:val="Tabletext"/>
              <w:jc w:val="right"/>
            </w:pPr>
            <w:r w:rsidRPr="00022D33">
              <w:t>224,068</w:t>
            </w:r>
          </w:p>
        </w:tc>
        <w:tc>
          <w:tcPr>
            <w:tcW w:w="1276" w:type="dxa"/>
            <w:tcBorders>
              <w:top w:val="nil"/>
              <w:left w:val="nil"/>
              <w:bottom w:val="nil"/>
              <w:right w:val="nil"/>
            </w:tcBorders>
            <w:shd w:val="clear" w:color="auto" w:fill="auto"/>
          </w:tcPr>
          <w:p w:rsidR="00617CB0" w:rsidRPr="00022D33" w:rsidRDefault="00617CB0" w:rsidP="000D7011">
            <w:pPr>
              <w:pStyle w:val="Tabletext"/>
              <w:jc w:val="right"/>
            </w:pPr>
            <w:r w:rsidRPr="00022D33">
              <w:t>226,180</w:t>
            </w:r>
          </w:p>
        </w:tc>
        <w:tc>
          <w:tcPr>
            <w:tcW w:w="1162" w:type="dxa"/>
            <w:tcBorders>
              <w:top w:val="nil"/>
              <w:left w:val="nil"/>
              <w:bottom w:val="nil"/>
              <w:right w:val="nil"/>
            </w:tcBorders>
            <w:shd w:val="clear" w:color="auto" w:fill="auto"/>
          </w:tcPr>
          <w:p w:rsidR="00617CB0" w:rsidRPr="00022D33" w:rsidRDefault="00617CB0" w:rsidP="000D7011">
            <w:pPr>
              <w:pStyle w:val="Tabletext"/>
              <w:jc w:val="right"/>
            </w:pPr>
            <w:r w:rsidRPr="00022D33">
              <w:t>(2,112)</w:t>
            </w:r>
          </w:p>
        </w:tc>
      </w:tr>
      <w:tr w:rsidR="00617CB0" w:rsidRPr="00022D33" w:rsidTr="000D7011">
        <w:tc>
          <w:tcPr>
            <w:tcW w:w="3038" w:type="dxa"/>
            <w:tcBorders>
              <w:top w:val="nil"/>
              <w:left w:val="nil"/>
              <w:bottom w:val="nil"/>
              <w:right w:val="nil"/>
            </w:tcBorders>
            <w:shd w:val="clear" w:color="auto" w:fill="auto"/>
          </w:tcPr>
          <w:p w:rsidR="00617CB0" w:rsidRPr="00022D33" w:rsidRDefault="00617CB0" w:rsidP="000D7011">
            <w:pPr>
              <w:pStyle w:val="Tabletext"/>
            </w:pPr>
            <w:r w:rsidRPr="00022D33">
              <w:t>Adjustments</w:t>
            </w:r>
          </w:p>
        </w:tc>
        <w:tc>
          <w:tcPr>
            <w:tcW w:w="1129"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(8,801)</w:t>
            </w:r>
          </w:p>
        </w:tc>
        <w:tc>
          <w:tcPr>
            <w:tcW w:w="1217"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(35,136)</w:t>
            </w:r>
          </w:p>
        </w:tc>
        <w:tc>
          <w:tcPr>
            <w:tcW w:w="1162"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(26,335)</w:t>
            </w:r>
          </w:p>
        </w:tc>
        <w:tc>
          <w:tcPr>
            <w:tcW w:w="1217"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(35,136)</w:t>
            </w:r>
          </w:p>
        </w:tc>
        <w:tc>
          <w:tcPr>
            <w:tcW w:w="1276"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(48,154)</w:t>
            </w:r>
          </w:p>
        </w:tc>
        <w:tc>
          <w:tcPr>
            <w:tcW w:w="1162"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13,018</w:t>
            </w:r>
          </w:p>
        </w:tc>
      </w:tr>
      <w:tr w:rsidR="00617CB0" w:rsidRPr="00022D33" w:rsidTr="000D7011">
        <w:tc>
          <w:tcPr>
            <w:tcW w:w="3038" w:type="dxa"/>
            <w:tcBorders>
              <w:top w:val="nil"/>
              <w:left w:val="nil"/>
              <w:bottom w:val="nil"/>
              <w:right w:val="nil"/>
            </w:tcBorders>
            <w:shd w:val="clear" w:color="auto" w:fill="auto"/>
          </w:tcPr>
          <w:p w:rsidR="00617CB0" w:rsidRPr="00022D33" w:rsidRDefault="00617CB0" w:rsidP="000D7011">
            <w:pPr>
              <w:pStyle w:val="Tableboldedtext"/>
            </w:pPr>
            <w:r w:rsidRPr="00022D33">
              <w:t>Total appropriations provided to deliver services</w:t>
            </w:r>
          </w:p>
        </w:tc>
        <w:tc>
          <w:tcPr>
            <w:tcW w:w="1129"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rPr>
                <w:b/>
              </w:rPr>
            </w:pPr>
            <w:r w:rsidRPr="00022D33">
              <w:rPr>
                <w:b/>
              </w:rPr>
              <w:t>211,619</w:t>
            </w:r>
          </w:p>
        </w:tc>
        <w:tc>
          <w:tcPr>
            <w:tcW w:w="1217"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rPr>
                <w:b/>
              </w:rPr>
            </w:pPr>
            <w:r w:rsidRPr="00022D33">
              <w:rPr>
                <w:b/>
              </w:rPr>
              <w:t>188,932</w:t>
            </w:r>
          </w:p>
        </w:tc>
        <w:tc>
          <w:tcPr>
            <w:tcW w:w="1162"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rPr>
                <w:b/>
              </w:rPr>
            </w:pPr>
            <w:r w:rsidRPr="00022D33">
              <w:rPr>
                <w:b/>
              </w:rPr>
              <w:t>(22,687)</w:t>
            </w:r>
          </w:p>
        </w:tc>
        <w:tc>
          <w:tcPr>
            <w:tcW w:w="1217"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rPr>
                <w:b/>
              </w:rPr>
            </w:pPr>
            <w:r w:rsidRPr="00022D33">
              <w:rPr>
                <w:b/>
              </w:rPr>
              <w:t>188,932</w:t>
            </w:r>
          </w:p>
        </w:tc>
        <w:tc>
          <w:tcPr>
            <w:tcW w:w="1276"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rPr>
                <w:b/>
              </w:rPr>
            </w:pPr>
            <w:r w:rsidRPr="00022D33">
              <w:rPr>
                <w:b/>
              </w:rPr>
              <w:t>178,026</w:t>
            </w:r>
          </w:p>
        </w:tc>
        <w:tc>
          <w:tcPr>
            <w:tcW w:w="1162"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rPr>
                <w:b/>
              </w:rPr>
            </w:pPr>
            <w:r w:rsidRPr="00022D33">
              <w:rPr>
                <w:b/>
              </w:rPr>
              <w:t>10,906</w:t>
            </w:r>
          </w:p>
        </w:tc>
      </w:tr>
      <w:tr w:rsidR="00617CB0" w:rsidRPr="00022D33" w:rsidTr="000D7011">
        <w:tc>
          <w:tcPr>
            <w:tcW w:w="10201" w:type="dxa"/>
            <w:gridSpan w:val="7"/>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Details of capital expenditure</w:t>
            </w:r>
          </w:p>
        </w:tc>
      </w:tr>
      <w:tr w:rsidR="00617CB0" w:rsidRPr="00022D33" w:rsidTr="000D7011">
        <w:tc>
          <w:tcPr>
            <w:tcW w:w="3038" w:type="dxa"/>
            <w:tcBorders>
              <w:top w:val="nil"/>
              <w:left w:val="nil"/>
              <w:bottom w:val="nil"/>
              <w:right w:val="nil"/>
            </w:tcBorders>
            <w:shd w:val="clear" w:color="auto" w:fill="auto"/>
          </w:tcPr>
          <w:p w:rsidR="00617CB0" w:rsidRPr="00022D33" w:rsidRDefault="00617CB0" w:rsidP="000D7011">
            <w:pPr>
              <w:pStyle w:val="Tabletext"/>
            </w:pPr>
            <w:r w:rsidRPr="00022D33">
              <w:t xml:space="preserve">Purchase of non-current physical assets </w:t>
            </w:r>
          </w:p>
        </w:tc>
        <w:tc>
          <w:tcPr>
            <w:tcW w:w="1129" w:type="dxa"/>
            <w:tcBorders>
              <w:top w:val="nil"/>
              <w:left w:val="nil"/>
              <w:bottom w:val="nil"/>
              <w:right w:val="nil"/>
            </w:tcBorders>
            <w:shd w:val="clear" w:color="auto" w:fill="auto"/>
          </w:tcPr>
          <w:p w:rsidR="00617CB0" w:rsidRPr="00022D33" w:rsidRDefault="00617CB0" w:rsidP="000D7011">
            <w:pPr>
              <w:pStyle w:val="Tabletext"/>
              <w:jc w:val="right"/>
            </w:pPr>
            <w:r w:rsidRPr="00022D33">
              <w:t>208,202</w:t>
            </w:r>
          </w:p>
        </w:tc>
        <w:tc>
          <w:tcPr>
            <w:tcW w:w="1217" w:type="dxa"/>
            <w:tcBorders>
              <w:top w:val="nil"/>
              <w:left w:val="nil"/>
              <w:bottom w:val="nil"/>
              <w:right w:val="nil"/>
            </w:tcBorders>
            <w:shd w:val="clear" w:color="auto" w:fill="auto"/>
          </w:tcPr>
          <w:p w:rsidR="00617CB0" w:rsidRPr="00022D33" w:rsidRDefault="00617CB0" w:rsidP="000D7011">
            <w:pPr>
              <w:pStyle w:val="Tabletext"/>
              <w:jc w:val="right"/>
            </w:pPr>
            <w:r w:rsidRPr="00022D33">
              <w:t>185,967</w:t>
            </w:r>
          </w:p>
        </w:tc>
        <w:tc>
          <w:tcPr>
            <w:tcW w:w="1162" w:type="dxa"/>
            <w:tcBorders>
              <w:top w:val="nil"/>
              <w:left w:val="nil"/>
              <w:bottom w:val="nil"/>
              <w:right w:val="nil"/>
            </w:tcBorders>
            <w:shd w:val="clear" w:color="auto" w:fill="auto"/>
          </w:tcPr>
          <w:p w:rsidR="00617CB0" w:rsidRPr="00022D33" w:rsidRDefault="00617CB0" w:rsidP="000D7011">
            <w:pPr>
              <w:pStyle w:val="Tabletext"/>
              <w:jc w:val="right"/>
            </w:pPr>
            <w:r w:rsidRPr="00022D33">
              <w:t>(22,235)</w:t>
            </w:r>
          </w:p>
        </w:tc>
        <w:tc>
          <w:tcPr>
            <w:tcW w:w="1217" w:type="dxa"/>
            <w:tcBorders>
              <w:top w:val="nil"/>
              <w:left w:val="nil"/>
              <w:bottom w:val="nil"/>
              <w:right w:val="nil"/>
            </w:tcBorders>
            <w:shd w:val="clear" w:color="auto" w:fill="auto"/>
          </w:tcPr>
          <w:p w:rsidR="00617CB0" w:rsidRPr="00022D33" w:rsidRDefault="00617CB0" w:rsidP="000D7011">
            <w:pPr>
              <w:pStyle w:val="Tabletext"/>
              <w:jc w:val="right"/>
            </w:pPr>
            <w:r w:rsidRPr="00022D33">
              <w:t>185,967</w:t>
            </w:r>
          </w:p>
        </w:tc>
        <w:tc>
          <w:tcPr>
            <w:tcW w:w="1276" w:type="dxa"/>
            <w:tcBorders>
              <w:top w:val="nil"/>
              <w:left w:val="nil"/>
              <w:bottom w:val="nil"/>
              <w:right w:val="nil"/>
            </w:tcBorders>
            <w:shd w:val="clear" w:color="auto" w:fill="auto"/>
          </w:tcPr>
          <w:p w:rsidR="00617CB0" w:rsidRPr="00022D33" w:rsidRDefault="00617CB0" w:rsidP="000D7011">
            <w:pPr>
              <w:pStyle w:val="Tabletext"/>
              <w:jc w:val="right"/>
            </w:pPr>
            <w:r w:rsidRPr="00022D33">
              <w:t>103,042</w:t>
            </w:r>
          </w:p>
        </w:tc>
        <w:tc>
          <w:tcPr>
            <w:tcW w:w="1162" w:type="dxa"/>
            <w:tcBorders>
              <w:top w:val="nil"/>
              <w:left w:val="nil"/>
              <w:bottom w:val="nil"/>
              <w:right w:val="nil"/>
            </w:tcBorders>
            <w:shd w:val="clear" w:color="auto" w:fill="auto"/>
          </w:tcPr>
          <w:p w:rsidR="00617CB0" w:rsidRPr="00022D33" w:rsidRDefault="00617CB0" w:rsidP="000D7011">
            <w:pPr>
              <w:pStyle w:val="Tabletext"/>
              <w:jc w:val="right"/>
            </w:pPr>
            <w:r w:rsidRPr="00022D33">
              <w:t>82,925</w:t>
            </w:r>
          </w:p>
        </w:tc>
      </w:tr>
      <w:tr w:rsidR="00617CB0" w:rsidRPr="00022D33" w:rsidTr="000D7011">
        <w:tc>
          <w:tcPr>
            <w:tcW w:w="3038" w:type="dxa"/>
            <w:tcBorders>
              <w:top w:val="nil"/>
              <w:left w:val="nil"/>
              <w:bottom w:val="nil"/>
              <w:right w:val="nil"/>
            </w:tcBorders>
            <w:shd w:val="clear" w:color="auto" w:fill="auto"/>
          </w:tcPr>
          <w:p w:rsidR="00617CB0" w:rsidRPr="00022D33" w:rsidRDefault="00617CB0" w:rsidP="000D7011">
            <w:pPr>
              <w:pStyle w:val="Tabletext"/>
            </w:pPr>
            <w:r w:rsidRPr="00022D33">
              <w:t>Repayment of borrowings</w:t>
            </w:r>
          </w:p>
        </w:tc>
        <w:tc>
          <w:tcPr>
            <w:tcW w:w="1129" w:type="dxa"/>
            <w:tcBorders>
              <w:top w:val="nil"/>
              <w:left w:val="nil"/>
              <w:bottom w:val="nil"/>
              <w:right w:val="nil"/>
            </w:tcBorders>
            <w:shd w:val="clear" w:color="auto" w:fill="auto"/>
          </w:tcPr>
          <w:p w:rsidR="00617CB0" w:rsidRPr="00022D33" w:rsidRDefault="00617CB0" w:rsidP="000D7011">
            <w:pPr>
              <w:pStyle w:val="Tabletext"/>
              <w:jc w:val="right"/>
            </w:pPr>
            <w:r w:rsidRPr="00022D33">
              <w:t>23,511</w:t>
            </w:r>
          </w:p>
        </w:tc>
        <w:tc>
          <w:tcPr>
            <w:tcW w:w="1217" w:type="dxa"/>
            <w:tcBorders>
              <w:top w:val="nil"/>
              <w:left w:val="nil"/>
              <w:bottom w:val="nil"/>
              <w:right w:val="nil"/>
            </w:tcBorders>
            <w:shd w:val="clear" w:color="auto" w:fill="auto"/>
          </w:tcPr>
          <w:p w:rsidR="00617CB0" w:rsidRPr="00022D33" w:rsidRDefault="00617CB0" w:rsidP="000D7011">
            <w:pPr>
              <w:pStyle w:val="Tabletext"/>
              <w:jc w:val="right"/>
            </w:pPr>
            <w:r w:rsidRPr="00022D33">
              <w:t>20,487</w:t>
            </w:r>
          </w:p>
        </w:tc>
        <w:tc>
          <w:tcPr>
            <w:tcW w:w="1162" w:type="dxa"/>
            <w:tcBorders>
              <w:top w:val="nil"/>
              <w:left w:val="nil"/>
              <w:bottom w:val="nil"/>
              <w:right w:val="nil"/>
            </w:tcBorders>
            <w:shd w:val="clear" w:color="auto" w:fill="auto"/>
          </w:tcPr>
          <w:p w:rsidR="00617CB0" w:rsidRPr="00022D33" w:rsidRDefault="00617CB0" w:rsidP="000D7011">
            <w:pPr>
              <w:pStyle w:val="Tabletext"/>
              <w:jc w:val="right"/>
            </w:pPr>
            <w:r w:rsidRPr="00022D33">
              <w:t>(3,024)</w:t>
            </w:r>
          </w:p>
        </w:tc>
        <w:tc>
          <w:tcPr>
            <w:tcW w:w="1217" w:type="dxa"/>
            <w:tcBorders>
              <w:top w:val="nil"/>
              <w:left w:val="nil"/>
              <w:bottom w:val="nil"/>
              <w:right w:val="nil"/>
            </w:tcBorders>
            <w:shd w:val="clear" w:color="auto" w:fill="auto"/>
          </w:tcPr>
          <w:p w:rsidR="00617CB0" w:rsidRPr="00022D33" w:rsidRDefault="00617CB0" w:rsidP="000D7011">
            <w:pPr>
              <w:pStyle w:val="Tabletext"/>
              <w:jc w:val="right"/>
            </w:pPr>
            <w:r w:rsidRPr="00022D33">
              <w:t>20,487</w:t>
            </w:r>
          </w:p>
        </w:tc>
        <w:tc>
          <w:tcPr>
            <w:tcW w:w="1276" w:type="dxa"/>
            <w:tcBorders>
              <w:top w:val="nil"/>
              <w:left w:val="nil"/>
              <w:bottom w:val="nil"/>
              <w:right w:val="nil"/>
            </w:tcBorders>
            <w:shd w:val="clear" w:color="auto" w:fill="auto"/>
          </w:tcPr>
          <w:p w:rsidR="00617CB0" w:rsidRPr="00022D33" w:rsidRDefault="00617CB0" w:rsidP="000D7011">
            <w:pPr>
              <w:pStyle w:val="Tabletext"/>
              <w:jc w:val="right"/>
            </w:pPr>
            <w:r w:rsidRPr="00022D33">
              <w:t>28,857</w:t>
            </w:r>
          </w:p>
        </w:tc>
        <w:tc>
          <w:tcPr>
            <w:tcW w:w="1162" w:type="dxa"/>
            <w:tcBorders>
              <w:top w:val="nil"/>
              <w:left w:val="nil"/>
              <w:bottom w:val="nil"/>
              <w:right w:val="nil"/>
            </w:tcBorders>
            <w:shd w:val="clear" w:color="auto" w:fill="auto"/>
          </w:tcPr>
          <w:p w:rsidR="00617CB0" w:rsidRPr="00022D33" w:rsidRDefault="00617CB0" w:rsidP="000D7011">
            <w:pPr>
              <w:pStyle w:val="Tabletext"/>
              <w:jc w:val="right"/>
            </w:pPr>
            <w:r w:rsidRPr="00022D33">
              <w:t>(8,370)</w:t>
            </w:r>
          </w:p>
        </w:tc>
      </w:tr>
      <w:tr w:rsidR="00617CB0" w:rsidRPr="00022D33" w:rsidTr="000D7011">
        <w:tc>
          <w:tcPr>
            <w:tcW w:w="3038" w:type="dxa"/>
            <w:tcBorders>
              <w:top w:val="nil"/>
              <w:left w:val="nil"/>
              <w:bottom w:val="nil"/>
              <w:right w:val="nil"/>
            </w:tcBorders>
            <w:shd w:val="clear" w:color="auto" w:fill="auto"/>
          </w:tcPr>
          <w:p w:rsidR="00617CB0" w:rsidRPr="00022D33" w:rsidRDefault="00617CB0" w:rsidP="000D7011">
            <w:pPr>
              <w:pStyle w:val="Tabletext"/>
            </w:pPr>
            <w:r w:rsidRPr="00022D33">
              <w:t>Adjustments for other funding sources</w:t>
            </w:r>
          </w:p>
        </w:tc>
        <w:tc>
          <w:tcPr>
            <w:tcW w:w="1129"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(145,348)</w:t>
            </w:r>
          </w:p>
        </w:tc>
        <w:tc>
          <w:tcPr>
            <w:tcW w:w="1217"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(122,187)</w:t>
            </w:r>
          </w:p>
        </w:tc>
        <w:tc>
          <w:tcPr>
            <w:tcW w:w="1162"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23,161</w:t>
            </w:r>
          </w:p>
        </w:tc>
        <w:tc>
          <w:tcPr>
            <w:tcW w:w="1217"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(122,187)</w:t>
            </w:r>
          </w:p>
        </w:tc>
        <w:tc>
          <w:tcPr>
            <w:tcW w:w="1276"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(116,546)</w:t>
            </w:r>
          </w:p>
        </w:tc>
        <w:tc>
          <w:tcPr>
            <w:tcW w:w="1162"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(5,641)</w:t>
            </w:r>
          </w:p>
        </w:tc>
      </w:tr>
      <w:tr w:rsidR="00617CB0" w:rsidRPr="00022D33" w:rsidTr="000D7011">
        <w:tc>
          <w:tcPr>
            <w:tcW w:w="3038" w:type="dxa"/>
            <w:tcBorders>
              <w:top w:val="nil"/>
              <w:left w:val="nil"/>
              <w:bottom w:val="nil"/>
              <w:right w:val="nil"/>
            </w:tcBorders>
            <w:shd w:val="clear" w:color="auto" w:fill="auto"/>
          </w:tcPr>
          <w:p w:rsidR="00617CB0" w:rsidRPr="00022D33" w:rsidRDefault="00617CB0" w:rsidP="000D7011">
            <w:pPr>
              <w:pStyle w:val="Tableboldedtext"/>
            </w:pPr>
            <w:r w:rsidRPr="00022D33">
              <w:t>Capital appropriations</w:t>
            </w:r>
          </w:p>
        </w:tc>
        <w:tc>
          <w:tcPr>
            <w:tcW w:w="1129"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rPr>
                <w:b/>
              </w:rPr>
            </w:pPr>
            <w:r w:rsidRPr="00022D33">
              <w:rPr>
                <w:b/>
              </w:rPr>
              <w:t>86,365</w:t>
            </w:r>
          </w:p>
        </w:tc>
        <w:tc>
          <w:tcPr>
            <w:tcW w:w="1217"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rPr>
                <w:b/>
              </w:rPr>
            </w:pPr>
            <w:r w:rsidRPr="00022D33">
              <w:rPr>
                <w:b/>
              </w:rPr>
              <w:t>84,268</w:t>
            </w:r>
          </w:p>
        </w:tc>
        <w:tc>
          <w:tcPr>
            <w:tcW w:w="1162"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rPr>
                <w:b/>
              </w:rPr>
            </w:pPr>
            <w:r w:rsidRPr="00022D33">
              <w:rPr>
                <w:b/>
              </w:rPr>
              <w:t>(2,097)</w:t>
            </w:r>
          </w:p>
        </w:tc>
        <w:tc>
          <w:tcPr>
            <w:tcW w:w="1217"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rPr>
                <w:b/>
              </w:rPr>
            </w:pPr>
            <w:r w:rsidRPr="00022D33">
              <w:rPr>
                <w:b/>
              </w:rPr>
              <w:t>84,268</w:t>
            </w:r>
          </w:p>
        </w:tc>
        <w:tc>
          <w:tcPr>
            <w:tcW w:w="1276"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rPr>
                <w:b/>
              </w:rPr>
            </w:pPr>
            <w:r w:rsidRPr="00022D33">
              <w:rPr>
                <w:b/>
              </w:rPr>
              <w:t>15,353</w:t>
            </w:r>
          </w:p>
        </w:tc>
        <w:tc>
          <w:tcPr>
            <w:tcW w:w="1162"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rPr>
                <w:b/>
              </w:rPr>
            </w:pPr>
            <w:r w:rsidRPr="00022D33">
              <w:rPr>
                <w:b/>
              </w:rPr>
              <w:t>68,915</w:t>
            </w:r>
          </w:p>
        </w:tc>
      </w:tr>
      <w:tr w:rsidR="00617CB0" w:rsidRPr="00022D33" w:rsidTr="000D7011">
        <w:tc>
          <w:tcPr>
            <w:tcW w:w="10201" w:type="dxa"/>
            <w:gridSpan w:val="7"/>
            <w:tcBorders>
              <w:top w:val="nil"/>
              <w:left w:val="nil"/>
              <w:bottom w:val="nil"/>
              <w:right w:val="nil"/>
            </w:tcBorders>
            <w:shd w:val="clear" w:color="auto" w:fill="auto"/>
          </w:tcPr>
          <w:p w:rsidR="00617CB0" w:rsidRPr="00022D33" w:rsidRDefault="00617CB0" w:rsidP="000D7011">
            <w:pPr>
              <w:pStyle w:val="Tabletext"/>
              <w:rPr>
                <w:b/>
              </w:rPr>
            </w:pPr>
          </w:p>
        </w:tc>
      </w:tr>
      <w:tr w:rsidR="00617CB0" w:rsidRPr="00022D33" w:rsidTr="000D7011">
        <w:tc>
          <w:tcPr>
            <w:tcW w:w="10201" w:type="dxa"/>
            <w:gridSpan w:val="7"/>
            <w:tcBorders>
              <w:top w:val="nil"/>
              <w:left w:val="nil"/>
              <w:bottom w:val="nil"/>
              <w:right w:val="nil"/>
            </w:tcBorders>
            <w:shd w:val="clear" w:color="auto" w:fill="auto"/>
          </w:tcPr>
          <w:p w:rsidR="00617CB0" w:rsidRPr="00022D33" w:rsidRDefault="00617CB0" w:rsidP="000D7011">
            <w:pPr>
              <w:pStyle w:val="Tabletext"/>
              <w:rPr>
                <w:b/>
              </w:rPr>
            </w:pPr>
            <w:r w:rsidRPr="00022D33">
              <w:rPr>
                <w:b/>
              </w:rPr>
              <w:t>DETAILS OF ADMINISTERED INCOME ESTIMATES</w:t>
            </w:r>
          </w:p>
        </w:tc>
      </w:tr>
      <w:tr w:rsidR="00617CB0" w:rsidRPr="00022D33" w:rsidTr="000D7011">
        <w:tc>
          <w:tcPr>
            <w:tcW w:w="10201" w:type="dxa"/>
            <w:gridSpan w:val="7"/>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Taxation</w:t>
            </w:r>
          </w:p>
        </w:tc>
      </w:tr>
      <w:tr w:rsidR="00617CB0" w:rsidRPr="00022D33" w:rsidTr="000D7011">
        <w:tc>
          <w:tcPr>
            <w:tcW w:w="3038" w:type="dxa"/>
            <w:tcBorders>
              <w:top w:val="nil"/>
              <w:left w:val="nil"/>
              <w:bottom w:val="nil"/>
              <w:right w:val="nil"/>
            </w:tcBorders>
            <w:shd w:val="clear" w:color="auto" w:fill="auto"/>
          </w:tcPr>
          <w:p w:rsidR="00617CB0" w:rsidRPr="00022D33" w:rsidRDefault="00617CB0" w:rsidP="000D7011">
            <w:pPr>
              <w:pStyle w:val="Tabletext"/>
            </w:pPr>
            <w:r w:rsidRPr="00022D33">
              <w:t xml:space="preserve">Insurance Duty </w:t>
            </w:r>
          </w:p>
        </w:tc>
        <w:tc>
          <w:tcPr>
            <w:tcW w:w="1129" w:type="dxa"/>
            <w:tcBorders>
              <w:top w:val="nil"/>
              <w:left w:val="nil"/>
              <w:bottom w:val="nil"/>
              <w:right w:val="nil"/>
            </w:tcBorders>
            <w:shd w:val="clear" w:color="auto" w:fill="auto"/>
          </w:tcPr>
          <w:p w:rsidR="00617CB0" w:rsidRPr="00022D33" w:rsidRDefault="00617CB0" w:rsidP="000D7011">
            <w:pPr>
              <w:pStyle w:val="Tabletext"/>
              <w:jc w:val="right"/>
            </w:pPr>
            <w:r w:rsidRPr="00022D33">
              <w:t>660,319</w:t>
            </w:r>
          </w:p>
        </w:tc>
        <w:tc>
          <w:tcPr>
            <w:tcW w:w="1217" w:type="dxa"/>
            <w:tcBorders>
              <w:top w:val="nil"/>
              <w:left w:val="nil"/>
              <w:bottom w:val="nil"/>
              <w:right w:val="nil"/>
            </w:tcBorders>
            <w:shd w:val="clear" w:color="auto" w:fill="auto"/>
          </w:tcPr>
          <w:p w:rsidR="00617CB0" w:rsidRPr="00022D33" w:rsidRDefault="00617CB0" w:rsidP="000D7011">
            <w:pPr>
              <w:pStyle w:val="Tabletext"/>
              <w:jc w:val="right"/>
            </w:pPr>
            <w:r w:rsidRPr="00022D33">
              <w:t>591,502</w:t>
            </w:r>
          </w:p>
        </w:tc>
        <w:tc>
          <w:tcPr>
            <w:tcW w:w="1162" w:type="dxa"/>
            <w:tcBorders>
              <w:top w:val="nil"/>
              <w:left w:val="nil"/>
              <w:bottom w:val="nil"/>
              <w:right w:val="nil"/>
            </w:tcBorders>
            <w:shd w:val="clear" w:color="auto" w:fill="auto"/>
          </w:tcPr>
          <w:p w:rsidR="00617CB0" w:rsidRPr="00022D33" w:rsidRDefault="00617CB0" w:rsidP="000D7011">
            <w:pPr>
              <w:pStyle w:val="Tabletext"/>
              <w:jc w:val="right"/>
            </w:pPr>
            <w:r w:rsidRPr="00022D33">
              <w:t>(68,817)</w:t>
            </w:r>
          </w:p>
        </w:tc>
        <w:tc>
          <w:tcPr>
            <w:tcW w:w="1217" w:type="dxa"/>
            <w:tcBorders>
              <w:top w:val="nil"/>
              <w:left w:val="nil"/>
              <w:bottom w:val="nil"/>
              <w:right w:val="nil"/>
            </w:tcBorders>
            <w:shd w:val="clear" w:color="auto" w:fill="auto"/>
          </w:tcPr>
          <w:p w:rsidR="00617CB0" w:rsidRPr="00022D33" w:rsidRDefault="00617CB0" w:rsidP="000D7011">
            <w:pPr>
              <w:pStyle w:val="Tabletext"/>
              <w:jc w:val="right"/>
            </w:pPr>
            <w:r w:rsidRPr="00022D33">
              <w:t>591,502</w:t>
            </w:r>
          </w:p>
        </w:tc>
        <w:tc>
          <w:tcPr>
            <w:tcW w:w="1276" w:type="dxa"/>
            <w:tcBorders>
              <w:top w:val="nil"/>
              <w:left w:val="nil"/>
              <w:bottom w:val="nil"/>
              <w:right w:val="nil"/>
            </w:tcBorders>
            <w:shd w:val="clear" w:color="auto" w:fill="auto"/>
          </w:tcPr>
          <w:p w:rsidR="00617CB0" w:rsidRPr="00022D33" w:rsidRDefault="00617CB0" w:rsidP="000D7011">
            <w:pPr>
              <w:pStyle w:val="Tabletext"/>
              <w:jc w:val="right"/>
            </w:pPr>
            <w:r w:rsidRPr="00022D33">
              <w:t>603,788</w:t>
            </w:r>
          </w:p>
        </w:tc>
        <w:tc>
          <w:tcPr>
            <w:tcW w:w="1162" w:type="dxa"/>
            <w:tcBorders>
              <w:top w:val="nil"/>
              <w:left w:val="nil"/>
              <w:bottom w:val="nil"/>
              <w:right w:val="nil"/>
            </w:tcBorders>
            <w:shd w:val="clear" w:color="auto" w:fill="auto"/>
          </w:tcPr>
          <w:p w:rsidR="00617CB0" w:rsidRPr="00022D33" w:rsidRDefault="00617CB0" w:rsidP="000D7011">
            <w:pPr>
              <w:pStyle w:val="Tabletext"/>
              <w:jc w:val="right"/>
            </w:pPr>
            <w:r w:rsidRPr="00022D33">
              <w:t>(12,286)</w:t>
            </w:r>
          </w:p>
        </w:tc>
      </w:tr>
      <w:tr w:rsidR="00617CB0" w:rsidRPr="00022D33" w:rsidTr="000D7011">
        <w:tc>
          <w:tcPr>
            <w:tcW w:w="3038" w:type="dxa"/>
            <w:tcBorders>
              <w:top w:val="nil"/>
              <w:left w:val="nil"/>
              <w:bottom w:val="nil"/>
              <w:right w:val="nil"/>
            </w:tcBorders>
            <w:shd w:val="clear" w:color="auto" w:fill="auto"/>
          </w:tcPr>
          <w:p w:rsidR="00617CB0" w:rsidRPr="00022D33" w:rsidRDefault="00617CB0" w:rsidP="000D7011">
            <w:pPr>
              <w:pStyle w:val="Tabletext"/>
            </w:pPr>
            <w:r w:rsidRPr="00022D33">
              <w:t>Land Tax</w:t>
            </w:r>
          </w:p>
        </w:tc>
        <w:tc>
          <w:tcPr>
            <w:tcW w:w="1129" w:type="dxa"/>
            <w:tcBorders>
              <w:top w:val="nil"/>
              <w:left w:val="nil"/>
              <w:bottom w:val="nil"/>
              <w:right w:val="nil"/>
            </w:tcBorders>
            <w:shd w:val="clear" w:color="auto" w:fill="auto"/>
          </w:tcPr>
          <w:p w:rsidR="00617CB0" w:rsidRPr="00022D33" w:rsidRDefault="00617CB0" w:rsidP="000D7011">
            <w:pPr>
              <w:pStyle w:val="Tabletext"/>
              <w:jc w:val="right"/>
            </w:pPr>
            <w:r w:rsidRPr="00022D33">
              <w:t>936,416</w:t>
            </w:r>
          </w:p>
        </w:tc>
        <w:tc>
          <w:tcPr>
            <w:tcW w:w="1217" w:type="dxa"/>
            <w:tcBorders>
              <w:top w:val="nil"/>
              <w:left w:val="nil"/>
              <w:bottom w:val="nil"/>
              <w:right w:val="nil"/>
            </w:tcBorders>
            <w:shd w:val="clear" w:color="auto" w:fill="auto"/>
          </w:tcPr>
          <w:p w:rsidR="00617CB0" w:rsidRPr="00022D33" w:rsidRDefault="00617CB0" w:rsidP="000D7011">
            <w:pPr>
              <w:pStyle w:val="Tabletext"/>
              <w:jc w:val="right"/>
            </w:pPr>
            <w:r w:rsidRPr="00022D33">
              <w:t>945,532</w:t>
            </w:r>
          </w:p>
        </w:tc>
        <w:tc>
          <w:tcPr>
            <w:tcW w:w="1162" w:type="dxa"/>
            <w:tcBorders>
              <w:top w:val="nil"/>
              <w:left w:val="nil"/>
              <w:bottom w:val="nil"/>
              <w:right w:val="nil"/>
            </w:tcBorders>
            <w:shd w:val="clear" w:color="auto" w:fill="auto"/>
          </w:tcPr>
          <w:p w:rsidR="00617CB0" w:rsidRPr="00022D33" w:rsidRDefault="00617CB0" w:rsidP="000D7011">
            <w:pPr>
              <w:pStyle w:val="Tabletext"/>
              <w:jc w:val="right"/>
            </w:pPr>
            <w:r w:rsidRPr="00022D33">
              <w:t>9,116</w:t>
            </w:r>
          </w:p>
        </w:tc>
        <w:tc>
          <w:tcPr>
            <w:tcW w:w="1217" w:type="dxa"/>
            <w:tcBorders>
              <w:top w:val="nil"/>
              <w:left w:val="nil"/>
              <w:bottom w:val="nil"/>
              <w:right w:val="nil"/>
            </w:tcBorders>
            <w:shd w:val="clear" w:color="auto" w:fill="auto"/>
          </w:tcPr>
          <w:p w:rsidR="00617CB0" w:rsidRPr="00022D33" w:rsidRDefault="00617CB0" w:rsidP="000D7011">
            <w:pPr>
              <w:pStyle w:val="Tabletext"/>
              <w:jc w:val="right"/>
            </w:pPr>
            <w:r w:rsidRPr="00022D33">
              <w:t>945,532</w:t>
            </w:r>
          </w:p>
        </w:tc>
        <w:tc>
          <w:tcPr>
            <w:tcW w:w="1276" w:type="dxa"/>
            <w:tcBorders>
              <w:top w:val="nil"/>
              <w:left w:val="nil"/>
              <w:bottom w:val="nil"/>
              <w:right w:val="nil"/>
            </w:tcBorders>
            <w:shd w:val="clear" w:color="auto" w:fill="auto"/>
          </w:tcPr>
          <w:p w:rsidR="00617CB0" w:rsidRPr="00022D33" w:rsidRDefault="00617CB0" w:rsidP="000D7011">
            <w:pPr>
              <w:pStyle w:val="Tabletext"/>
              <w:jc w:val="right"/>
            </w:pPr>
            <w:r w:rsidRPr="00022D33">
              <w:t>741,642</w:t>
            </w:r>
          </w:p>
        </w:tc>
        <w:tc>
          <w:tcPr>
            <w:tcW w:w="1162" w:type="dxa"/>
            <w:tcBorders>
              <w:top w:val="nil"/>
              <w:left w:val="nil"/>
              <w:bottom w:val="nil"/>
              <w:right w:val="nil"/>
            </w:tcBorders>
            <w:shd w:val="clear" w:color="auto" w:fill="auto"/>
          </w:tcPr>
          <w:p w:rsidR="00617CB0" w:rsidRPr="00022D33" w:rsidRDefault="00617CB0" w:rsidP="000D7011">
            <w:pPr>
              <w:pStyle w:val="Tabletext"/>
              <w:jc w:val="right"/>
            </w:pPr>
            <w:r w:rsidRPr="00022D33">
              <w:t>203,890</w:t>
            </w:r>
          </w:p>
        </w:tc>
      </w:tr>
      <w:tr w:rsidR="00617CB0" w:rsidRPr="00022D33" w:rsidTr="000D7011">
        <w:tc>
          <w:tcPr>
            <w:tcW w:w="3038" w:type="dxa"/>
            <w:tcBorders>
              <w:top w:val="nil"/>
              <w:left w:val="nil"/>
              <w:bottom w:val="nil"/>
              <w:right w:val="nil"/>
            </w:tcBorders>
            <w:shd w:val="clear" w:color="auto" w:fill="auto"/>
          </w:tcPr>
          <w:p w:rsidR="00617CB0" w:rsidRPr="00022D33" w:rsidRDefault="00617CB0" w:rsidP="000D7011">
            <w:pPr>
              <w:pStyle w:val="Tabletext"/>
            </w:pPr>
            <w:r w:rsidRPr="00022D33">
              <w:t xml:space="preserve">Metropolitan Region Improvement Tax </w:t>
            </w:r>
          </w:p>
        </w:tc>
        <w:tc>
          <w:tcPr>
            <w:tcW w:w="1129" w:type="dxa"/>
            <w:tcBorders>
              <w:top w:val="nil"/>
              <w:left w:val="nil"/>
              <w:bottom w:val="nil"/>
              <w:right w:val="nil"/>
            </w:tcBorders>
            <w:shd w:val="clear" w:color="auto" w:fill="auto"/>
          </w:tcPr>
          <w:p w:rsidR="00617CB0" w:rsidRPr="00022D33" w:rsidRDefault="00617CB0" w:rsidP="000D7011">
            <w:pPr>
              <w:pStyle w:val="Tabletext"/>
              <w:jc w:val="right"/>
            </w:pPr>
            <w:r w:rsidRPr="00022D33">
              <w:t>98,112</w:t>
            </w:r>
          </w:p>
        </w:tc>
        <w:tc>
          <w:tcPr>
            <w:tcW w:w="1217" w:type="dxa"/>
            <w:tcBorders>
              <w:top w:val="nil"/>
              <w:left w:val="nil"/>
              <w:bottom w:val="nil"/>
              <w:right w:val="nil"/>
            </w:tcBorders>
            <w:shd w:val="clear" w:color="auto" w:fill="auto"/>
          </w:tcPr>
          <w:p w:rsidR="00617CB0" w:rsidRPr="00022D33" w:rsidRDefault="00617CB0" w:rsidP="000D7011">
            <w:pPr>
              <w:pStyle w:val="Tabletext"/>
              <w:jc w:val="right"/>
            </w:pPr>
            <w:r w:rsidRPr="00022D33">
              <w:t>97,870</w:t>
            </w:r>
          </w:p>
        </w:tc>
        <w:tc>
          <w:tcPr>
            <w:tcW w:w="1162" w:type="dxa"/>
            <w:tcBorders>
              <w:top w:val="nil"/>
              <w:left w:val="nil"/>
              <w:bottom w:val="nil"/>
              <w:right w:val="nil"/>
            </w:tcBorders>
            <w:shd w:val="clear" w:color="auto" w:fill="auto"/>
          </w:tcPr>
          <w:p w:rsidR="00617CB0" w:rsidRPr="00022D33" w:rsidRDefault="00617CB0" w:rsidP="000D7011">
            <w:pPr>
              <w:pStyle w:val="Tabletext"/>
              <w:jc w:val="right"/>
            </w:pPr>
            <w:r w:rsidRPr="00022D33">
              <w:t>(242)</w:t>
            </w:r>
          </w:p>
        </w:tc>
        <w:tc>
          <w:tcPr>
            <w:tcW w:w="1217" w:type="dxa"/>
            <w:tcBorders>
              <w:top w:val="nil"/>
              <w:left w:val="nil"/>
              <w:bottom w:val="nil"/>
              <w:right w:val="nil"/>
            </w:tcBorders>
            <w:shd w:val="clear" w:color="auto" w:fill="auto"/>
          </w:tcPr>
          <w:p w:rsidR="00617CB0" w:rsidRPr="00022D33" w:rsidRDefault="00617CB0" w:rsidP="000D7011">
            <w:pPr>
              <w:pStyle w:val="Tabletext"/>
              <w:jc w:val="right"/>
            </w:pPr>
            <w:r w:rsidRPr="00022D33">
              <w:t>97,870</w:t>
            </w:r>
          </w:p>
        </w:tc>
        <w:tc>
          <w:tcPr>
            <w:tcW w:w="1276" w:type="dxa"/>
            <w:tcBorders>
              <w:top w:val="nil"/>
              <w:left w:val="nil"/>
              <w:bottom w:val="nil"/>
              <w:right w:val="nil"/>
            </w:tcBorders>
            <w:shd w:val="clear" w:color="auto" w:fill="auto"/>
          </w:tcPr>
          <w:p w:rsidR="00617CB0" w:rsidRPr="00022D33" w:rsidRDefault="00617CB0" w:rsidP="000D7011">
            <w:pPr>
              <w:pStyle w:val="Tabletext"/>
              <w:jc w:val="right"/>
            </w:pPr>
            <w:r w:rsidRPr="00022D33">
              <w:t>92,811</w:t>
            </w:r>
          </w:p>
        </w:tc>
        <w:tc>
          <w:tcPr>
            <w:tcW w:w="1162" w:type="dxa"/>
            <w:tcBorders>
              <w:top w:val="nil"/>
              <w:left w:val="nil"/>
              <w:bottom w:val="nil"/>
              <w:right w:val="nil"/>
            </w:tcBorders>
            <w:shd w:val="clear" w:color="auto" w:fill="auto"/>
          </w:tcPr>
          <w:p w:rsidR="00617CB0" w:rsidRPr="00022D33" w:rsidRDefault="00617CB0" w:rsidP="000D7011">
            <w:pPr>
              <w:pStyle w:val="Tabletext"/>
              <w:jc w:val="right"/>
            </w:pPr>
            <w:r w:rsidRPr="00022D33">
              <w:t>5,059</w:t>
            </w:r>
          </w:p>
        </w:tc>
      </w:tr>
      <w:tr w:rsidR="00617CB0" w:rsidRPr="00022D33" w:rsidTr="000D7011">
        <w:tc>
          <w:tcPr>
            <w:tcW w:w="3038" w:type="dxa"/>
            <w:tcBorders>
              <w:top w:val="nil"/>
              <w:left w:val="nil"/>
              <w:bottom w:val="nil"/>
              <w:right w:val="nil"/>
            </w:tcBorders>
            <w:shd w:val="clear" w:color="auto" w:fill="auto"/>
          </w:tcPr>
          <w:p w:rsidR="00617CB0" w:rsidRPr="00022D33" w:rsidRDefault="00617CB0" w:rsidP="000D7011">
            <w:pPr>
              <w:pStyle w:val="Tabletext"/>
            </w:pPr>
            <w:r w:rsidRPr="00022D33">
              <w:t>Payroll Tax</w:t>
            </w:r>
          </w:p>
        </w:tc>
        <w:tc>
          <w:tcPr>
            <w:tcW w:w="1129" w:type="dxa"/>
            <w:tcBorders>
              <w:top w:val="nil"/>
              <w:left w:val="nil"/>
              <w:bottom w:val="nil"/>
              <w:right w:val="nil"/>
            </w:tcBorders>
            <w:shd w:val="clear" w:color="auto" w:fill="auto"/>
          </w:tcPr>
          <w:p w:rsidR="00617CB0" w:rsidRPr="00022D33" w:rsidRDefault="00617CB0" w:rsidP="000D7011">
            <w:pPr>
              <w:pStyle w:val="Tabletext"/>
              <w:jc w:val="right"/>
            </w:pPr>
            <w:r w:rsidRPr="00022D33">
              <w:t>3,980,754</w:t>
            </w:r>
          </w:p>
        </w:tc>
        <w:tc>
          <w:tcPr>
            <w:tcW w:w="1217" w:type="dxa"/>
            <w:tcBorders>
              <w:top w:val="nil"/>
              <w:left w:val="nil"/>
              <w:bottom w:val="nil"/>
              <w:right w:val="nil"/>
            </w:tcBorders>
            <w:shd w:val="clear" w:color="auto" w:fill="auto"/>
          </w:tcPr>
          <w:p w:rsidR="00617CB0" w:rsidRPr="00022D33" w:rsidRDefault="00617CB0" w:rsidP="000D7011">
            <w:pPr>
              <w:pStyle w:val="Tabletext"/>
              <w:jc w:val="right"/>
            </w:pPr>
            <w:r w:rsidRPr="00022D33">
              <w:t>3,492,369</w:t>
            </w:r>
          </w:p>
        </w:tc>
        <w:tc>
          <w:tcPr>
            <w:tcW w:w="1162" w:type="dxa"/>
            <w:tcBorders>
              <w:top w:val="nil"/>
              <w:left w:val="nil"/>
              <w:bottom w:val="nil"/>
              <w:right w:val="nil"/>
            </w:tcBorders>
            <w:shd w:val="clear" w:color="auto" w:fill="auto"/>
          </w:tcPr>
          <w:p w:rsidR="00617CB0" w:rsidRPr="00022D33" w:rsidRDefault="00617CB0" w:rsidP="000D7011">
            <w:pPr>
              <w:pStyle w:val="Tabletext"/>
              <w:jc w:val="right"/>
            </w:pPr>
            <w:r w:rsidRPr="00022D33">
              <w:t>(488,385)</w:t>
            </w:r>
          </w:p>
        </w:tc>
        <w:tc>
          <w:tcPr>
            <w:tcW w:w="1217" w:type="dxa"/>
            <w:tcBorders>
              <w:top w:val="nil"/>
              <w:left w:val="nil"/>
              <w:bottom w:val="nil"/>
              <w:right w:val="nil"/>
            </w:tcBorders>
            <w:shd w:val="clear" w:color="auto" w:fill="auto"/>
          </w:tcPr>
          <w:p w:rsidR="00617CB0" w:rsidRPr="00022D33" w:rsidRDefault="00617CB0" w:rsidP="000D7011">
            <w:pPr>
              <w:pStyle w:val="Tabletext"/>
              <w:jc w:val="right"/>
            </w:pPr>
            <w:r w:rsidRPr="00022D33">
              <w:t>3,492,369</w:t>
            </w:r>
          </w:p>
        </w:tc>
        <w:tc>
          <w:tcPr>
            <w:tcW w:w="1276" w:type="dxa"/>
            <w:tcBorders>
              <w:top w:val="nil"/>
              <w:left w:val="nil"/>
              <w:bottom w:val="nil"/>
              <w:right w:val="nil"/>
            </w:tcBorders>
            <w:shd w:val="clear" w:color="auto" w:fill="auto"/>
          </w:tcPr>
          <w:p w:rsidR="00617CB0" w:rsidRPr="00022D33" w:rsidRDefault="00617CB0" w:rsidP="000D7011">
            <w:pPr>
              <w:pStyle w:val="Tabletext"/>
              <w:jc w:val="right"/>
            </w:pPr>
            <w:r w:rsidRPr="00022D33">
              <w:t>3,592,020</w:t>
            </w:r>
          </w:p>
        </w:tc>
        <w:tc>
          <w:tcPr>
            <w:tcW w:w="1162" w:type="dxa"/>
            <w:tcBorders>
              <w:top w:val="nil"/>
              <w:left w:val="nil"/>
              <w:bottom w:val="nil"/>
              <w:right w:val="nil"/>
            </w:tcBorders>
            <w:shd w:val="clear" w:color="auto" w:fill="auto"/>
          </w:tcPr>
          <w:p w:rsidR="00617CB0" w:rsidRPr="00022D33" w:rsidRDefault="00617CB0" w:rsidP="000D7011">
            <w:pPr>
              <w:pStyle w:val="Tabletext"/>
              <w:jc w:val="right"/>
            </w:pPr>
            <w:r w:rsidRPr="00022D33">
              <w:t>(99,650)</w:t>
            </w:r>
          </w:p>
        </w:tc>
      </w:tr>
      <w:tr w:rsidR="00617CB0" w:rsidRPr="00022D33" w:rsidTr="000D7011">
        <w:tc>
          <w:tcPr>
            <w:tcW w:w="3038" w:type="dxa"/>
            <w:tcBorders>
              <w:top w:val="nil"/>
              <w:left w:val="nil"/>
              <w:bottom w:val="nil"/>
              <w:right w:val="nil"/>
            </w:tcBorders>
            <w:shd w:val="clear" w:color="auto" w:fill="auto"/>
          </w:tcPr>
          <w:p w:rsidR="00617CB0" w:rsidRPr="00022D33" w:rsidRDefault="00617CB0" w:rsidP="000D7011">
            <w:pPr>
              <w:pStyle w:val="Tabletext"/>
            </w:pPr>
            <w:r w:rsidRPr="00022D33">
              <w:t xml:space="preserve">Racing and Wagering Western Australia Tax </w:t>
            </w:r>
          </w:p>
        </w:tc>
        <w:tc>
          <w:tcPr>
            <w:tcW w:w="1129" w:type="dxa"/>
            <w:tcBorders>
              <w:top w:val="nil"/>
              <w:left w:val="nil"/>
              <w:bottom w:val="nil"/>
              <w:right w:val="nil"/>
            </w:tcBorders>
            <w:shd w:val="clear" w:color="auto" w:fill="auto"/>
          </w:tcPr>
          <w:p w:rsidR="00617CB0" w:rsidRPr="00022D33" w:rsidRDefault="00617CB0" w:rsidP="000D7011">
            <w:pPr>
              <w:pStyle w:val="Tabletext"/>
              <w:jc w:val="right"/>
            </w:pPr>
            <w:r w:rsidRPr="00022D33">
              <w:t>45,088</w:t>
            </w:r>
          </w:p>
        </w:tc>
        <w:tc>
          <w:tcPr>
            <w:tcW w:w="1217" w:type="dxa"/>
            <w:tcBorders>
              <w:top w:val="nil"/>
              <w:left w:val="nil"/>
              <w:bottom w:val="nil"/>
              <w:right w:val="nil"/>
            </w:tcBorders>
            <w:shd w:val="clear" w:color="auto" w:fill="auto"/>
          </w:tcPr>
          <w:p w:rsidR="00617CB0" w:rsidRPr="00022D33" w:rsidRDefault="00617CB0" w:rsidP="000D7011">
            <w:pPr>
              <w:pStyle w:val="Tabletext"/>
              <w:jc w:val="right"/>
            </w:pPr>
            <w:r w:rsidRPr="00022D33">
              <w:t>42,411</w:t>
            </w:r>
          </w:p>
        </w:tc>
        <w:tc>
          <w:tcPr>
            <w:tcW w:w="1162" w:type="dxa"/>
            <w:tcBorders>
              <w:top w:val="nil"/>
              <w:left w:val="nil"/>
              <w:bottom w:val="nil"/>
              <w:right w:val="nil"/>
            </w:tcBorders>
            <w:shd w:val="clear" w:color="auto" w:fill="auto"/>
          </w:tcPr>
          <w:p w:rsidR="00617CB0" w:rsidRPr="00022D33" w:rsidRDefault="00617CB0" w:rsidP="000D7011">
            <w:pPr>
              <w:pStyle w:val="Tabletext"/>
              <w:jc w:val="right"/>
            </w:pPr>
            <w:r w:rsidRPr="00022D33">
              <w:t>(2,677)</w:t>
            </w:r>
          </w:p>
        </w:tc>
        <w:tc>
          <w:tcPr>
            <w:tcW w:w="1217" w:type="dxa"/>
            <w:tcBorders>
              <w:top w:val="nil"/>
              <w:left w:val="nil"/>
              <w:bottom w:val="nil"/>
              <w:right w:val="nil"/>
            </w:tcBorders>
            <w:shd w:val="clear" w:color="auto" w:fill="auto"/>
          </w:tcPr>
          <w:p w:rsidR="00617CB0" w:rsidRPr="00022D33" w:rsidRDefault="00617CB0" w:rsidP="000D7011">
            <w:pPr>
              <w:pStyle w:val="Tabletext"/>
              <w:jc w:val="right"/>
            </w:pPr>
            <w:r w:rsidRPr="00022D33">
              <w:t>42,411</w:t>
            </w:r>
          </w:p>
        </w:tc>
        <w:tc>
          <w:tcPr>
            <w:tcW w:w="1276" w:type="dxa"/>
            <w:tcBorders>
              <w:top w:val="nil"/>
              <w:left w:val="nil"/>
              <w:bottom w:val="nil"/>
              <w:right w:val="nil"/>
            </w:tcBorders>
            <w:shd w:val="clear" w:color="auto" w:fill="auto"/>
          </w:tcPr>
          <w:p w:rsidR="00617CB0" w:rsidRPr="00022D33" w:rsidRDefault="00617CB0" w:rsidP="000D7011">
            <w:pPr>
              <w:pStyle w:val="Tabletext"/>
              <w:jc w:val="right"/>
            </w:pPr>
            <w:r w:rsidRPr="00022D33">
              <w:t>42,409</w:t>
            </w:r>
          </w:p>
        </w:tc>
        <w:tc>
          <w:tcPr>
            <w:tcW w:w="1162" w:type="dxa"/>
            <w:tcBorders>
              <w:top w:val="nil"/>
              <w:left w:val="nil"/>
              <w:bottom w:val="nil"/>
              <w:right w:val="nil"/>
            </w:tcBorders>
            <w:shd w:val="clear" w:color="auto" w:fill="auto"/>
          </w:tcPr>
          <w:p w:rsidR="00617CB0" w:rsidRPr="00022D33" w:rsidRDefault="00617CB0" w:rsidP="000D7011">
            <w:pPr>
              <w:pStyle w:val="Tabletext"/>
              <w:jc w:val="right"/>
            </w:pPr>
            <w:r w:rsidRPr="00022D33">
              <w:t>2</w:t>
            </w:r>
          </w:p>
        </w:tc>
      </w:tr>
      <w:tr w:rsidR="00617CB0" w:rsidRPr="00022D33" w:rsidTr="000D7011">
        <w:tc>
          <w:tcPr>
            <w:tcW w:w="3038" w:type="dxa"/>
            <w:tcBorders>
              <w:top w:val="nil"/>
              <w:left w:val="nil"/>
              <w:bottom w:val="nil"/>
              <w:right w:val="nil"/>
            </w:tcBorders>
            <w:shd w:val="clear" w:color="auto" w:fill="auto"/>
          </w:tcPr>
          <w:p w:rsidR="00617CB0" w:rsidRPr="00022D33" w:rsidRDefault="00617CB0" w:rsidP="000D7011">
            <w:pPr>
              <w:pStyle w:val="Tabletext"/>
            </w:pPr>
            <w:r w:rsidRPr="00022D33">
              <w:t>Transfer Duty</w:t>
            </w:r>
          </w:p>
        </w:tc>
        <w:tc>
          <w:tcPr>
            <w:tcW w:w="1129" w:type="dxa"/>
            <w:tcBorders>
              <w:top w:val="nil"/>
              <w:left w:val="nil"/>
              <w:bottom w:val="nil"/>
              <w:right w:val="nil"/>
            </w:tcBorders>
            <w:shd w:val="clear" w:color="auto" w:fill="auto"/>
          </w:tcPr>
          <w:p w:rsidR="00617CB0" w:rsidRPr="00022D33" w:rsidRDefault="00617CB0" w:rsidP="000D7011">
            <w:pPr>
              <w:pStyle w:val="Tabletext"/>
              <w:jc w:val="right"/>
            </w:pPr>
            <w:r w:rsidRPr="00022D33">
              <w:t>1,613,627</w:t>
            </w:r>
          </w:p>
        </w:tc>
        <w:tc>
          <w:tcPr>
            <w:tcW w:w="1217" w:type="dxa"/>
            <w:tcBorders>
              <w:top w:val="nil"/>
              <w:left w:val="nil"/>
              <w:bottom w:val="nil"/>
              <w:right w:val="nil"/>
            </w:tcBorders>
            <w:shd w:val="clear" w:color="auto" w:fill="auto"/>
          </w:tcPr>
          <w:p w:rsidR="00617CB0" w:rsidRPr="00022D33" w:rsidRDefault="00617CB0" w:rsidP="000D7011">
            <w:pPr>
              <w:pStyle w:val="Tabletext"/>
              <w:jc w:val="right"/>
            </w:pPr>
            <w:r w:rsidRPr="00022D33">
              <w:t>1,337,635</w:t>
            </w:r>
          </w:p>
        </w:tc>
        <w:tc>
          <w:tcPr>
            <w:tcW w:w="1162" w:type="dxa"/>
            <w:tcBorders>
              <w:top w:val="nil"/>
              <w:left w:val="nil"/>
              <w:bottom w:val="nil"/>
              <w:right w:val="nil"/>
            </w:tcBorders>
            <w:shd w:val="clear" w:color="auto" w:fill="auto"/>
          </w:tcPr>
          <w:p w:rsidR="00617CB0" w:rsidRPr="00022D33" w:rsidRDefault="00617CB0" w:rsidP="000D7011">
            <w:pPr>
              <w:pStyle w:val="Tabletext"/>
              <w:jc w:val="right"/>
            </w:pPr>
            <w:r w:rsidRPr="00022D33">
              <w:t>(275,992)</w:t>
            </w:r>
          </w:p>
        </w:tc>
        <w:tc>
          <w:tcPr>
            <w:tcW w:w="1217" w:type="dxa"/>
            <w:tcBorders>
              <w:top w:val="nil"/>
              <w:left w:val="nil"/>
              <w:bottom w:val="nil"/>
              <w:right w:val="nil"/>
            </w:tcBorders>
            <w:shd w:val="clear" w:color="auto" w:fill="auto"/>
          </w:tcPr>
          <w:p w:rsidR="00617CB0" w:rsidRPr="00022D33" w:rsidRDefault="00617CB0" w:rsidP="000D7011">
            <w:pPr>
              <w:pStyle w:val="Tabletext"/>
              <w:jc w:val="right"/>
            </w:pPr>
            <w:r w:rsidRPr="00022D33">
              <w:t>1,337,635</w:t>
            </w:r>
          </w:p>
        </w:tc>
        <w:tc>
          <w:tcPr>
            <w:tcW w:w="1276" w:type="dxa"/>
            <w:tcBorders>
              <w:top w:val="nil"/>
              <w:left w:val="nil"/>
              <w:bottom w:val="nil"/>
              <w:right w:val="nil"/>
            </w:tcBorders>
            <w:shd w:val="clear" w:color="auto" w:fill="auto"/>
          </w:tcPr>
          <w:p w:rsidR="00617CB0" w:rsidRPr="00022D33" w:rsidRDefault="00617CB0" w:rsidP="000D7011">
            <w:pPr>
              <w:pStyle w:val="Tabletext"/>
              <w:jc w:val="right"/>
            </w:pPr>
            <w:r w:rsidRPr="00022D33">
              <w:t>1,598,411</w:t>
            </w:r>
          </w:p>
        </w:tc>
        <w:tc>
          <w:tcPr>
            <w:tcW w:w="1162" w:type="dxa"/>
            <w:tcBorders>
              <w:top w:val="nil"/>
              <w:left w:val="nil"/>
              <w:bottom w:val="nil"/>
              <w:right w:val="nil"/>
            </w:tcBorders>
            <w:shd w:val="clear" w:color="auto" w:fill="auto"/>
          </w:tcPr>
          <w:p w:rsidR="00617CB0" w:rsidRPr="00022D33" w:rsidRDefault="00617CB0" w:rsidP="000D7011">
            <w:pPr>
              <w:pStyle w:val="Tabletext"/>
              <w:jc w:val="right"/>
            </w:pPr>
            <w:r w:rsidRPr="00022D33">
              <w:t>(260,775)</w:t>
            </w:r>
          </w:p>
        </w:tc>
      </w:tr>
      <w:tr w:rsidR="00617CB0" w:rsidRPr="00022D33" w:rsidTr="000D7011">
        <w:tc>
          <w:tcPr>
            <w:tcW w:w="3038" w:type="dxa"/>
            <w:tcBorders>
              <w:top w:val="nil"/>
              <w:left w:val="nil"/>
              <w:bottom w:val="nil"/>
              <w:right w:val="nil"/>
            </w:tcBorders>
            <w:shd w:val="clear" w:color="auto" w:fill="auto"/>
          </w:tcPr>
          <w:p w:rsidR="00617CB0" w:rsidRPr="00022D33" w:rsidRDefault="00617CB0" w:rsidP="000D7011">
            <w:pPr>
              <w:pStyle w:val="Tabletext"/>
            </w:pPr>
            <w:r w:rsidRPr="00022D33">
              <w:t xml:space="preserve">Landholder Duty </w:t>
            </w:r>
          </w:p>
        </w:tc>
        <w:tc>
          <w:tcPr>
            <w:tcW w:w="1129" w:type="dxa"/>
            <w:tcBorders>
              <w:top w:val="nil"/>
              <w:left w:val="nil"/>
              <w:bottom w:val="nil"/>
              <w:right w:val="nil"/>
            </w:tcBorders>
            <w:shd w:val="clear" w:color="auto" w:fill="auto"/>
          </w:tcPr>
          <w:p w:rsidR="00617CB0" w:rsidRPr="00022D33" w:rsidRDefault="00617CB0" w:rsidP="000D7011">
            <w:pPr>
              <w:pStyle w:val="Tabletext"/>
              <w:jc w:val="right"/>
            </w:pPr>
            <w:r w:rsidRPr="00022D33">
              <w:t>117,815</w:t>
            </w:r>
          </w:p>
        </w:tc>
        <w:tc>
          <w:tcPr>
            <w:tcW w:w="1217" w:type="dxa"/>
            <w:tcBorders>
              <w:top w:val="nil"/>
              <w:left w:val="nil"/>
              <w:bottom w:val="nil"/>
              <w:right w:val="nil"/>
            </w:tcBorders>
            <w:shd w:val="clear" w:color="auto" w:fill="auto"/>
          </w:tcPr>
          <w:p w:rsidR="00617CB0" w:rsidRPr="00022D33" w:rsidRDefault="00617CB0" w:rsidP="000D7011">
            <w:pPr>
              <w:pStyle w:val="Tabletext"/>
              <w:jc w:val="right"/>
            </w:pPr>
            <w:r w:rsidRPr="00022D33">
              <w:t>418,812</w:t>
            </w:r>
          </w:p>
        </w:tc>
        <w:tc>
          <w:tcPr>
            <w:tcW w:w="1162" w:type="dxa"/>
            <w:tcBorders>
              <w:top w:val="nil"/>
              <w:left w:val="nil"/>
              <w:bottom w:val="nil"/>
              <w:right w:val="nil"/>
            </w:tcBorders>
            <w:shd w:val="clear" w:color="auto" w:fill="auto"/>
          </w:tcPr>
          <w:p w:rsidR="00617CB0" w:rsidRPr="00022D33" w:rsidRDefault="00617CB0" w:rsidP="000D7011">
            <w:pPr>
              <w:pStyle w:val="Tabletext"/>
              <w:jc w:val="right"/>
            </w:pPr>
            <w:r w:rsidRPr="00022D33">
              <w:t>300,997</w:t>
            </w:r>
          </w:p>
        </w:tc>
        <w:tc>
          <w:tcPr>
            <w:tcW w:w="1217" w:type="dxa"/>
            <w:tcBorders>
              <w:top w:val="nil"/>
              <w:left w:val="nil"/>
              <w:bottom w:val="nil"/>
              <w:right w:val="nil"/>
            </w:tcBorders>
            <w:shd w:val="clear" w:color="auto" w:fill="auto"/>
          </w:tcPr>
          <w:p w:rsidR="00617CB0" w:rsidRPr="00022D33" w:rsidRDefault="00617CB0" w:rsidP="000D7011">
            <w:pPr>
              <w:pStyle w:val="Tabletext"/>
              <w:jc w:val="right"/>
            </w:pPr>
            <w:r w:rsidRPr="00022D33">
              <w:t>418,812</w:t>
            </w:r>
          </w:p>
        </w:tc>
        <w:tc>
          <w:tcPr>
            <w:tcW w:w="1276" w:type="dxa"/>
            <w:tcBorders>
              <w:top w:val="nil"/>
              <w:left w:val="nil"/>
              <w:bottom w:val="nil"/>
              <w:right w:val="nil"/>
            </w:tcBorders>
            <w:shd w:val="clear" w:color="auto" w:fill="auto"/>
          </w:tcPr>
          <w:p w:rsidR="00617CB0" w:rsidRPr="00022D33" w:rsidRDefault="00617CB0" w:rsidP="000D7011">
            <w:pPr>
              <w:pStyle w:val="Tabletext"/>
              <w:jc w:val="right"/>
            </w:pPr>
            <w:r w:rsidRPr="00022D33">
              <w:t>100,794</w:t>
            </w:r>
          </w:p>
        </w:tc>
        <w:tc>
          <w:tcPr>
            <w:tcW w:w="1162" w:type="dxa"/>
            <w:tcBorders>
              <w:top w:val="nil"/>
              <w:left w:val="nil"/>
              <w:bottom w:val="nil"/>
              <w:right w:val="nil"/>
            </w:tcBorders>
            <w:shd w:val="clear" w:color="auto" w:fill="auto"/>
          </w:tcPr>
          <w:p w:rsidR="00617CB0" w:rsidRPr="00022D33" w:rsidRDefault="00617CB0" w:rsidP="000D7011">
            <w:pPr>
              <w:pStyle w:val="Tabletext"/>
              <w:jc w:val="right"/>
            </w:pPr>
            <w:r w:rsidRPr="00022D33">
              <w:t>318,019</w:t>
            </w:r>
          </w:p>
        </w:tc>
      </w:tr>
      <w:tr w:rsidR="00617CB0" w:rsidRPr="00022D33" w:rsidTr="000D7011">
        <w:tc>
          <w:tcPr>
            <w:tcW w:w="3038" w:type="dxa"/>
            <w:tcBorders>
              <w:top w:val="nil"/>
              <w:left w:val="nil"/>
              <w:bottom w:val="nil"/>
              <w:right w:val="nil"/>
            </w:tcBorders>
            <w:shd w:val="clear" w:color="auto" w:fill="auto"/>
          </w:tcPr>
          <w:p w:rsidR="00617CB0" w:rsidRPr="00022D33" w:rsidRDefault="00617CB0" w:rsidP="000D7011">
            <w:pPr>
              <w:pStyle w:val="Tabletext"/>
            </w:pPr>
            <w:r w:rsidRPr="00022D33">
              <w:t xml:space="preserve">Vehicle Licence Duty </w:t>
            </w:r>
          </w:p>
        </w:tc>
        <w:tc>
          <w:tcPr>
            <w:tcW w:w="1129" w:type="dxa"/>
            <w:tcBorders>
              <w:top w:val="nil"/>
              <w:left w:val="nil"/>
              <w:bottom w:val="nil"/>
              <w:right w:val="nil"/>
            </w:tcBorders>
            <w:shd w:val="clear" w:color="auto" w:fill="auto"/>
          </w:tcPr>
          <w:p w:rsidR="00617CB0" w:rsidRPr="00022D33" w:rsidRDefault="00617CB0" w:rsidP="000D7011">
            <w:pPr>
              <w:pStyle w:val="Tabletext"/>
              <w:jc w:val="right"/>
            </w:pPr>
            <w:r w:rsidRPr="00022D33">
              <w:t>394,937</w:t>
            </w:r>
          </w:p>
        </w:tc>
        <w:tc>
          <w:tcPr>
            <w:tcW w:w="1217" w:type="dxa"/>
            <w:tcBorders>
              <w:top w:val="nil"/>
              <w:left w:val="nil"/>
              <w:bottom w:val="nil"/>
              <w:right w:val="nil"/>
            </w:tcBorders>
            <w:shd w:val="clear" w:color="auto" w:fill="auto"/>
          </w:tcPr>
          <w:p w:rsidR="00617CB0" w:rsidRPr="00022D33" w:rsidRDefault="00617CB0" w:rsidP="000D7011">
            <w:pPr>
              <w:pStyle w:val="Tabletext"/>
              <w:jc w:val="right"/>
            </w:pPr>
            <w:r w:rsidRPr="00022D33">
              <w:t>345,655</w:t>
            </w:r>
          </w:p>
        </w:tc>
        <w:tc>
          <w:tcPr>
            <w:tcW w:w="1162" w:type="dxa"/>
            <w:tcBorders>
              <w:top w:val="nil"/>
              <w:left w:val="nil"/>
              <w:bottom w:val="nil"/>
              <w:right w:val="nil"/>
            </w:tcBorders>
            <w:shd w:val="clear" w:color="auto" w:fill="auto"/>
          </w:tcPr>
          <w:p w:rsidR="00617CB0" w:rsidRPr="00022D33" w:rsidRDefault="00617CB0" w:rsidP="000D7011">
            <w:pPr>
              <w:pStyle w:val="Tabletext"/>
              <w:jc w:val="right"/>
            </w:pPr>
            <w:r w:rsidRPr="00022D33">
              <w:t>(49,282)</w:t>
            </w:r>
          </w:p>
        </w:tc>
        <w:tc>
          <w:tcPr>
            <w:tcW w:w="1217" w:type="dxa"/>
            <w:tcBorders>
              <w:top w:val="nil"/>
              <w:left w:val="nil"/>
              <w:bottom w:val="nil"/>
              <w:right w:val="nil"/>
            </w:tcBorders>
            <w:shd w:val="clear" w:color="auto" w:fill="auto"/>
          </w:tcPr>
          <w:p w:rsidR="00617CB0" w:rsidRPr="00022D33" w:rsidRDefault="00617CB0" w:rsidP="000D7011">
            <w:pPr>
              <w:pStyle w:val="Tabletext"/>
              <w:jc w:val="right"/>
            </w:pPr>
            <w:r w:rsidRPr="00022D33">
              <w:t>345,655</w:t>
            </w:r>
          </w:p>
        </w:tc>
        <w:tc>
          <w:tcPr>
            <w:tcW w:w="1276" w:type="dxa"/>
            <w:tcBorders>
              <w:top w:val="nil"/>
              <w:left w:val="nil"/>
              <w:bottom w:val="nil"/>
              <w:right w:val="nil"/>
            </w:tcBorders>
            <w:shd w:val="clear" w:color="auto" w:fill="auto"/>
          </w:tcPr>
          <w:p w:rsidR="00617CB0" w:rsidRPr="00022D33" w:rsidRDefault="00617CB0" w:rsidP="000D7011">
            <w:pPr>
              <w:pStyle w:val="Tabletext"/>
              <w:jc w:val="right"/>
            </w:pPr>
            <w:r w:rsidRPr="00022D33">
              <w:t>362,952</w:t>
            </w:r>
          </w:p>
        </w:tc>
        <w:tc>
          <w:tcPr>
            <w:tcW w:w="1162" w:type="dxa"/>
            <w:tcBorders>
              <w:top w:val="nil"/>
              <w:left w:val="nil"/>
              <w:bottom w:val="nil"/>
              <w:right w:val="nil"/>
            </w:tcBorders>
            <w:shd w:val="clear" w:color="auto" w:fill="auto"/>
          </w:tcPr>
          <w:p w:rsidR="00617CB0" w:rsidRPr="00022D33" w:rsidRDefault="00617CB0" w:rsidP="000D7011">
            <w:pPr>
              <w:pStyle w:val="Tabletext"/>
              <w:jc w:val="right"/>
            </w:pPr>
            <w:r w:rsidRPr="00022D33">
              <w:t>(17,297)</w:t>
            </w:r>
          </w:p>
        </w:tc>
      </w:tr>
      <w:tr w:rsidR="00617CB0" w:rsidRPr="00022D33" w:rsidTr="000D7011">
        <w:tc>
          <w:tcPr>
            <w:tcW w:w="3038" w:type="dxa"/>
            <w:tcBorders>
              <w:top w:val="nil"/>
              <w:left w:val="nil"/>
              <w:bottom w:val="nil"/>
              <w:right w:val="nil"/>
            </w:tcBorders>
            <w:shd w:val="clear" w:color="auto" w:fill="auto"/>
          </w:tcPr>
          <w:p w:rsidR="00617CB0" w:rsidRPr="00022D33" w:rsidRDefault="00617CB0" w:rsidP="000D7011">
            <w:pPr>
              <w:pStyle w:val="Tabletext"/>
            </w:pPr>
            <w:r w:rsidRPr="00022D33">
              <w:t>Other duties</w:t>
            </w:r>
          </w:p>
        </w:tc>
        <w:tc>
          <w:tcPr>
            <w:tcW w:w="1129" w:type="dxa"/>
            <w:tcBorders>
              <w:top w:val="nil"/>
              <w:left w:val="nil"/>
              <w:bottom w:val="nil"/>
              <w:right w:val="nil"/>
            </w:tcBorders>
            <w:shd w:val="clear" w:color="auto" w:fill="auto"/>
          </w:tcPr>
          <w:p w:rsidR="00617CB0" w:rsidRPr="00022D33" w:rsidRDefault="00617CB0" w:rsidP="000D7011">
            <w:pPr>
              <w:pStyle w:val="Tabletext"/>
              <w:jc w:val="right"/>
            </w:pPr>
            <w:r w:rsidRPr="00022D33">
              <w:t>1</w:t>
            </w:r>
          </w:p>
        </w:tc>
        <w:tc>
          <w:tcPr>
            <w:tcW w:w="1217" w:type="dxa"/>
            <w:tcBorders>
              <w:top w:val="nil"/>
              <w:left w:val="nil"/>
              <w:bottom w:val="nil"/>
              <w:right w:val="nil"/>
            </w:tcBorders>
            <w:shd w:val="clear" w:color="auto" w:fill="auto"/>
          </w:tcPr>
          <w:p w:rsidR="00617CB0" w:rsidRPr="00022D33" w:rsidRDefault="00617CB0" w:rsidP="000D7011">
            <w:pPr>
              <w:pStyle w:val="Tabletext"/>
              <w:jc w:val="right"/>
            </w:pPr>
            <w:r w:rsidRPr="00022D33">
              <w:t>6</w:t>
            </w:r>
          </w:p>
        </w:tc>
        <w:tc>
          <w:tcPr>
            <w:tcW w:w="1162" w:type="dxa"/>
            <w:tcBorders>
              <w:top w:val="nil"/>
              <w:left w:val="nil"/>
              <w:bottom w:val="nil"/>
              <w:right w:val="nil"/>
            </w:tcBorders>
            <w:shd w:val="clear" w:color="auto" w:fill="auto"/>
          </w:tcPr>
          <w:p w:rsidR="00617CB0" w:rsidRPr="00022D33" w:rsidRDefault="00617CB0" w:rsidP="000D7011">
            <w:pPr>
              <w:pStyle w:val="Tabletext"/>
              <w:jc w:val="right"/>
            </w:pPr>
            <w:r w:rsidRPr="00022D33">
              <w:t>5</w:t>
            </w:r>
          </w:p>
        </w:tc>
        <w:tc>
          <w:tcPr>
            <w:tcW w:w="1217" w:type="dxa"/>
            <w:tcBorders>
              <w:top w:val="nil"/>
              <w:left w:val="nil"/>
              <w:bottom w:val="nil"/>
              <w:right w:val="nil"/>
            </w:tcBorders>
            <w:shd w:val="clear" w:color="auto" w:fill="auto"/>
          </w:tcPr>
          <w:p w:rsidR="00617CB0" w:rsidRPr="00022D33" w:rsidRDefault="00617CB0" w:rsidP="000D7011">
            <w:pPr>
              <w:pStyle w:val="Tabletext"/>
              <w:jc w:val="right"/>
            </w:pPr>
            <w:r w:rsidRPr="00022D33">
              <w:t>6</w:t>
            </w:r>
          </w:p>
        </w:tc>
        <w:tc>
          <w:tcPr>
            <w:tcW w:w="1276" w:type="dxa"/>
            <w:tcBorders>
              <w:top w:val="nil"/>
              <w:left w:val="nil"/>
              <w:bottom w:val="nil"/>
              <w:right w:val="nil"/>
            </w:tcBorders>
            <w:shd w:val="clear" w:color="auto" w:fill="auto"/>
          </w:tcPr>
          <w:p w:rsidR="00617CB0" w:rsidRPr="00022D33" w:rsidRDefault="00617CB0" w:rsidP="000D7011">
            <w:pPr>
              <w:pStyle w:val="Tabletext"/>
              <w:jc w:val="right"/>
            </w:pPr>
            <w:r w:rsidRPr="00022D33">
              <w:t>5</w:t>
            </w:r>
          </w:p>
        </w:tc>
        <w:tc>
          <w:tcPr>
            <w:tcW w:w="1162" w:type="dxa"/>
            <w:tcBorders>
              <w:top w:val="nil"/>
              <w:left w:val="nil"/>
              <w:bottom w:val="nil"/>
              <w:right w:val="nil"/>
            </w:tcBorders>
            <w:shd w:val="clear" w:color="auto" w:fill="auto"/>
          </w:tcPr>
          <w:p w:rsidR="00617CB0" w:rsidRPr="00022D33" w:rsidRDefault="00617CB0" w:rsidP="000D7011">
            <w:pPr>
              <w:pStyle w:val="Tabletext"/>
              <w:jc w:val="right"/>
            </w:pPr>
            <w:r w:rsidRPr="00022D33">
              <w:t>1</w:t>
            </w:r>
          </w:p>
        </w:tc>
      </w:tr>
      <w:tr w:rsidR="00617CB0" w:rsidRPr="00022D33" w:rsidTr="000D7011">
        <w:tc>
          <w:tcPr>
            <w:tcW w:w="3038" w:type="dxa"/>
            <w:tcBorders>
              <w:top w:val="nil"/>
              <w:left w:val="nil"/>
              <w:bottom w:val="nil"/>
              <w:right w:val="nil"/>
            </w:tcBorders>
            <w:shd w:val="clear" w:color="auto" w:fill="auto"/>
          </w:tcPr>
          <w:p w:rsidR="00617CB0" w:rsidRPr="00022D33" w:rsidRDefault="00617CB0" w:rsidP="000D7011">
            <w:pPr>
              <w:pStyle w:val="Tabletext"/>
            </w:pPr>
            <w:r w:rsidRPr="00022D33">
              <w:t>Commonwealth Mirror Taxes</w:t>
            </w:r>
          </w:p>
        </w:tc>
        <w:tc>
          <w:tcPr>
            <w:tcW w:w="1129"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50,859</w:t>
            </w:r>
          </w:p>
        </w:tc>
        <w:tc>
          <w:tcPr>
            <w:tcW w:w="1217"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43,325</w:t>
            </w:r>
          </w:p>
        </w:tc>
        <w:tc>
          <w:tcPr>
            <w:tcW w:w="1162"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(7,534)</w:t>
            </w:r>
          </w:p>
        </w:tc>
        <w:tc>
          <w:tcPr>
            <w:tcW w:w="1217"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43,325</w:t>
            </w:r>
          </w:p>
        </w:tc>
        <w:tc>
          <w:tcPr>
            <w:tcW w:w="1276"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44,450</w:t>
            </w:r>
          </w:p>
        </w:tc>
        <w:tc>
          <w:tcPr>
            <w:tcW w:w="1162"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(1,125)</w:t>
            </w:r>
          </w:p>
        </w:tc>
      </w:tr>
      <w:tr w:rsidR="00617CB0" w:rsidRPr="00022D33" w:rsidTr="000D7011">
        <w:tc>
          <w:tcPr>
            <w:tcW w:w="3038" w:type="dxa"/>
            <w:tcBorders>
              <w:top w:val="nil"/>
              <w:left w:val="nil"/>
              <w:bottom w:val="nil"/>
              <w:right w:val="nil"/>
            </w:tcBorders>
            <w:shd w:val="clear" w:color="auto" w:fill="auto"/>
          </w:tcPr>
          <w:p w:rsidR="00617CB0" w:rsidRPr="00022D33" w:rsidRDefault="00617CB0" w:rsidP="000D7011">
            <w:pPr>
              <w:pStyle w:val="Tableboldedtext"/>
            </w:pPr>
            <w:r w:rsidRPr="00022D33">
              <w:t>Total taxation</w:t>
            </w:r>
          </w:p>
        </w:tc>
        <w:tc>
          <w:tcPr>
            <w:tcW w:w="1129"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rPr>
                <w:b/>
              </w:rPr>
            </w:pPr>
            <w:r w:rsidRPr="00022D33">
              <w:rPr>
                <w:b/>
              </w:rPr>
              <w:t>7,897,928</w:t>
            </w:r>
          </w:p>
        </w:tc>
        <w:tc>
          <w:tcPr>
            <w:tcW w:w="1217"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rPr>
                <w:b/>
              </w:rPr>
            </w:pPr>
            <w:r w:rsidRPr="00022D33">
              <w:rPr>
                <w:b/>
              </w:rPr>
              <w:t>7,315,117</w:t>
            </w:r>
          </w:p>
        </w:tc>
        <w:tc>
          <w:tcPr>
            <w:tcW w:w="1162"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rPr>
                <w:b/>
              </w:rPr>
            </w:pPr>
            <w:r w:rsidRPr="00022D33">
              <w:rPr>
                <w:b/>
              </w:rPr>
              <w:t>(582,811)</w:t>
            </w:r>
          </w:p>
        </w:tc>
        <w:tc>
          <w:tcPr>
            <w:tcW w:w="1217"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center"/>
              <w:rPr>
                <w:b/>
              </w:rPr>
            </w:pPr>
            <w:r w:rsidRPr="00022D33">
              <w:rPr>
                <w:b/>
              </w:rPr>
              <w:t xml:space="preserve"> 7,315,117</w:t>
            </w:r>
          </w:p>
        </w:tc>
        <w:tc>
          <w:tcPr>
            <w:tcW w:w="1276"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rPr>
                <w:b/>
              </w:rPr>
            </w:pPr>
            <w:r w:rsidRPr="00022D33">
              <w:rPr>
                <w:b/>
              </w:rPr>
              <w:t>7,179,280</w:t>
            </w:r>
          </w:p>
        </w:tc>
        <w:tc>
          <w:tcPr>
            <w:tcW w:w="1162"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pPr>
            <w:r w:rsidRPr="00022D33">
              <w:t>135,836</w:t>
            </w:r>
          </w:p>
        </w:tc>
      </w:tr>
      <w:tr w:rsidR="00617CB0" w:rsidRPr="00022D33" w:rsidTr="000D7011">
        <w:tc>
          <w:tcPr>
            <w:tcW w:w="10201" w:type="dxa"/>
            <w:gridSpan w:val="7"/>
            <w:tcBorders>
              <w:top w:val="nil"/>
              <w:left w:val="nil"/>
              <w:bottom w:val="nil"/>
              <w:right w:val="nil"/>
            </w:tcBorders>
            <w:shd w:val="clear" w:color="auto" w:fill="auto"/>
          </w:tcPr>
          <w:p w:rsidR="00617CB0" w:rsidRPr="00022D33" w:rsidRDefault="00617CB0" w:rsidP="000D7011">
            <w:pPr>
              <w:pStyle w:val="Tabletext"/>
              <w:rPr>
                <w:u w:val="single"/>
              </w:rPr>
            </w:pPr>
          </w:p>
        </w:tc>
      </w:tr>
    </w:tbl>
    <w:p w:rsidR="00617CB0" w:rsidRDefault="00617CB0" w:rsidP="00617CB0"/>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8"/>
        <w:gridCol w:w="1129"/>
        <w:gridCol w:w="1217"/>
        <w:gridCol w:w="1162"/>
        <w:gridCol w:w="1217"/>
        <w:gridCol w:w="1276"/>
        <w:gridCol w:w="1162"/>
      </w:tblGrid>
      <w:tr w:rsidR="00617CB0" w:rsidRPr="00980C21" w:rsidTr="000D7011">
        <w:trPr>
          <w:cantSplit/>
        </w:trPr>
        <w:tc>
          <w:tcPr>
            <w:tcW w:w="3038" w:type="dxa"/>
            <w:tcBorders>
              <w:top w:val="nil"/>
              <w:left w:val="nil"/>
              <w:bottom w:val="nil"/>
              <w:right w:val="nil"/>
            </w:tcBorders>
            <w:shd w:val="clear" w:color="auto" w:fill="auto"/>
          </w:tcPr>
          <w:p w:rsidR="00617CB0" w:rsidRPr="00980C21" w:rsidRDefault="00617CB0" w:rsidP="000D7011">
            <w:pPr>
              <w:autoSpaceDE w:val="0"/>
              <w:autoSpaceDN w:val="0"/>
              <w:adjustRightInd w:val="0"/>
              <w:spacing w:after="0"/>
              <w:jc w:val="right"/>
              <w:rPr>
                <w:rFonts w:ascii="HelveticaNeueLT-Light" w:hAnsi="HelveticaNeueLT-Light" w:cs="HelveticaNeueLT-Light"/>
                <w:b/>
                <w:sz w:val="20"/>
                <w:szCs w:val="20"/>
                <w:lang w:eastAsia="en-AU"/>
              </w:rPr>
            </w:pPr>
          </w:p>
        </w:tc>
        <w:tc>
          <w:tcPr>
            <w:tcW w:w="1129" w:type="dxa"/>
            <w:tcBorders>
              <w:top w:val="nil"/>
              <w:left w:val="nil"/>
              <w:bottom w:val="nil"/>
              <w:right w:val="nil"/>
            </w:tcBorders>
            <w:shd w:val="clear" w:color="auto" w:fill="auto"/>
          </w:tcPr>
          <w:p w:rsidR="00617CB0" w:rsidRPr="00980C21" w:rsidRDefault="00617CB0" w:rsidP="000D7011">
            <w:pPr>
              <w:pStyle w:val="Tabletext"/>
              <w:jc w:val="right"/>
              <w:rPr>
                <w:b/>
              </w:rPr>
            </w:pPr>
            <w:r w:rsidRPr="00980C21">
              <w:rPr>
                <w:b/>
              </w:rPr>
              <w:t>2016</w:t>
            </w:r>
          </w:p>
          <w:p w:rsidR="00617CB0" w:rsidRPr="00980C21" w:rsidRDefault="00617CB0" w:rsidP="000D7011">
            <w:pPr>
              <w:pStyle w:val="Tabletext"/>
              <w:jc w:val="right"/>
              <w:rPr>
                <w:b/>
              </w:rPr>
            </w:pPr>
            <w:r w:rsidRPr="00980C21">
              <w:rPr>
                <w:b/>
              </w:rPr>
              <w:t>estimate</w:t>
            </w:r>
          </w:p>
          <w:p w:rsidR="00617CB0" w:rsidRPr="00980C21" w:rsidRDefault="00617CB0" w:rsidP="000D7011">
            <w:pPr>
              <w:pStyle w:val="Tabletext"/>
              <w:jc w:val="right"/>
              <w:rPr>
                <w:b/>
              </w:rPr>
            </w:pPr>
            <w:r w:rsidRPr="00980C21">
              <w:rPr>
                <w:b/>
              </w:rPr>
              <w:t>$000</w:t>
            </w:r>
          </w:p>
        </w:tc>
        <w:tc>
          <w:tcPr>
            <w:tcW w:w="1217" w:type="dxa"/>
            <w:tcBorders>
              <w:top w:val="nil"/>
              <w:left w:val="nil"/>
              <w:bottom w:val="nil"/>
              <w:right w:val="nil"/>
            </w:tcBorders>
            <w:shd w:val="clear" w:color="auto" w:fill="auto"/>
          </w:tcPr>
          <w:p w:rsidR="00617CB0" w:rsidRPr="00980C21" w:rsidRDefault="00617CB0" w:rsidP="000D7011">
            <w:pPr>
              <w:pStyle w:val="Tabletext"/>
              <w:jc w:val="right"/>
              <w:rPr>
                <w:b/>
              </w:rPr>
            </w:pPr>
            <w:r w:rsidRPr="00980C21">
              <w:rPr>
                <w:b/>
              </w:rPr>
              <w:t>2016</w:t>
            </w:r>
          </w:p>
          <w:p w:rsidR="00617CB0" w:rsidRPr="00980C21" w:rsidRDefault="00617CB0" w:rsidP="000D7011">
            <w:pPr>
              <w:pStyle w:val="Tabletext"/>
              <w:jc w:val="right"/>
              <w:rPr>
                <w:b/>
              </w:rPr>
            </w:pPr>
            <w:r w:rsidRPr="00980C21">
              <w:rPr>
                <w:b/>
              </w:rPr>
              <w:t>actual</w:t>
            </w:r>
          </w:p>
          <w:p w:rsidR="00617CB0" w:rsidRPr="00980C21" w:rsidRDefault="00617CB0" w:rsidP="000D7011">
            <w:pPr>
              <w:pStyle w:val="Tabletext"/>
              <w:jc w:val="right"/>
              <w:rPr>
                <w:b/>
              </w:rPr>
            </w:pPr>
            <w:r w:rsidRPr="00980C21">
              <w:rPr>
                <w:b/>
              </w:rPr>
              <w:t>$000</w:t>
            </w:r>
          </w:p>
        </w:tc>
        <w:tc>
          <w:tcPr>
            <w:tcW w:w="1162" w:type="dxa"/>
            <w:tcBorders>
              <w:top w:val="nil"/>
              <w:left w:val="nil"/>
              <w:bottom w:val="nil"/>
              <w:right w:val="nil"/>
            </w:tcBorders>
            <w:shd w:val="clear" w:color="auto" w:fill="auto"/>
          </w:tcPr>
          <w:p w:rsidR="00617CB0" w:rsidRPr="00980C21" w:rsidRDefault="00617CB0" w:rsidP="000D7011">
            <w:pPr>
              <w:pStyle w:val="Tabletext"/>
              <w:jc w:val="right"/>
              <w:rPr>
                <w:b/>
              </w:rPr>
            </w:pPr>
            <w:r w:rsidRPr="00980C21">
              <w:rPr>
                <w:b/>
              </w:rPr>
              <w:t>Variance</w:t>
            </w:r>
          </w:p>
          <w:p w:rsidR="00617CB0" w:rsidRPr="00980C21" w:rsidRDefault="00617CB0" w:rsidP="000D7011">
            <w:pPr>
              <w:pStyle w:val="Tabletext"/>
              <w:jc w:val="right"/>
              <w:rPr>
                <w:b/>
              </w:rPr>
            </w:pPr>
            <w:r w:rsidRPr="00980C21">
              <w:rPr>
                <w:b/>
              </w:rPr>
              <w:t>$000</w:t>
            </w:r>
          </w:p>
        </w:tc>
        <w:tc>
          <w:tcPr>
            <w:tcW w:w="1217" w:type="dxa"/>
            <w:tcBorders>
              <w:top w:val="nil"/>
              <w:left w:val="nil"/>
              <w:bottom w:val="nil"/>
              <w:right w:val="nil"/>
            </w:tcBorders>
            <w:shd w:val="clear" w:color="auto" w:fill="auto"/>
          </w:tcPr>
          <w:p w:rsidR="00617CB0" w:rsidRPr="00980C21" w:rsidRDefault="00617CB0" w:rsidP="000D7011">
            <w:pPr>
              <w:pStyle w:val="Tabletext"/>
              <w:jc w:val="right"/>
              <w:rPr>
                <w:b/>
              </w:rPr>
            </w:pPr>
            <w:r w:rsidRPr="00980C21">
              <w:rPr>
                <w:b/>
              </w:rPr>
              <w:t>2016 actual</w:t>
            </w:r>
          </w:p>
          <w:p w:rsidR="00617CB0" w:rsidRPr="00980C21" w:rsidRDefault="00617CB0" w:rsidP="000D7011">
            <w:pPr>
              <w:pStyle w:val="Tabletext"/>
              <w:jc w:val="right"/>
              <w:rPr>
                <w:b/>
              </w:rPr>
            </w:pPr>
            <w:r w:rsidRPr="00980C21">
              <w:rPr>
                <w:b/>
              </w:rPr>
              <w:t>$000</w:t>
            </w:r>
          </w:p>
        </w:tc>
        <w:tc>
          <w:tcPr>
            <w:tcW w:w="1276" w:type="dxa"/>
            <w:tcBorders>
              <w:top w:val="nil"/>
              <w:left w:val="nil"/>
              <w:bottom w:val="nil"/>
              <w:right w:val="nil"/>
            </w:tcBorders>
            <w:shd w:val="clear" w:color="auto" w:fill="auto"/>
          </w:tcPr>
          <w:p w:rsidR="00617CB0" w:rsidRPr="00980C21" w:rsidRDefault="00617CB0" w:rsidP="000D7011">
            <w:pPr>
              <w:pStyle w:val="Tabletext"/>
              <w:jc w:val="right"/>
              <w:rPr>
                <w:b/>
              </w:rPr>
            </w:pPr>
            <w:r w:rsidRPr="00980C21">
              <w:rPr>
                <w:b/>
              </w:rPr>
              <w:t>2015</w:t>
            </w:r>
          </w:p>
          <w:p w:rsidR="00617CB0" w:rsidRPr="00980C21" w:rsidRDefault="00617CB0" w:rsidP="000D7011">
            <w:pPr>
              <w:pStyle w:val="Tabletext"/>
              <w:jc w:val="right"/>
              <w:rPr>
                <w:b/>
              </w:rPr>
            </w:pPr>
            <w:r w:rsidRPr="00980C21">
              <w:rPr>
                <w:b/>
              </w:rPr>
              <w:t>actual</w:t>
            </w:r>
          </w:p>
          <w:p w:rsidR="00617CB0" w:rsidRPr="00980C21" w:rsidRDefault="00617CB0" w:rsidP="000D7011">
            <w:pPr>
              <w:pStyle w:val="Tabletext"/>
              <w:jc w:val="right"/>
              <w:rPr>
                <w:b/>
              </w:rPr>
            </w:pPr>
            <w:r w:rsidRPr="00980C21">
              <w:rPr>
                <w:b/>
              </w:rPr>
              <w:t>$000</w:t>
            </w:r>
          </w:p>
        </w:tc>
        <w:tc>
          <w:tcPr>
            <w:tcW w:w="1162" w:type="dxa"/>
            <w:tcBorders>
              <w:top w:val="nil"/>
              <w:left w:val="nil"/>
              <w:bottom w:val="nil"/>
              <w:right w:val="nil"/>
            </w:tcBorders>
            <w:shd w:val="clear" w:color="auto" w:fill="auto"/>
          </w:tcPr>
          <w:p w:rsidR="00617CB0" w:rsidRPr="00980C21" w:rsidRDefault="00617CB0" w:rsidP="000D7011">
            <w:pPr>
              <w:pStyle w:val="Tabletext"/>
              <w:jc w:val="right"/>
              <w:rPr>
                <w:b/>
              </w:rPr>
            </w:pPr>
            <w:r w:rsidRPr="00980C21">
              <w:rPr>
                <w:b/>
              </w:rPr>
              <w:t>Variance</w:t>
            </w:r>
          </w:p>
          <w:p w:rsidR="00617CB0" w:rsidRPr="00980C21" w:rsidRDefault="00617CB0" w:rsidP="000D7011">
            <w:pPr>
              <w:pStyle w:val="Tabletext"/>
              <w:jc w:val="right"/>
              <w:rPr>
                <w:b/>
              </w:rPr>
            </w:pPr>
            <w:r w:rsidRPr="00980C21">
              <w:rPr>
                <w:b/>
              </w:rPr>
              <w:t>$000</w:t>
            </w:r>
          </w:p>
          <w:p w:rsidR="00617CB0" w:rsidRPr="00980C21" w:rsidRDefault="00617CB0" w:rsidP="000D7011">
            <w:pPr>
              <w:pStyle w:val="Tabletext"/>
              <w:jc w:val="right"/>
              <w:rPr>
                <w:b/>
              </w:rPr>
            </w:pPr>
          </w:p>
        </w:tc>
      </w:tr>
      <w:tr w:rsidR="00617CB0" w:rsidRPr="00022D33" w:rsidTr="000D7011">
        <w:tc>
          <w:tcPr>
            <w:tcW w:w="10201" w:type="dxa"/>
            <w:gridSpan w:val="7"/>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Other revenue</w:t>
            </w:r>
          </w:p>
        </w:tc>
      </w:tr>
      <w:tr w:rsidR="00617CB0" w:rsidRPr="00022D33" w:rsidTr="000D7011">
        <w:tc>
          <w:tcPr>
            <w:tcW w:w="3038" w:type="dxa"/>
            <w:tcBorders>
              <w:top w:val="nil"/>
              <w:left w:val="nil"/>
              <w:bottom w:val="nil"/>
              <w:right w:val="nil"/>
            </w:tcBorders>
            <w:shd w:val="clear" w:color="auto" w:fill="auto"/>
          </w:tcPr>
          <w:p w:rsidR="00617CB0" w:rsidRPr="00022D33" w:rsidRDefault="00617CB0" w:rsidP="000D7011">
            <w:pPr>
              <w:pStyle w:val="Tabletext"/>
            </w:pPr>
            <w:r w:rsidRPr="00022D33">
              <w:t xml:space="preserve">Office lease rental revenue </w:t>
            </w:r>
          </w:p>
        </w:tc>
        <w:tc>
          <w:tcPr>
            <w:tcW w:w="1129" w:type="dxa"/>
            <w:tcBorders>
              <w:top w:val="nil"/>
              <w:left w:val="nil"/>
              <w:bottom w:val="nil"/>
              <w:right w:val="nil"/>
            </w:tcBorders>
            <w:shd w:val="clear" w:color="auto" w:fill="auto"/>
          </w:tcPr>
          <w:p w:rsidR="00617CB0" w:rsidRPr="00022D33" w:rsidRDefault="00617CB0" w:rsidP="000D7011">
            <w:pPr>
              <w:pStyle w:val="Tabletext"/>
              <w:jc w:val="right"/>
            </w:pPr>
            <w:r w:rsidRPr="00022D33">
              <w:t>45,351</w:t>
            </w:r>
          </w:p>
        </w:tc>
        <w:tc>
          <w:tcPr>
            <w:tcW w:w="1217" w:type="dxa"/>
            <w:tcBorders>
              <w:top w:val="nil"/>
              <w:left w:val="nil"/>
              <w:bottom w:val="nil"/>
              <w:right w:val="nil"/>
            </w:tcBorders>
            <w:shd w:val="clear" w:color="auto" w:fill="auto"/>
          </w:tcPr>
          <w:p w:rsidR="00617CB0" w:rsidRPr="00022D33" w:rsidRDefault="00617CB0" w:rsidP="000D7011">
            <w:pPr>
              <w:pStyle w:val="Tabletext"/>
              <w:jc w:val="right"/>
            </w:pPr>
            <w:r w:rsidRPr="00022D33">
              <w:t>41,623</w:t>
            </w:r>
          </w:p>
        </w:tc>
        <w:tc>
          <w:tcPr>
            <w:tcW w:w="1162" w:type="dxa"/>
            <w:tcBorders>
              <w:top w:val="nil"/>
              <w:left w:val="nil"/>
              <w:bottom w:val="nil"/>
              <w:right w:val="nil"/>
            </w:tcBorders>
            <w:shd w:val="clear" w:color="auto" w:fill="auto"/>
          </w:tcPr>
          <w:p w:rsidR="00617CB0" w:rsidRPr="00022D33" w:rsidRDefault="00617CB0" w:rsidP="000D7011">
            <w:pPr>
              <w:pStyle w:val="Tabletext"/>
              <w:jc w:val="right"/>
            </w:pPr>
            <w:r w:rsidRPr="00022D33">
              <w:t>(3,728)</w:t>
            </w:r>
          </w:p>
        </w:tc>
        <w:tc>
          <w:tcPr>
            <w:tcW w:w="1217" w:type="dxa"/>
            <w:tcBorders>
              <w:top w:val="nil"/>
              <w:left w:val="nil"/>
              <w:bottom w:val="nil"/>
              <w:right w:val="nil"/>
            </w:tcBorders>
            <w:shd w:val="clear" w:color="auto" w:fill="auto"/>
          </w:tcPr>
          <w:p w:rsidR="00617CB0" w:rsidRPr="00022D33" w:rsidRDefault="00617CB0" w:rsidP="000D7011">
            <w:pPr>
              <w:pStyle w:val="Tabletext"/>
              <w:jc w:val="right"/>
            </w:pPr>
            <w:r w:rsidRPr="00022D33">
              <w:t>41,623</w:t>
            </w:r>
          </w:p>
        </w:tc>
        <w:tc>
          <w:tcPr>
            <w:tcW w:w="1276" w:type="dxa"/>
            <w:tcBorders>
              <w:top w:val="nil"/>
              <w:left w:val="nil"/>
              <w:bottom w:val="nil"/>
              <w:right w:val="nil"/>
            </w:tcBorders>
            <w:shd w:val="clear" w:color="auto" w:fill="auto"/>
          </w:tcPr>
          <w:p w:rsidR="00617CB0" w:rsidRPr="00022D33" w:rsidRDefault="00617CB0" w:rsidP="000D7011">
            <w:pPr>
              <w:pStyle w:val="Tabletext"/>
              <w:jc w:val="right"/>
            </w:pPr>
            <w:r w:rsidRPr="00022D33">
              <w:t>41,768</w:t>
            </w:r>
          </w:p>
        </w:tc>
        <w:tc>
          <w:tcPr>
            <w:tcW w:w="1162" w:type="dxa"/>
            <w:tcBorders>
              <w:top w:val="nil"/>
              <w:left w:val="nil"/>
              <w:bottom w:val="nil"/>
              <w:right w:val="nil"/>
            </w:tcBorders>
            <w:shd w:val="clear" w:color="auto" w:fill="auto"/>
          </w:tcPr>
          <w:p w:rsidR="00617CB0" w:rsidRPr="00022D33" w:rsidRDefault="00617CB0" w:rsidP="000D7011">
            <w:pPr>
              <w:pStyle w:val="Tabletext"/>
              <w:jc w:val="right"/>
            </w:pPr>
            <w:r w:rsidRPr="00022D33">
              <w:t>(145)</w:t>
            </w:r>
          </w:p>
        </w:tc>
      </w:tr>
      <w:tr w:rsidR="00617CB0" w:rsidRPr="00022D33" w:rsidTr="000D7011">
        <w:tc>
          <w:tcPr>
            <w:tcW w:w="3038" w:type="dxa"/>
            <w:tcBorders>
              <w:top w:val="nil"/>
              <w:left w:val="nil"/>
              <w:bottom w:val="nil"/>
              <w:right w:val="nil"/>
            </w:tcBorders>
            <w:shd w:val="clear" w:color="auto" w:fill="auto"/>
          </w:tcPr>
          <w:p w:rsidR="00617CB0" w:rsidRPr="00022D33" w:rsidRDefault="00617CB0" w:rsidP="000D7011">
            <w:pPr>
              <w:pStyle w:val="Tabletext"/>
            </w:pPr>
            <w:r w:rsidRPr="00022D33">
              <w:t>Other income</w:t>
            </w:r>
          </w:p>
        </w:tc>
        <w:tc>
          <w:tcPr>
            <w:tcW w:w="1129"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64,464</w:t>
            </w:r>
          </w:p>
        </w:tc>
        <w:tc>
          <w:tcPr>
            <w:tcW w:w="1217"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63,043</w:t>
            </w:r>
          </w:p>
        </w:tc>
        <w:tc>
          <w:tcPr>
            <w:tcW w:w="1162"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(1,421)</w:t>
            </w:r>
          </w:p>
        </w:tc>
        <w:tc>
          <w:tcPr>
            <w:tcW w:w="1217"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63,043</w:t>
            </w:r>
          </w:p>
        </w:tc>
        <w:tc>
          <w:tcPr>
            <w:tcW w:w="1276"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63,230</w:t>
            </w:r>
          </w:p>
        </w:tc>
        <w:tc>
          <w:tcPr>
            <w:tcW w:w="1162"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(187)</w:t>
            </w:r>
          </w:p>
        </w:tc>
      </w:tr>
      <w:tr w:rsidR="00617CB0" w:rsidRPr="00022D33" w:rsidTr="000D7011">
        <w:tc>
          <w:tcPr>
            <w:tcW w:w="3038" w:type="dxa"/>
            <w:tcBorders>
              <w:top w:val="nil"/>
              <w:left w:val="nil"/>
              <w:bottom w:val="nil"/>
              <w:right w:val="nil"/>
            </w:tcBorders>
            <w:shd w:val="clear" w:color="auto" w:fill="auto"/>
          </w:tcPr>
          <w:p w:rsidR="00617CB0" w:rsidRPr="00022D33" w:rsidRDefault="00617CB0" w:rsidP="000D7011">
            <w:pPr>
              <w:pStyle w:val="Tableboldedtext"/>
            </w:pPr>
            <w:r w:rsidRPr="00022D33">
              <w:t>Total other revenue</w:t>
            </w:r>
          </w:p>
        </w:tc>
        <w:tc>
          <w:tcPr>
            <w:tcW w:w="1129"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rPr>
                <w:b/>
              </w:rPr>
            </w:pPr>
            <w:r w:rsidRPr="00022D33">
              <w:rPr>
                <w:b/>
              </w:rPr>
              <w:t>109,815</w:t>
            </w:r>
          </w:p>
        </w:tc>
        <w:tc>
          <w:tcPr>
            <w:tcW w:w="1217"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rPr>
                <w:b/>
              </w:rPr>
            </w:pPr>
            <w:r w:rsidRPr="00022D33">
              <w:rPr>
                <w:b/>
              </w:rPr>
              <w:t>104,666</w:t>
            </w:r>
          </w:p>
        </w:tc>
        <w:tc>
          <w:tcPr>
            <w:tcW w:w="1162"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rPr>
                <w:b/>
              </w:rPr>
            </w:pPr>
            <w:r w:rsidRPr="00022D33">
              <w:rPr>
                <w:b/>
              </w:rPr>
              <w:t>(5,149)</w:t>
            </w:r>
          </w:p>
        </w:tc>
        <w:tc>
          <w:tcPr>
            <w:tcW w:w="1217"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rPr>
                <w:b/>
              </w:rPr>
            </w:pPr>
            <w:r w:rsidRPr="00022D33">
              <w:rPr>
                <w:b/>
              </w:rPr>
              <w:t>104,666</w:t>
            </w:r>
          </w:p>
        </w:tc>
        <w:tc>
          <w:tcPr>
            <w:tcW w:w="1276"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rPr>
                <w:b/>
              </w:rPr>
            </w:pPr>
            <w:r w:rsidRPr="00022D33">
              <w:rPr>
                <w:b/>
              </w:rPr>
              <w:t>104,998</w:t>
            </w:r>
          </w:p>
        </w:tc>
        <w:tc>
          <w:tcPr>
            <w:tcW w:w="1162"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rPr>
                <w:b/>
              </w:rPr>
            </w:pPr>
            <w:r w:rsidRPr="00022D33">
              <w:rPr>
                <w:b/>
              </w:rPr>
              <w:t>(332)</w:t>
            </w:r>
          </w:p>
        </w:tc>
      </w:tr>
      <w:tr w:rsidR="00617CB0" w:rsidRPr="00022D33" w:rsidTr="000D7011">
        <w:tc>
          <w:tcPr>
            <w:tcW w:w="10201" w:type="dxa"/>
            <w:gridSpan w:val="7"/>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Appropriations</w:t>
            </w:r>
          </w:p>
        </w:tc>
      </w:tr>
      <w:tr w:rsidR="00617CB0" w:rsidRPr="00022D33" w:rsidTr="000D7011">
        <w:tc>
          <w:tcPr>
            <w:tcW w:w="3038" w:type="dxa"/>
            <w:tcBorders>
              <w:top w:val="nil"/>
              <w:left w:val="nil"/>
              <w:bottom w:val="nil"/>
              <w:right w:val="nil"/>
            </w:tcBorders>
            <w:shd w:val="clear" w:color="auto" w:fill="auto"/>
          </w:tcPr>
          <w:p w:rsidR="00617CB0" w:rsidRPr="00022D33" w:rsidRDefault="003E1591" w:rsidP="000D7011">
            <w:pPr>
              <w:pStyle w:val="Tabletext"/>
              <w:rPr>
                <w:i/>
              </w:rPr>
            </w:pPr>
            <w:hyperlink r:id="rId12" w:history="1">
              <w:r w:rsidR="00617CB0" w:rsidRPr="00022D33">
                <w:rPr>
                  <w:i/>
                </w:rPr>
                <w:t>First Home Owner Grant Act 2000</w:t>
              </w:r>
            </w:hyperlink>
          </w:p>
        </w:tc>
        <w:tc>
          <w:tcPr>
            <w:tcW w:w="1129" w:type="dxa"/>
            <w:tcBorders>
              <w:top w:val="nil"/>
              <w:left w:val="nil"/>
              <w:bottom w:val="nil"/>
              <w:right w:val="nil"/>
            </w:tcBorders>
            <w:shd w:val="clear" w:color="auto" w:fill="auto"/>
          </w:tcPr>
          <w:p w:rsidR="00617CB0" w:rsidRPr="00022D33" w:rsidRDefault="00617CB0" w:rsidP="000D7011">
            <w:pPr>
              <w:pStyle w:val="Tabletext"/>
              <w:jc w:val="right"/>
            </w:pPr>
            <w:r w:rsidRPr="00022D33">
              <w:t>88,117</w:t>
            </w:r>
          </w:p>
        </w:tc>
        <w:tc>
          <w:tcPr>
            <w:tcW w:w="1217" w:type="dxa"/>
            <w:tcBorders>
              <w:top w:val="nil"/>
              <w:left w:val="nil"/>
              <w:bottom w:val="nil"/>
              <w:right w:val="nil"/>
            </w:tcBorders>
            <w:shd w:val="clear" w:color="auto" w:fill="auto"/>
          </w:tcPr>
          <w:p w:rsidR="00617CB0" w:rsidRPr="00022D33" w:rsidRDefault="00617CB0" w:rsidP="000D7011">
            <w:pPr>
              <w:pStyle w:val="Tabletext"/>
              <w:jc w:val="right"/>
            </w:pPr>
            <w:r w:rsidRPr="00022D33">
              <w:t>98,582</w:t>
            </w:r>
          </w:p>
        </w:tc>
        <w:tc>
          <w:tcPr>
            <w:tcW w:w="1162" w:type="dxa"/>
            <w:tcBorders>
              <w:top w:val="nil"/>
              <w:left w:val="nil"/>
              <w:bottom w:val="nil"/>
              <w:right w:val="nil"/>
            </w:tcBorders>
            <w:shd w:val="clear" w:color="auto" w:fill="auto"/>
          </w:tcPr>
          <w:p w:rsidR="00617CB0" w:rsidRPr="00022D33" w:rsidRDefault="00617CB0" w:rsidP="000D7011">
            <w:pPr>
              <w:pStyle w:val="Tabletext"/>
              <w:jc w:val="right"/>
            </w:pPr>
            <w:r w:rsidRPr="00022D33">
              <w:t>10,465</w:t>
            </w:r>
          </w:p>
        </w:tc>
        <w:tc>
          <w:tcPr>
            <w:tcW w:w="1217" w:type="dxa"/>
            <w:tcBorders>
              <w:top w:val="nil"/>
              <w:left w:val="nil"/>
              <w:bottom w:val="nil"/>
              <w:right w:val="nil"/>
            </w:tcBorders>
            <w:shd w:val="clear" w:color="auto" w:fill="auto"/>
          </w:tcPr>
          <w:p w:rsidR="00617CB0" w:rsidRPr="00022D33" w:rsidRDefault="00617CB0" w:rsidP="000D7011">
            <w:pPr>
              <w:pStyle w:val="Tabletext"/>
              <w:jc w:val="right"/>
            </w:pPr>
            <w:r w:rsidRPr="00022D33">
              <w:t>98,582</w:t>
            </w:r>
          </w:p>
        </w:tc>
        <w:tc>
          <w:tcPr>
            <w:tcW w:w="1276" w:type="dxa"/>
            <w:tcBorders>
              <w:top w:val="nil"/>
              <w:left w:val="nil"/>
              <w:bottom w:val="nil"/>
              <w:right w:val="nil"/>
            </w:tcBorders>
            <w:shd w:val="clear" w:color="auto" w:fill="auto"/>
          </w:tcPr>
          <w:p w:rsidR="00617CB0" w:rsidRPr="00022D33" w:rsidRDefault="00617CB0" w:rsidP="000D7011">
            <w:pPr>
              <w:pStyle w:val="Tabletext"/>
              <w:jc w:val="right"/>
            </w:pPr>
            <w:r w:rsidRPr="00022D33">
              <w:t>115,904</w:t>
            </w:r>
          </w:p>
        </w:tc>
        <w:tc>
          <w:tcPr>
            <w:tcW w:w="1162" w:type="dxa"/>
            <w:tcBorders>
              <w:top w:val="nil"/>
              <w:left w:val="nil"/>
              <w:bottom w:val="nil"/>
              <w:right w:val="nil"/>
            </w:tcBorders>
            <w:shd w:val="clear" w:color="auto" w:fill="auto"/>
          </w:tcPr>
          <w:p w:rsidR="00617CB0" w:rsidRPr="00022D33" w:rsidRDefault="00617CB0" w:rsidP="000D7011">
            <w:pPr>
              <w:pStyle w:val="Tabletext"/>
              <w:jc w:val="right"/>
            </w:pPr>
            <w:r w:rsidRPr="00022D33">
              <w:t>(17,322)</w:t>
            </w:r>
          </w:p>
        </w:tc>
      </w:tr>
      <w:tr w:rsidR="00617CB0" w:rsidRPr="00022D33" w:rsidTr="000D7011">
        <w:tc>
          <w:tcPr>
            <w:tcW w:w="3038" w:type="dxa"/>
            <w:tcBorders>
              <w:top w:val="nil"/>
              <w:left w:val="nil"/>
              <w:bottom w:val="nil"/>
              <w:right w:val="nil"/>
            </w:tcBorders>
            <w:shd w:val="clear" w:color="auto" w:fill="auto"/>
          </w:tcPr>
          <w:p w:rsidR="00617CB0" w:rsidRPr="00022D33" w:rsidRDefault="00617CB0" w:rsidP="000D7011">
            <w:pPr>
              <w:pStyle w:val="Tabletext"/>
            </w:pPr>
            <w:r w:rsidRPr="00022D33">
              <w:t>Administered grants and transfer payments</w:t>
            </w:r>
          </w:p>
        </w:tc>
        <w:tc>
          <w:tcPr>
            <w:tcW w:w="1129"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203,208</w:t>
            </w:r>
          </w:p>
        </w:tc>
        <w:tc>
          <w:tcPr>
            <w:tcW w:w="1217"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148,881</w:t>
            </w:r>
          </w:p>
        </w:tc>
        <w:tc>
          <w:tcPr>
            <w:tcW w:w="1162"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(54,327)</w:t>
            </w:r>
          </w:p>
        </w:tc>
        <w:tc>
          <w:tcPr>
            <w:tcW w:w="1217"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148,881</w:t>
            </w:r>
          </w:p>
        </w:tc>
        <w:tc>
          <w:tcPr>
            <w:tcW w:w="1276"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148,030</w:t>
            </w:r>
          </w:p>
        </w:tc>
        <w:tc>
          <w:tcPr>
            <w:tcW w:w="1162"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851</w:t>
            </w:r>
          </w:p>
        </w:tc>
      </w:tr>
      <w:tr w:rsidR="00617CB0" w:rsidRPr="00022D33" w:rsidTr="000D7011">
        <w:trPr>
          <w:trHeight w:val="98"/>
        </w:trPr>
        <w:tc>
          <w:tcPr>
            <w:tcW w:w="3038" w:type="dxa"/>
            <w:tcBorders>
              <w:top w:val="nil"/>
              <w:left w:val="nil"/>
              <w:bottom w:val="nil"/>
              <w:right w:val="nil"/>
            </w:tcBorders>
            <w:shd w:val="clear" w:color="auto" w:fill="auto"/>
          </w:tcPr>
          <w:p w:rsidR="00617CB0" w:rsidRPr="00022D33" w:rsidRDefault="00617CB0" w:rsidP="000D7011">
            <w:pPr>
              <w:pStyle w:val="BodyText"/>
            </w:pPr>
          </w:p>
        </w:tc>
        <w:tc>
          <w:tcPr>
            <w:tcW w:w="1129"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rPr>
                <w:b/>
              </w:rPr>
            </w:pPr>
            <w:r w:rsidRPr="00022D33">
              <w:rPr>
                <w:b/>
              </w:rPr>
              <w:t>291,325</w:t>
            </w:r>
          </w:p>
        </w:tc>
        <w:tc>
          <w:tcPr>
            <w:tcW w:w="1217"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rPr>
                <w:b/>
              </w:rPr>
            </w:pPr>
            <w:r w:rsidRPr="00022D33">
              <w:rPr>
                <w:b/>
              </w:rPr>
              <w:t>247,463</w:t>
            </w:r>
          </w:p>
        </w:tc>
        <w:tc>
          <w:tcPr>
            <w:tcW w:w="1162"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rPr>
                <w:b/>
              </w:rPr>
            </w:pPr>
            <w:r w:rsidRPr="00022D33">
              <w:rPr>
                <w:b/>
              </w:rPr>
              <w:t>(43,862)</w:t>
            </w:r>
          </w:p>
        </w:tc>
        <w:tc>
          <w:tcPr>
            <w:tcW w:w="1217"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rPr>
                <w:b/>
              </w:rPr>
            </w:pPr>
            <w:r w:rsidRPr="00022D33">
              <w:rPr>
                <w:b/>
              </w:rPr>
              <w:t>247,463</w:t>
            </w:r>
          </w:p>
        </w:tc>
        <w:tc>
          <w:tcPr>
            <w:tcW w:w="1276"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rPr>
                <w:b/>
              </w:rPr>
            </w:pPr>
            <w:r w:rsidRPr="00022D33">
              <w:rPr>
                <w:b/>
              </w:rPr>
              <w:t>263,934</w:t>
            </w:r>
          </w:p>
        </w:tc>
        <w:tc>
          <w:tcPr>
            <w:tcW w:w="1162"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rPr>
                <w:b/>
              </w:rPr>
            </w:pPr>
            <w:r w:rsidRPr="00022D33">
              <w:rPr>
                <w:b/>
              </w:rPr>
              <w:t>(16,471)</w:t>
            </w:r>
          </w:p>
        </w:tc>
      </w:tr>
      <w:tr w:rsidR="00617CB0" w:rsidRPr="00022D33" w:rsidTr="000D7011">
        <w:tc>
          <w:tcPr>
            <w:tcW w:w="3038" w:type="dxa"/>
            <w:tcBorders>
              <w:top w:val="nil"/>
              <w:left w:val="nil"/>
              <w:bottom w:val="nil"/>
              <w:right w:val="nil"/>
            </w:tcBorders>
            <w:shd w:val="clear" w:color="auto" w:fill="auto"/>
          </w:tcPr>
          <w:p w:rsidR="00617CB0" w:rsidRPr="00022D33" w:rsidRDefault="00617CB0" w:rsidP="000D7011">
            <w:pPr>
              <w:pStyle w:val="Tableboldedtext"/>
            </w:pPr>
            <w:r w:rsidRPr="00022D33">
              <w:t>TOTAL INCOME ESTIMATES</w:t>
            </w:r>
          </w:p>
        </w:tc>
        <w:tc>
          <w:tcPr>
            <w:tcW w:w="1129"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text"/>
              <w:jc w:val="right"/>
              <w:rPr>
                <w:b/>
              </w:rPr>
            </w:pPr>
            <w:r w:rsidRPr="00022D33">
              <w:rPr>
                <w:b/>
              </w:rPr>
              <w:t>8,299,068</w:t>
            </w:r>
          </w:p>
        </w:tc>
        <w:tc>
          <w:tcPr>
            <w:tcW w:w="1217"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text"/>
              <w:jc w:val="right"/>
              <w:rPr>
                <w:b/>
              </w:rPr>
            </w:pPr>
            <w:r w:rsidRPr="00022D33">
              <w:rPr>
                <w:b/>
              </w:rPr>
              <w:t>7,667,246</w:t>
            </w:r>
          </w:p>
        </w:tc>
        <w:tc>
          <w:tcPr>
            <w:tcW w:w="1162"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text"/>
              <w:jc w:val="right"/>
              <w:rPr>
                <w:b/>
              </w:rPr>
            </w:pPr>
            <w:r w:rsidRPr="00022D33">
              <w:rPr>
                <w:b/>
              </w:rPr>
              <w:t>(631,822)</w:t>
            </w:r>
          </w:p>
        </w:tc>
        <w:tc>
          <w:tcPr>
            <w:tcW w:w="1217"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text"/>
              <w:jc w:val="right"/>
              <w:rPr>
                <w:b/>
              </w:rPr>
            </w:pPr>
            <w:r w:rsidRPr="00022D33">
              <w:rPr>
                <w:b/>
              </w:rPr>
              <w:t>7,667,246</w:t>
            </w:r>
          </w:p>
        </w:tc>
        <w:tc>
          <w:tcPr>
            <w:tcW w:w="1276"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text"/>
              <w:jc w:val="right"/>
              <w:rPr>
                <w:b/>
              </w:rPr>
            </w:pPr>
            <w:r w:rsidRPr="00022D33">
              <w:rPr>
                <w:b/>
              </w:rPr>
              <w:t>7,548,213</w:t>
            </w:r>
          </w:p>
        </w:tc>
        <w:tc>
          <w:tcPr>
            <w:tcW w:w="1162"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text"/>
              <w:jc w:val="right"/>
              <w:rPr>
                <w:b/>
              </w:rPr>
            </w:pPr>
            <w:r w:rsidRPr="00022D33">
              <w:rPr>
                <w:b/>
              </w:rPr>
              <w:t>119,033</w:t>
            </w:r>
          </w:p>
        </w:tc>
      </w:tr>
    </w:tbl>
    <w:p w:rsidR="00617CB0" w:rsidRPr="00022D33" w:rsidRDefault="00617CB0" w:rsidP="00617CB0">
      <w:pPr>
        <w:pStyle w:val="BodyText"/>
      </w:pPr>
      <w:r w:rsidRPr="00022D33">
        <w:t>Adjustments comprise movements in cash balances and other accrual items such as receivables, payables and superannuation.</w:t>
      </w:r>
    </w:p>
    <w:p w:rsidR="00617CB0" w:rsidRPr="00022D33" w:rsidRDefault="00617CB0" w:rsidP="00617CB0">
      <w:pPr>
        <w:pStyle w:val="BodyText"/>
      </w:pPr>
      <w:r w:rsidRPr="00022D33">
        <w:t>Note 43 'Explanatory statement' and Note 45 'Explanatory statement for Administered Items - Income and Expenses' provide details of any significant variations between estimates and actual results for 2016 and between the actual results for 2016 and 2015.</w:t>
      </w:r>
    </w:p>
    <w:p w:rsidR="00617CB0" w:rsidRPr="00022D33" w:rsidRDefault="00617CB0" w:rsidP="00617CB0">
      <w:pPr>
        <w:pStyle w:val="BodyText"/>
      </w:pPr>
    </w:p>
    <w:p w:rsidR="00617CB0" w:rsidRPr="00022D33" w:rsidRDefault="00617CB0" w:rsidP="00617CB0">
      <w:pPr>
        <w:pStyle w:val="BodyText"/>
        <w:sectPr w:rsidR="00617CB0" w:rsidRPr="00022D33" w:rsidSect="000D7011">
          <w:pgSz w:w="11906" w:h="16838" w:code="9"/>
          <w:pgMar w:top="1440" w:right="851" w:bottom="851" w:left="851" w:header="0" w:footer="709" w:gutter="0"/>
          <w:cols w:space="708"/>
          <w:docGrid w:linePitch="360"/>
        </w:sectPr>
      </w:pPr>
    </w:p>
    <w:p w:rsidR="00617CB0" w:rsidRPr="00022D33" w:rsidRDefault="00617CB0" w:rsidP="00617CB0">
      <w:pPr>
        <w:pStyle w:val="Heading2"/>
      </w:pPr>
      <w:r w:rsidRPr="00022D33">
        <w:lastRenderedPageBreak/>
        <w:t>Schedule of Income and Expenses by Service</w:t>
      </w:r>
    </w:p>
    <w:p w:rsidR="00617CB0" w:rsidRPr="00022D33" w:rsidRDefault="00617CB0" w:rsidP="00617CB0">
      <w:pPr>
        <w:pStyle w:val="Heading3"/>
      </w:pPr>
      <w:r w:rsidRPr="00022D33">
        <w:t>For the year ended 30 June 2016</w:t>
      </w:r>
    </w:p>
    <w:p w:rsidR="00617CB0" w:rsidRPr="00022D33" w:rsidRDefault="00196F4C" w:rsidP="00617CB0">
      <w:pPr>
        <w:pStyle w:val="Caption"/>
        <w:keepNext/>
        <w:spacing w:after="60"/>
        <w:rPr>
          <w:noProof/>
        </w:rPr>
      </w:pPr>
      <w:fldSimple w:instr=" SEQ Table \* ARABIC ">
        <w:r w:rsidR="00D8778B">
          <w:rPr>
            <w:noProof/>
          </w:rPr>
          <w:t>10</w:t>
        </w:r>
      </w:fldSimple>
      <w:r w:rsidR="00617CB0" w:rsidRPr="00022D33">
        <w:rPr>
          <w:noProof/>
        </w:rPr>
        <w:t xml:space="preserve"> Schedule of Income and Expenses by Service. For the year ended 30 June 2016</w:t>
      </w:r>
    </w:p>
    <w:tbl>
      <w:tblPr>
        <w:tblW w:w="14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562"/>
        <w:gridCol w:w="562"/>
        <w:gridCol w:w="961"/>
        <w:gridCol w:w="961"/>
        <w:gridCol w:w="961"/>
        <w:gridCol w:w="961"/>
        <w:gridCol w:w="850"/>
        <w:gridCol w:w="961"/>
        <w:gridCol w:w="1106"/>
        <w:gridCol w:w="1106"/>
        <w:gridCol w:w="961"/>
        <w:gridCol w:w="961"/>
        <w:gridCol w:w="1106"/>
        <w:gridCol w:w="1106"/>
      </w:tblGrid>
      <w:tr w:rsidR="00617CB0" w:rsidRPr="00022D33" w:rsidTr="000D7011">
        <w:trPr>
          <w:tblHeader/>
        </w:trPr>
        <w:tc>
          <w:tcPr>
            <w:tcW w:w="1638" w:type="dxa"/>
            <w:tcBorders>
              <w:top w:val="nil"/>
              <w:left w:val="nil"/>
              <w:bottom w:val="nil"/>
              <w:right w:val="nil"/>
            </w:tcBorders>
            <w:shd w:val="clear" w:color="auto" w:fill="auto"/>
          </w:tcPr>
          <w:p w:rsidR="00617CB0" w:rsidRPr="00022D33" w:rsidRDefault="00617CB0" w:rsidP="000D7011">
            <w:pPr>
              <w:pStyle w:val="BodyText"/>
            </w:pPr>
          </w:p>
        </w:tc>
        <w:tc>
          <w:tcPr>
            <w:tcW w:w="562" w:type="dxa"/>
            <w:tcBorders>
              <w:top w:val="nil"/>
              <w:left w:val="nil"/>
              <w:bottom w:val="nil"/>
              <w:right w:val="nil"/>
            </w:tcBorders>
          </w:tcPr>
          <w:p w:rsidR="00617CB0" w:rsidRPr="00022D33" w:rsidRDefault="00617CB0" w:rsidP="000D7011">
            <w:pPr>
              <w:pStyle w:val="Tableboldedtext"/>
              <w:jc w:val="center"/>
            </w:pPr>
          </w:p>
        </w:tc>
        <w:tc>
          <w:tcPr>
            <w:tcW w:w="562" w:type="dxa"/>
            <w:tcBorders>
              <w:top w:val="nil"/>
              <w:left w:val="nil"/>
              <w:bottom w:val="nil"/>
              <w:right w:val="nil"/>
            </w:tcBorders>
          </w:tcPr>
          <w:p w:rsidR="00617CB0" w:rsidRPr="00022D33" w:rsidRDefault="00617CB0" w:rsidP="000D7011">
            <w:pPr>
              <w:pStyle w:val="Tableboldedtext"/>
              <w:jc w:val="center"/>
            </w:pPr>
          </w:p>
        </w:tc>
        <w:tc>
          <w:tcPr>
            <w:tcW w:w="1922" w:type="dxa"/>
            <w:gridSpan w:val="2"/>
            <w:tcBorders>
              <w:top w:val="nil"/>
              <w:left w:val="nil"/>
              <w:bottom w:val="nil"/>
              <w:right w:val="nil"/>
            </w:tcBorders>
            <w:shd w:val="clear" w:color="auto" w:fill="auto"/>
          </w:tcPr>
          <w:p w:rsidR="00617CB0" w:rsidRPr="00022D33" w:rsidRDefault="00617CB0" w:rsidP="000D7011">
            <w:pPr>
              <w:pStyle w:val="Tableboldedtext"/>
              <w:jc w:val="center"/>
            </w:pPr>
            <w:r w:rsidRPr="00022D33">
              <w:t>Service 1</w:t>
            </w:r>
          </w:p>
        </w:tc>
        <w:tc>
          <w:tcPr>
            <w:tcW w:w="1922" w:type="dxa"/>
            <w:gridSpan w:val="2"/>
            <w:tcBorders>
              <w:top w:val="nil"/>
              <w:left w:val="nil"/>
              <w:bottom w:val="nil"/>
              <w:right w:val="nil"/>
            </w:tcBorders>
            <w:shd w:val="clear" w:color="auto" w:fill="auto"/>
          </w:tcPr>
          <w:p w:rsidR="00617CB0" w:rsidRPr="00022D33" w:rsidRDefault="00617CB0" w:rsidP="000D7011">
            <w:pPr>
              <w:pStyle w:val="Tableboldedtext"/>
              <w:jc w:val="center"/>
            </w:pPr>
            <w:r w:rsidRPr="00022D33">
              <w:t>Service 2</w:t>
            </w:r>
          </w:p>
        </w:tc>
        <w:tc>
          <w:tcPr>
            <w:tcW w:w="1811" w:type="dxa"/>
            <w:gridSpan w:val="2"/>
            <w:tcBorders>
              <w:top w:val="nil"/>
              <w:left w:val="nil"/>
              <w:bottom w:val="nil"/>
              <w:right w:val="nil"/>
            </w:tcBorders>
            <w:shd w:val="clear" w:color="auto" w:fill="auto"/>
          </w:tcPr>
          <w:p w:rsidR="00617CB0" w:rsidRPr="00022D33" w:rsidRDefault="00617CB0" w:rsidP="000D7011">
            <w:pPr>
              <w:pStyle w:val="Tableboldedtext"/>
              <w:jc w:val="center"/>
            </w:pPr>
            <w:r w:rsidRPr="00022D33">
              <w:t>Service 3</w:t>
            </w:r>
          </w:p>
        </w:tc>
        <w:tc>
          <w:tcPr>
            <w:tcW w:w="2212" w:type="dxa"/>
            <w:gridSpan w:val="2"/>
            <w:tcBorders>
              <w:top w:val="nil"/>
              <w:left w:val="nil"/>
              <w:bottom w:val="nil"/>
              <w:right w:val="nil"/>
            </w:tcBorders>
            <w:shd w:val="clear" w:color="auto" w:fill="auto"/>
          </w:tcPr>
          <w:p w:rsidR="00617CB0" w:rsidRPr="00022D33" w:rsidRDefault="00617CB0" w:rsidP="000D7011">
            <w:pPr>
              <w:pStyle w:val="Tableboldedtext"/>
              <w:jc w:val="center"/>
            </w:pPr>
            <w:r w:rsidRPr="00022D33">
              <w:t>Service 4</w:t>
            </w:r>
          </w:p>
          <w:p w:rsidR="00617CB0" w:rsidRPr="00022D33" w:rsidRDefault="00617CB0" w:rsidP="000D7011">
            <w:pPr>
              <w:pStyle w:val="Tableboldedtext"/>
              <w:jc w:val="center"/>
            </w:pPr>
          </w:p>
        </w:tc>
        <w:tc>
          <w:tcPr>
            <w:tcW w:w="1922" w:type="dxa"/>
            <w:gridSpan w:val="2"/>
            <w:tcBorders>
              <w:top w:val="nil"/>
              <w:left w:val="nil"/>
              <w:bottom w:val="nil"/>
              <w:right w:val="nil"/>
            </w:tcBorders>
            <w:shd w:val="clear" w:color="auto" w:fill="auto"/>
          </w:tcPr>
          <w:p w:rsidR="00617CB0" w:rsidRPr="00022D33" w:rsidRDefault="00617CB0" w:rsidP="000D7011">
            <w:pPr>
              <w:pStyle w:val="Tableboldedtext"/>
              <w:jc w:val="center"/>
            </w:pPr>
            <w:r w:rsidRPr="00022D33">
              <w:t>Service 5</w:t>
            </w:r>
          </w:p>
        </w:tc>
        <w:tc>
          <w:tcPr>
            <w:tcW w:w="2212" w:type="dxa"/>
            <w:gridSpan w:val="2"/>
            <w:tcBorders>
              <w:top w:val="nil"/>
              <w:left w:val="nil"/>
              <w:bottom w:val="nil"/>
              <w:right w:val="nil"/>
            </w:tcBorders>
            <w:shd w:val="clear" w:color="auto" w:fill="auto"/>
          </w:tcPr>
          <w:p w:rsidR="00617CB0" w:rsidRPr="00022D33" w:rsidRDefault="00617CB0" w:rsidP="000D7011">
            <w:pPr>
              <w:pStyle w:val="Tableboldedtext"/>
              <w:jc w:val="center"/>
            </w:pPr>
            <w:r w:rsidRPr="00022D33">
              <w:t>Total</w:t>
            </w:r>
          </w:p>
        </w:tc>
      </w:tr>
      <w:tr w:rsidR="00617CB0" w:rsidRPr="00022D33" w:rsidTr="000D7011">
        <w:trPr>
          <w:tblHeader/>
        </w:trPr>
        <w:tc>
          <w:tcPr>
            <w:tcW w:w="1638" w:type="dxa"/>
            <w:tcBorders>
              <w:top w:val="nil"/>
              <w:left w:val="nil"/>
              <w:bottom w:val="nil"/>
              <w:right w:val="nil"/>
            </w:tcBorders>
            <w:shd w:val="clear" w:color="auto" w:fill="auto"/>
          </w:tcPr>
          <w:p w:rsidR="00617CB0" w:rsidRPr="00022D33" w:rsidRDefault="00617CB0" w:rsidP="000D7011">
            <w:pPr>
              <w:pStyle w:val="BodyText"/>
            </w:pPr>
          </w:p>
        </w:tc>
        <w:tc>
          <w:tcPr>
            <w:tcW w:w="562" w:type="dxa"/>
            <w:tcBorders>
              <w:top w:val="nil"/>
              <w:left w:val="nil"/>
              <w:bottom w:val="nil"/>
              <w:right w:val="nil"/>
            </w:tcBorders>
          </w:tcPr>
          <w:p w:rsidR="00617CB0" w:rsidRPr="00022D33" w:rsidRDefault="00617CB0" w:rsidP="000D7011">
            <w:pPr>
              <w:pStyle w:val="Tableboldedtext"/>
              <w:jc w:val="right"/>
            </w:pPr>
          </w:p>
        </w:tc>
        <w:tc>
          <w:tcPr>
            <w:tcW w:w="562" w:type="dxa"/>
            <w:tcBorders>
              <w:top w:val="nil"/>
              <w:left w:val="nil"/>
              <w:bottom w:val="nil"/>
              <w:right w:val="nil"/>
            </w:tcBorders>
          </w:tcPr>
          <w:p w:rsidR="00617CB0" w:rsidRPr="00022D33" w:rsidRDefault="00617CB0" w:rsidP="000D7011">
            <w:pPr>
              <w:pStyle w:val="Tableboldedtext"/>
              <w:jc w:val="right"/>
            </w:pPr>
          </w:p>
        </w:tc>
        <w:tc>
          <w:tcPr>
            <w:tcW w:w="961" w:type="dxa"/>
            <w:tcBorders>
              <w:top w:val="nil"/>
              <w:left w:val="nil"/>
              <w:bottom w:val="nil"/>
              <w:right w:val="nil"/>
            </w:tcBorders>
            <w:shd w:val="clear" w:color="auto" w:fill="auto"/>
          </w:tcPr>
          <w:p w:rsidR="00617CB0" w:rsidRPr="00022D33" w:rsidRDefault="00617CB0" w:rsidP="000D7011">
            <w:pPr>
              <w:pStyle w:val="Tableboldedtext"/>
              <w:jc w:val="right"/>
            </w:pPr>
            <w:r w:rsidRPr="00022D33">
              <w:t xml:space="preserve">2016 </w:t>
            </w:r>
            <w:r w:rsidRPr="00022D33">
              <w:br/>
              <w:t>$000</w:t>
            </w:r>
          </w:p>
        </w:tc>
        <w:tc>
          <w:tcPr>
            <w:tcW w:w="961"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2015 $000</w:t>
            </w:r>
          </w:p>
        </w:tc>
        <w:tc>
          <w:tcPr>
            <w:tcW w:w="961"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2016 $000</w:t>
            </w:r>
          </w:p>
        </w:tc>
        <w:tc>
          <w:tcPr>
            <w:tcW w:w="961"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2015 $000</w:t>
            </w:r>
          </w:p>
        </w:tc>
        <w:tc>
          <w:tcPr>
            <w:tcW w:w="850"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2016 $000</w:t>
            </w:r>
          </w:p>
        </w:tc>
        <w:tc>
          <w:tcPr>
            <w:tcW w:w="961" w:type="dxa"/>
            <w:tcBorders>
              <w:top w:val="nil"/>
              <w:left w:val="nil"/>
              <w:bottom w:val="nil"/>
              <w:right w:val="nil"/>
            </w:tcBorders>
            <w:shd w:val="clear" w:color="auto" w:fill="auto"/>
          </w:tcPr>
          <w:p w:rsidR="00617CB0" w:rsidRPr="00022D33" w:rsidRDefault="00617CB0" w:rsidP="000D7011">
            <w:pPr>
              <w:pStyle w:val="Tableboldedtext"/>
              <w:jc w:val="right"/>
            </w:pPr>
            <w:r w:rsidRPr="00022D33">
              <w:t xml:space="preserve">2015 </w:t>
            </w:r>
            <w:r w:rsidRPr="00022D33">
              <w:br/>
              <w:t>$000</w:t>
            </w:r>
          </w:p>
        </w:tc>
        <w:tc>
          <w:tcPr>
            <w:tcW w:w="1106"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2016 $000</w:t>
            </w:r>
          </w:p>
        </w:tc>
        <w:tc>
          <w:tcPr>
            <w:tcW w:w="1106"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2015 $000</w:t>
            </w:r>
          </w:p>
        </w:tc>
        <w:tc>
          <w:tcPr>
            <w:tcW w:w="961"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2016 $000</w:t>
            </w:r>
          </w:p>
        </w:tc>
        <w:tc>
          <w:tcPr>
            <w:tcW w:w="961"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2015 $000</w:t>
            </w:r>
          </w:p>
        </w:tc>
        <w:tc>
          <w:tcPr>
            <w:tcW w:w="1106"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2016 $000</w:t>
            </w:r>
          </w:p>
        </w:tc>
        <w:tc>
          <w:tcPr>
            <w:tcW w:w="1106"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2015 $000</w:t>
            </w:r>
          </w:p>
        </w:tc>
      </w:tr>
      <w:tr w:rsidR="00617CB0" w:rsidRPr="00022D33" w:rsidTr="000D7011">
        <w:trPr>
          <w:tblHeader/>
        </w:trPr>
        <w:tc>
          <w:tcPr>
            <w:tcW w:w="2200" w:type="dxa"/>
            <w:gridSpan w:val="2"/>
            <w:tcBorders>
              <w:top w:val="nil"/>
              <w:left w:val="nil"/>
              <w:bottom w:val="nil"/>
              <w:right w:val="nil"/>
            </w:tcBorders>
            <w:shd w:val="clear" w:color="auto" w:fill="auto"/>
          </w:tcPr>
          <w:p w:rsidR="00617CB0" w:rsidRPr="00022D33" w:rsidRDefault="00617CB0" w:rsidP="000D7011">
            <w:pPr>
              <w:pStyle w:val="Tabletext"/>
            </w:pPr>
            <w:r w:rsidRPr="00022D33">
              <w:rPr>
                <w:b/>
              </w:rPr>
              <w:t>COST OF SERVICES</w:t>
            </w:r>
          </w:p>
        </w:tc>
        <w:tc>
          <w:tcPr>
            <w:tcW w:w="562" w:type="dxa"/>
            <w:tcBorders>
              <w:top w:val="nil"/>
              <w:left w:val="nil"/>
              <w:bottom w:val="nil"/>
              <w:right w:val="nil"/>
            </w:tcBorders>
          </w:tcPr>
          <w:p w:rsidR="00617CB0" w:rsidRPr="00022D33" w:rsidRDefault="00617CB0" w:rsidP="000D7011">
            <w:pPr>
              <w:pStyle w:val="Tabletext"/>
              <w:jc w:val="right"/>
              <w:rPr>
                <w:u w:val="single"/>
              </w:rPr>
            </w:pPr>
          </w:p>
        </w:tc>
        <w:tc>
          <w:tcPr>
            <w:tcW w:w="961" w:type="dxa"/>
            <w:tcBorders>
              <w:top w:val="nil"/>
              <w:left w:val="nil"/>
              <w:bottom w:val="nil"/>
              <w:right w:val="nil"/>
            </w:tcBorders>
            <w:shd w:val="clear" w:color="auto" w:fill="auto"/>
          </w:tcPr>
          <w:p w:rsidR="00617CB0" w:rsidRPr="00022D33" w:rsidRDefault="00617CB0" w:rsidP="000D7011">
            <w:pPr>
              <w:pStyle w:val="Tabletext"/>
              <w:jc w:val="right"/>
              <w:rPr>
                <w:u w:val="single"/>
              </w:rPr>
            </w:pPr>
          </w:p>
        </w:tc>
        <w:tc>
          <w:tcPr>
            <w:tcW w:w="961" w:type="dxa"/>
            <w:tcBorders>
              <w:top w:val="nil"/>
              <w:left w:val="nil"/>
              <w:bottom w:val="nil"/>
              <w:right w:val="nil"/>
            </w:tcBorders>
            <w:shd w:val="clear" w:color="auto" w:fill="auto"/>
          </w:tcPr>
          <w:p w:rsidR="00617CB0" w:rsidRPr="00022D33" w:rsidRDefault="00617CB0" w:rsidP="000D7011">
            <w:pPr>
              <w:pStyle w:val="Tabletext"/>
              <w:jc w:val="right"/>
              <w:rPr>
                <w:u w:val="single"/>
              </w:rPr>
            </w:pPr>
          </w:p>
        </w:tc>
        <w:tc>
          <w:tcPr>
            <w:tcW w:w="961" w:type="dxa"/>
            <w:tcBorders>
              <w:top w:val="nil"/>
              <w:left w:val="nil"/>
              <w:bottom w:val="nil"/>
              <w:right w:val="nil"/>
            </w:tcBorders>
            <w:shd w:val="clear" w:color="auto" w:fill="auto"/>
          </w:tcPr>
          <w:p w:rsidR="00617CB0" w:rsidRPr="00022D33" w:rsidRDefault="00617CB0" w:rsidP="000D7011">
            <w:pPr>
              <w:pStyle w:val="Tabletext"/>
              <w:jc w:val="right"/>
              <w:rPr>
                <w:u w:val="single"/>
              </w:rPr>
            </w:pPr>
          </w:p>
        </w:tc>
        <w:tc>
          <w:tcPr>
            <w:tcW w:w="961" w:type="dxa"/>
            <w:tcBorders>
              <w:top w:val="nil"/>
              <w:left w:val="nil"/>
              <w:bottom w:val="nil"/>
              <w:right w:val="nil"/>
            </w:tcBorders>
            <w:shd w:val="clear" w:color="auto" w:fill="auto"/>
          </w:tcPr>
          <w:p w:rsidR="00617CB0" w:rsidRPr="00022D33" w:rsidRDefault="00617CB0" w:rsidP="000D7011">
            <w:pPr>
              <w:pStyle w:val="Tabletext"/>
              <w:jc w:val="right"/>
              <w:rPr>
                <w:u w:val="single"/>
              </w:rPr>
            </w:pPr>
          </w:p>
        </w:tc>
        <w:tc>
          <w:tcPr>
            <w:tcW w:w="850" w:type="dxa"/>
            <w:tcBorders>
              <w:top w:val="nil"/>
              <w:left w:val="nil"/>
              <w:bottom w:val="nil"/>
              <w:right w:val="nil"/>
            </w:tcBorders>
            <w:shd w:val="clear" w:color="auto" w:fill="auto"/>
          </w:tcPr>
          <w:p w:rsidR="00617CB0" w:rsidRPr="00022D33" w:rsidRDefault="00617CB0" w:rsidP="000D7011">
            <w:pPr>
              <w:pStyle w:val="Tabletext"/>
              <w:jc w:val="right"/>
              <w:rPr>
                <w:u w:val="single"/>
              </w:rPr>
            </w:pPr>
          </w:p>
        </w:tc>
        <w:tc>
          <w:tcPr>
            <w:tcW w:w="961" w:type="dxa"/>
            <w:tcBorders>
              <w:top w:val="nil"/>
              <w:left w:val="nil"/>
              <w:bottom w:val="nil"/>
              <w:right w:val="nil"/>
            </w:tcBorders>
            <w:shd w:val="clear" w:color="auto" w:fill="auto"/>
          </w:tcPr>
          <w:p w:rsidR="00617CB0" w:rsidRPr="00022D33" w:rsidRDefault="00617CB0" w:rsidP="000D7011">
            <w:pPr>
              <w:pStyle w:val="Tabletext"/>
              <w:jc w:val="right"/>
              <w:rPr>
                <w:u w:val="single"/>
              </w:rPr>
            </w:pPr>
          </w:p>
        </w:tc>
        <w:tc>
          <w:tcPr>
            <w:tcW w:w="1106" w:type="dxa"/>
            <w:tcBorders>
              <w:top w:val="nil"/>
              <w:left w:val="nil"/>
              <w:bottom w:val="nil"/>
              <w:right w:val="nil"/>
            </w:tcBorders>
            <w:shd w:val="clear" w:color="auto" w:fill="auto"/>
          </w:tcPr>
          <w:p w:rsidR="00617CB0" w:rsidRPr="00022D33" w:rsidRDefault="00617CB0" w:rsidP="000D7011">
            <w:pPr>
              <w:pStyle w:val="Tabletext"/>
              <w:jc w:val="right"/>
              <w:rPr>
                <w:u w:val="single"/>
              </w:rPr>
            </w:pPr>
          </w:p>
        </w:tc>
        <w:tc>
          <w:tcPr>
            <w:tcW w:w="1106" w:type="dxa"/>
            <w:tcBorders>
              <w:top w:val="nil"/>
              <w:left w:val="nil"/>
              <w:bottom w:val="nil"/>
              <w:right w:val="nil"/>
            </w:tcBorders>
            <w:shd w:val="clear" w:color="auto" w:fill="auto"/>
          </w:tcPr>
          <w:p w:rsidR="00617CB0" w:rsidRPr="00022D33" w:rsidRDefault="00617CB0" w:rsidP="000D7011">
            <w:pPr>
              <w:pStyle w:val="Tabletext"/>
              <w:jc w:val="right"/>
              <w:rPr>
                <w:u w:val="single"/>
              </w:rPr>
            </w:pPr>
          </w:p>
        </w:tc>
        <w:tc>
          <w:tcPr>
            <w:tcW w:w="961" w:type="dxa"/>
            <w:tcBorders>
              <w:top w:val="nil"/>
              <w:left w:val="nil"/>
              <w:bottom w:val="nil"/>
              <w:right w:val="nil"/>
            </w:tcBorders>
            <w:shd w:val="clear" w:color="auto" w:fill="auto"/>
          </w:tcPr>
          <w:p w:rsidR="00617CB0" w:rsidRPr="00022D33" w:rsidRDefault="00617CB0" w:rsidP="000D7011">
            <w:pPr>
              <w:pStyle w:val="Tabletext"/>
              <w:jc w:val="right"/>
              <w:rPr>
                <w:u w:val="single"/>
              </w:rPr>
            </w:pPr>
          </w:p>
        </w:tc>
        <w:tc>
          <w:tcPr>
            <w:tcW w:w="961" w:type="dxa"/>
            <w:tcBorders>
              <w:top w:val="nil"/>
              <w:left w:val="nil"/>
              <w:bottom w:val="nil"/>
              <w:right w:val="nil"/>
            </w:tcBorders>
            <w:shd w:val="clear" w:color="auto" w:fill="auto"/>
          </w:tcPr>
          <w:p w:rsidR="00617CB0" w:rsidRPr="00022D33" w:rsidRDefault="00617CB0" w:rsidP="000D7011">
            <w:pPr>
              <w:pStyle w:val="Tabletext"/>
              <w:jc w:val="right"/>
              <w:rPr>
                <w:u w:val="single"/>
              </w:rPr>
            </w:pPr>
          </w:p>
        </w:tc>
        <w:tc>
          <w:tcPr>
            <w:tcW w:w="1106" w:type="dxa"/>
            <w:tcBorders>
              <w:top w:val="nil"/>
              <w:left w:val="nil"/>
              <w:bottom w:val="nil"/>
              <w:right w:val="nil"/>
            </w:tcBorders>
            <w:shd w:val="clear" w:color="auto" w:fill="auto"/>
          </w:tcPr>
          <w:p w:rsidR="00617CB0" w:rsidRPr="00022D33" w:rsidRDefault="00617CB0" w:rsidP="000D7011">
            <w:pPr>
              <w:pStyle w:val="Tabletext"/>
              <w:jc w:val="right"/>
              <w:rPr>
                <w:u w:val="single"/>
              </w:rPr>
            </w:pPr>
          </w:p>
        </w:tc>
        <w:tc>
          <w:tcPr>
            <w:tcW w:w="1106" w:type="dxa"/>
            <w:tcBorders>
              <w:top w:val="nil"/>
              <w:left w:val="nil"/>
              <w:bottom w:val="nil"/>
              <w:right w:val="nil"/>
            </w:tcBorders>
            <w:shd w:val="clear" w:color="auto" w:fill="auto"/>
          </w:tcPr>
          <w:p w:rsidR="00617CB0" w:rsidRPr="00022D33" w:rsidRDefault="00617CB0" w:rsidP="000D7011">
            <w:pPr>
              <w:pStyle w:val="Tabletext"/>
              <w:jc w:val="right"/>
              <w:rPr>
                <w:u w:val="single"/>
              </w:rPr>
            </w:pPr>
          </w:p>
        </w:tc>
      </w:tr>
      <w:tr w:rsidR="00617CB0" w:rsidRPr="00022D33" w:rsidTr="000D7011">
        <w:trPr>
          <w:tblHeader/>
        </w:trPr>
        <w:tc>
          <w:tcPr>
            <w:tcW w:w="1638" w:type="dxa"/>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Expenses</w:t>
            </w:r>
          </w:p>
        </w:tc>
        <w:tc>
          <w:tcPr>
            <w:tcW w:w="562" w:type="dxa"/>
            <w:tcBorders>
              <w:top w:val="nil"/>
              <w:left w:val="nil"/>
              <w:bottom w:val="nil"/>
              <w:right w:val="nil"/>
            </w:tcBorders>
          </w:tcPr>
          <w:p w:rsidR="00617CB0" w:rsidRPr="00022D33" w:rsidRDefault="00617CB0" w:rsidP="000D7011">
            <w:pPr>
              <w:pStyle w:val="Tabletext"/>
              <w:jc w:val="right"/>
              <w:rPr>
                <w:u w:val="single"/>
              </w:rPr>
            </w:pPr>
          </w:p>
        </w:tc>
        <w:tc>
          <w:tcPr>
            <w:tcW w:w="562" w:type="dxa"/>
            <w:tcBorders>
              <w:top w:val="nil"/>
              <w:left w:val="nil"/>
              <w:bottom w:val="nil"/>
              <w:right w:val="nil"/>
            </w:tcBorders>
          </w:tcPr>
          <w:p w:rsidR="00617CB0" w:rsidRPr="00022D33" w:rsidRDefault="00617CB0" w:rsidP="000D7011">
            <w:pPr>
              <w:pStyle w:val="Tabletext"/>
              <w:jc w:val="right"/>
              <w:rPr>
                <w:u w:val="single"/>
              </w:rPr>
            </w:pPr>
          </w:p>
        </w:tc>
        <w:tc>
          <w:tcPr>
            <w:tcW w:w="961" w:type="dxa"/>
            <w:tcBorders>
              <w:top w:val="nil"/>
              <w:left w:val="nil"/>
              <w:bottom w:val="nil"/>
              <w:right w:val="nil"/>
            </w:tcBorders>
            <w:shd w:val="clear" w:color="auto" w:fill="auto"/>
          </w:tcPr>
          <w:p w:rsidR="00617CB0" w:rsidRPr="00022D33" w:rsidRDefault="00617CB0" w:rsidP="000D7011">
            <w:pPr>
              <w:pStyle w:val="Tabletext"/>
              <w:jc w:val="right"/>
              <w:rPr>
                <w:u w:val="single"/>
              </w:rPr>
            </w:pPr>
          </w:p>
        </w:tc>
        <w:tc>
          <w:tcPr>
            <w:tcW w:w="961" w:type="dxa"/>
            <w:tcBorders>
              <w:top w:val="nil"/>
              <w:left w:val="nil"/>
              <w:bottom w:val="nil"/>
              <w:right w:val="nil"/>
            </w:tcBorders>
            <w:shd w:val="clear" w:color="auto" w:fill="auto"/>
          </w:tcPr>
          <w:p w:rsidR="00617CB0" w:rsidRPr="00022D33" w:rsidRDefault="00617CB0" w:rsidP="000D7011">
            <w:pPr>
              <w:pStyle w:val="Tabletext"/>
              <w:jc w:val="right"/>
              <w:rPr>
                <w:u w:val="single"/>
              </w:rPr>
            </w:pPr>
          </w:p>
        </w:tc>
        <w:tc>
          <w:tcPr>
            <w:tcW w:w="961" w:type="dxa"/>
            <w:tcBorders>
              <w:top w:val="nil"/>
              <w:left w:val="nil"/>
              <w:bottom w:val="nil"/>
              <w:right w:val="nil"/>
            </w:tcBorders>
            <w:shd w:val="clear" w:color="auto" w:fill="auto"/>
          </w:tcPr>
          <w:p w:rsidR="00617CB0" w:rsidRPr="00022D33" w:rsidRDefault="00617CB0" w:rsidP="000D7011">
            <w:pPr>
              <w:pStyle w:val="Tabletext"/>
              <w:jc w:val="right"/>
              <w:rPr>
                <w:u w:val="single"/>
              </w:rPr>
            </w:pPr>
          </w:p>
        </w:tc>
        <w:tc>
          <w:tcPr>
            <w:tcW w:w="961" w:type="dxa"/>
            <w:tcBorders>
              <w:top w:val="nil"/>
              <w:left w:val="nil"/>
              <w:bottom w:val="nil"/>
              <w:right w:val="nil"/>
            </w:tcBorders>
            <w:shd w:val="clear" w:color="auto" w:fill="auto"/>
          </w:tcPr>
          <w:p w:rsidR="00617CB0" w:rsidRPr="00022D33" w:rsidRDefault="00617CB0" w:rsidP="000D7011">
            <w:pPr>
              <w:pStyle w:val="Tabletext"/>
              <w:jc w:val="right"/>
              <w:rPr>
                <w:u w:val="single"/>
              </w:rPr>
            </w:pPr>
          </w:p>
        </w:tc>
        <w:tc>
          <w:tcPr>
            <w:tcW w:w="850" w:type="dxa"/>
            <w:tcBorders>
              <w:top w:val="nil"/>
              <w:left w:val="nil"/>
              <w:bottom w:val="nil"/>
              <w:right w:val="nil"/>
            </w:tcBorders>
            <w:shd w:val="clear" w:color="auto" w:fill="auto"/>
          </w:tcPr>
          <w:p w:rsidR="00617CB0" w:rsidRPr="00022D33" w:rsidRDefault="00617CB0" w:rsidP="000D7011">
            <w:pPr>
              <w:pStyle w:val="Tabletext"/>
              <w:jc w:val="right"/>
              <w:rPr>
                <w:u w:val="single"/>
              </w:rPr>
            </w:pPr>
          </w:p>
        </w:tc>
        <w:tc>
          <w:tcPr>
            <w:tcW w:w="961" w:type="dxa"/>
            <w:tcBorders>
              <w:top w:val="nil"/>
              <w:left w:val="nil"/>
              <w:bottom w:val="nil"/>
              <w:right w:val="nil"/>
            </w:tcBorders>
            <w:shd w:val="clear" w:color="auto" w:fill="auto"/>
          </w:tcPr>
          <w:p w:rsidR="00617CB0" w:rsidRPr="00022D33" w:rsidRDefault="00617CB0" w:rsidP="000D7011">
            <w:pPr>
              <w:pStyle w:val="Tabletext"/>
              <w:jc w:val="right"/>
              <w:rPr>
                <w:u w:val="single"/>
              </w:rPr>
            </w:pPr>
          </w:p>
        </w:tc>
        <w:tc>
          <w:tcPr>
            <w:tcW w:w="1106" w:type="dxa"/>
            <w:tcBorders>
              <w:top w:val="nil"/>
              <w:left w:val="nil"/>
              <w:bottom w:val="nil"/>
              <w:right w:val="nil"/>
            </w:tcBorders>
            <w:shd w:val="clear" w:color="auto" w:fill="auto"/>
          </w:tcPr>
          <w:p w:rsidR="00617CB0" w:rsidRPr="00022D33" w:rsidRDefault="00617CB0" w:rsidP="000D7011">
            <w:pPr>
              <w:pStyle w:val="Tabletext"/>
              <w:jc w:val="right"/>
              <w:rPr>
                <w:u w:val="single"/>
              </w:rPr>
            </w:pPr>
          </w:p>
        </w:tc>
        <w:tc>
          <w:tcPr>
            <w:tcW w:w="1106" w:type="dxa"/>
            <w:tcBorders>
              <w:top w:val="nil"/>
              <w:left w:val="nil"/>
              <w:bottom w:val="nil"/>
              <w:right w:val="nil"/>
            </w:tcBorders>
            <w:shd w:val="clear" w:color="auto" w:fill="auto"/>
          </w:tcPr>
          <w:p w:rsidR="00617CB0" w:rsidRPr="00022D33" w:rsidRDefault="00617CB0" w:rsidP="000D7011">
            <w:pPr>
              <w:pStyle w:val="Tabletext"/>
              <w:jc w:val="right"/>
              <w:rPr>
                <w:u w:val="single"/>
              </w:rPr>
            </w:pPr>
          </w:p>
        </w:tc>
        <w:tc>
          <w:tcPr>
            <w:tcW w:w="961" w:type="dxa"/>
            <w:tcBorders>
              <w:top w:val="nil"/>
              <w:left w:val="nil"/>
              <w:bottom w:val="nil"/>
              <w:right w:val="nil"/>
            </w:tcBorders>
            <w:shd w:val="clear" w:color="auto" w:fill="auto"/>
          </w:tcPr>
          <w:p w:rsidR="00617CB0" w:rsidRPr="00022D33" w:rsidRDefault="00617CB0" w:rsidP="000D7011">
            <w:pPr>
              <w:pStyle w:val="Tabletext"/>
              <w:jc w:val="right"/>
              <w:rPr>
                <w:u w:val="single"/>
              </w:rPr>
            </w:pPr>
          </w:p>
        </w:tc>
        <w:tc>
          <w:tcPr>
            <w:tcW w:w="961" w:type="dxa"/>
            <w:tcBorders>
              <w:top w:val="nil"/>
              <w:left w:val="nil"/>
              <w:bottom w:val="nil"/>
              <w:right w:val="nil"/>
            </w:tcBorders>
            <w:shd w:val="clear" w:color="auto" w:fill="auto"/>
          </w:tcPr>
          <w:p w:rsidR="00617CB0" w:rsidRPr="00022D33" w:rsidRDefault="00617CB0" w:rsidP="000D7011">
            <w:pPr>
              <w:pStyle w:val="Tabletext"/>
              <w:jc w:val="right"/>
              <w:rPr>
                <w:u w:val="single"/>
              </w:rPr>
            </w:pPr>
          </w:p>
        </w:tc>
        <w:tc>
          <w:tcPr>
            <w:tcW w:w="1106" w:type="dxa"/>
            <w:tcBorders>
              <w:top w:val="nil"/>
              <w:left w:val="nil"/>
              <w:bottom w:val="nil"/>
              <w:right w:val="nil"/>
            </w:tcBorders>
            <w:shd w:val="clear" w:color="auto" w:fill="auto"/>
          </w:tcPr>
          <w:p w:rsidR="00617CB0" w:rsidRPr="00022D33" w:rsidRDefault="00617CB0" w:rsidP="000D7011">
            <w:pPr>
              <w:pStyle w:val="Tabletext"/>
              <w:jc w:val="right"/>
              <w:rPr>
                <w:u w:val="single"/>
              </w:rPr>
            </w:pPr>
          </w:p>
        </w:tc>
        <w:tc>
          <w:tcPr>
            <w:tcW w:w="1106" w:type="dxa"/>
            <w:tcBorders>
              <w:top w:val="nil"/>
              <w:left w:val="nil"/>
              <w:bottom w:val="nil"/>
              <w:right w:val="nil"/>
            </w:tcBorders>
            <w:shd w:val="clear" w:color="auto" w:fill="auto"/>
          </w:tcPr>
          <w:p w:rsidR="00617CB0" w:rsidRPr="00022D33" w:rsidRDefault="00617CB0" w:rsidP="000D7011">
            <w:pPr>
              <w:pStyle w:val="Tabletext"/>
              <w:jc w:val="right"/>
              <w:rPr>
                <w:u w:val="single"/>
              </w:rPr>
            </w:pPr>
          </w:p>
        </w:tc>
      </w:tr>
      <w:tr w:rsidR="00617CB0" w:rsidRPr="00022D33" w:rsidTr="000D7011">
        <w:trPr>
          <w:tblHeader/>
        </w:trPr>
        <w:tc>
          <w:tcPr>
            <w:tcW w:w="2762" w:type="dxa"/>
            <w:gridSpan w:val="3"/>
            <w:tcBorders>
              <w:top w:val="nil"/>
              <w:left w:val="nil"/>
              <w:bottom w:val="nil"/>
              <w:right w:val="nil"/>
            </w:tcBorders>
            <w:shd w:val="clear" w:color="auto" w:fill="auto"/>
          </w:tcPr>
          <w:p w:rsidR="00617CB0" w:rsidRPr="00022D33" w:rsidRDefault="00617CB0" w:rsidP="000D7011">
            <w:pPr>
              <w:pStyle w:val="Tabletext"/>
            </w:pPr>
            <w:r w:rsidRPr="00022D33">
              <w:t xml:space="preserve">Employee benefits expense </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30,412</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29,219</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30,922</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35,929</w:t>
            </w:r>
          </w:p>
        </w:tc>
        <w:tc>
          <w:tcPr>
            <w:tcW w:w="850" w:type="dxa"/>
            <w:tcBorders>
              <w:top w:val="nil"/>
              <w:left w:val="nil"/>
              <w:bottom w:val="nil"/>
              <w:right w:val="nil"/>
            </w:tcBorders>
            <w:shd w:val="clear" w:color="auto" w:fill="auto"/>
          </w:tcPr>
          <w:p w:rsidR="00617CB0" w:rsidRPr="00022D33" w:rsidRDefault="00617CB0" w:rsidP="000D7011">
            <w:pPr>
              <w:pStyle w:val="Tabletext"/>
              <w:jc w:val="right"/>
            </w:pPr>
            <w:r w:rsidRPr="00022D33">
              <w:t>3,858</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4,178</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53,831</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57,426</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10,430</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9,858</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129,453</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136,610</w:t>
            </w:r>
          </w:p>
        </w:tc>
      </w:tr>
      <w:tr w:rsidR="00617CB0" w:rsidRPr="00022D33" w:rsidTr="000D7011">
        <w:trPr>
          <w:tblHeader/>
        </w:trPr>
        <w:tc>
          <w:tcPr>
            <w:tcW w:w="2762" w:type="dxa"/>
            <w:gridSpan w:val="3"/>
            <w:tcBorders>
              <w:top w:val="nil"/>
              <w:left w:val="nil"/>
              <w:bottom w:val="nil"/>
              <w:right w:val="nil"/>
            </w:tcBorders>
            <w:shd w:val="clear" w:color="auto" w:fill="auto"/>
          </w:tcPr>
          <w:p w:rsidR="00617CB0" w:rsidRPr="00022D33" w:rsidRDefault="00617CB0" w:rsidP="000D7011">
            <w:pPr>
              <w:pStyle w:val="Tabletext"/>
            </w:pPr>
            <w:r w:rsidRPr="00022D33">
              <w:t>Supplies and services</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18,126</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19,062</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11,822</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12,173</w:t>
            </w:r>
          </w:p>
        </w:tc>
        <w:tc>
          <w:tcPr>
            <w:tcW w:w="850" w:type="dxa"/>
            <w:tcBorders>
              <w:top w:val="nil"/>
              <w:left w:val="nil"/>
              <w:bottom w:val="nil"/>
              <w:right w:val="nil"/>
            </w:tcBorders>
            <w:shd w:val="clear" w:color="auto" w:fill="auto"/>
          </w:tcPr>
          <w:p w:rsidR="00617CB0" w:rsidRPr="00022D33" w:rsidRDefault="00617CB0" w:rsidP="000D7011">
            <w:pPr>
              <w:pStyle w:val="Tabletext"/>
              <w:jc w:val="right"/>
            </w:pPr>
            <w:r w:rsidRPr="00022D33">
              <w:t>1,598</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2,041</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844,535</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1,022,569</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8,991</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4,920</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885,072</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1,060,765</w:t>
            </w:r>
          </w:p>
        </w:tc>
      </w:tr>
      <w:tr w:rsidR="00617CB0" w:rsidRPr="00022D33" w:rsidTr="000D7011">
        <w:trPr>
          <w:tblHeader/>
        </w:trPr>
        <w:tc>
          <w:tcPr>
            <w:tcW w:w="2762" w:type="dxa"/>
            <w:gridSpan w:val="3"/>
            <w:tcBorders>
              <w:top w:val="nil"/>
              <w:left w:val="nil"/>
              <w:bottom w:val="nil"/>
              <w:right w:val="nil"/>
            </w:tcBorders>
            <w:shd w:val="clear" w:color="auto" w:fill="auto"/>
          </w:tcPr>
          <w:p w:rsidR="00617CB0" w:rsidRPr="00022D33" w:rsidRDefault="00617CB0" w:rsidP="000D7011">
            <w:pPr>
              <w:pStyle w:val="Tabletext"/>
            </w:pPr>
            <w:r w:rsidRPr="00022D33">
              <w:t xml:space="preserve">Depreciation and amortisation expense </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3,363</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2,985</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47,507</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52,010</w:t>
            </w:r>
          </w:p>
        </w:tc>
        <w:tc>
          <w:tcPr>
            <w:tcW w:w="850" w:type="dxa"/>
            <w:tcBorders>
              <w:top w:val="nil"/>
              <w:left w:val="nil"/>
              <w:bottom w:val="nil"/>
              <w:right w:val="nil"/>
            </w:tcBorders>
            <w:shd w:val="clear" w:color="auto" w:fill="auto"/>
          </w:tcPr>
          <w:p w:rsidR="00617CB0" w:rsidRPr="00022D33" w:rsidRDefault="00617CB0" w:rsidP="000D7011">
            <w:pPr>
              <w:pStyle w:val="Tabletext"/>
              <w:jc w:val="right"/>
            </w:pPr>
            <w:r w:rsidRPr="00022D33">
              <w:t>1,027</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390</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26,884</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27,557</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250</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245</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79,031</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83,187</w:t>
            </w:r>
          </w:p>
        </w:tc>
      </w:tr>
      <w:tr w:rsidR="00617CB0" w:rsidRPr="00022D33" w:rsidTr="000D7011">
        <w:trPr>
          <w:tblHeader/>
        </w:trPr>
        <w:tc>
          <w:tcPr>
            <w:tcW w:w="1638" w:type="dxa"/>
            <w:tcBorders>
              <w:top w:val="nil"/>
              <w:left w:val="nil"/>
              <w:bottom w:val="nil"/>
              <w:right w:val="nil"/>
            </w:tcBorders>
            <w:shd w:val="clear" w:color="auto" w:fill="auto"/>
          </w:tcPr>
          <w:p w:rsidR="00617CB0" w:rsidRPr="00022D33" w:rsidRDefault="00617CB0" w:rsidP="000D7011">
            <w:pPr>
              <w:pStyle w:val="Tabletext"/>
            </w:pPr>
            <w:r w:rsidRPr="00022D33">
              <w:t>Finance costs</w:t>
            </w:r>
          </w:p>
        </w:tc>
        <w:tc>
          <w:tcPr>
            <w:tcW w:w="562" w:type="dxa"/>
            <w:tcBorders>
              <w:top w:val="nil"/>
              <w:left w:val="nil"/>
              <w:bottom w:val="nil"/>
              <w:right w:val="nil"/>
            </w:tcBorders>
          </w:tcPr>
          <w:p w:rsidR="00617CB0" w:rsidRPr="00022D33" w:rsidRDefault="00617CB0" w:rsidP="000D7011">
            <w:pPr>
              <w:pStyle w:val="Tabletext"/>
              <w:jc w:val="right"/>
            </w:pPr>
          </w:p>
        </w:tc>
        <w:tc>
          <w:tcPr>
            <w:tcW w:w="562" w:type="dxa"/>
            <w:tcBorders>
              <w:top w:val="nil"/>
              <w:left w:val="nil"/>
              <w:bottom w:val="nil"/>
              <w:right w:val="nil"/>
            </w:tcBorders>
          </w:tcPr>
          <w:p w:rsidR="00617CB0" w:rsidRPr="00022D33" w:rsidRDefault="00617CB0" w:rsidP="000D7011">
            <w:pPr>
              <w:pStyle w:val="Tabletext"/>
              <w:jc w:val="right"/>
            </w:pP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2,477</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3,752</w:t>
            </w:r>
          </w:p>
        </w:tc>
        <w:tc>
          <w:tcPr>
            <w:tcW w:w="850"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6,526</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1,072</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9,003</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4,824</w:t>
            </w:r>
          </w:p>
        </w:tc>
      </w:tr>
      <w:tr w:rsidR="00617CB0" w:rsidRPr="00022D33" w:rsidTr="000D7011">
        <w:trPr>
          <w:tblHeader/>
        </w:trPr>
        <w:tc>
          <w:tcPr>
            <w:tcW w:w="2762" w:type="dxa"/>
            <w:gridSpan w:val="3"/>
            <w:tcBorders>
              <w:top w:val="nil"/>
              <w:left w:val="nil"/>
              <w:bottom w:val="nil"/>
              <w:right w:val="nil"/>
            </w:tcBorders>
            <w:shd w:val="clear" w:color="auto" w:fill="auto"/>
          </w:tcPr>
          <w:p w:rsidR="00617CB0" w:rsidRPr="00022D33" w:rsidRDefault="00617CB0" w:rsidP="000D7011">
            <w:pPr>
              <w:pStyle w:val="Tabletext"/>
            </w:pPr>
            <w:r w:rsidRPr="00022D33">
              <w:t xml:space="preserve">Accommodation expenses </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4,386</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5,009</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2,222</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2,626</w:t>
            </w:r>
          </w:p>
        </w:tc>
        <w:tc>
          <w:tcPr>
            <w:tcW w:w="850" w:type="dxa"/>
            <w:tcBorders>
              <w:top w:val="nil"/>
              <w:left w:val="nil"/>
              <w:bottom w:val="nil"/>
              <w:right w:val="nil"/>
            </w:tcBorders>
            <w:shd w:val="clear" w:color="auto" w:fill="auto"/>
          </w:tcPr>
          <w:p w:rsidR="00617CB0" w:rsidRPr="00022D33" w:rsidRDefault="00617CB0" w:rsidP="000D7011">
            <w:pPr>
              <w:pStyle w:val="Tabletext"/>
              <w:jc w:val="right"/>
            </w:pPr>
            <w:r w:rsidRPr="00022D33">
              <w:t>355</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523</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31,124</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26,410</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807</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913</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38,894</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35,481</w:t>
            </w:r>
          </w:p>
        </w:tc>
      </w:tr>
      <w:tr w:rsidR="00617CB0" w:rsidRPr="00022D33" w:rsidTr="000D7011">
        <w:trPr>
          <w:tblHeader/>
        </w:trPr>
        <w:tc>
          <w:tcPr>
            <w:tcW w:w="2762" w:type="dxa"/>
            <w:gridSpan w:val="3"/>
            <w:tcBorders>
              <w:top w:val="nil"/>
              <w:left w:val="nil"/>
              <w:bottom w:val="nil"/>
              <w:right w:val="nil"/>
            </w:tcBorders>
            <w:shd w:val="clear" w:color="auto" w:fill="auto"/>
          </w:tcPr>
          <w:p w:rsidR="00617CB0" w:rsidRPr="00022D33" w:rsidRDefault="00617CB0" w:rsidP="000D7011">
            <w:pPr>
              <w:pStyle w:val="Tabletext"/>
            </w:pPr>
            <w:r w:rsidRPr="00022D33">
              <w:t>Grants and subsidies</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8</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850"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59,074</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3,753</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5,154</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3,761</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64,228</w:t>
            </w:r>
          </w:p>
        </w:tc>
      </w:tr>
      <w:tr w:rsidR="00617CB0" w:rsidRPr="00022D33" w:rsidTr="000D7011">
        <w:trPr>
          <w:tblHeader/>
        </w:trPr>
        <w:tc>
          <w:tcPr>
            <w:tcW w:w="2762" w:type="dxa"/>
            <w:gridSpan w:val="3"/>
            <w:tcBorders>
              <w:top w:val="nil"/>
              <w:left w:val="nil"/>
              <w:bottom w:val="nil"/>
              <w:right w:val="nil"/>
            </w:tcBorders>
            <w:shd w:val="clear" w:color="auto" w:fill="auto"/>
          </w:tcPr>
          <w:p w:rsidR="00617CB0" w:rsidRPr="00022D33" w:rsidRDefault="00617CB0" w:rsidP="000D7011">
            <w:pPr>
              <w:pStyle w:val="Tabletext"/>
            </w:pPr>
            <w:r w:rsidRPr="00022D33">
              <w:t xml:space="preserve">Loss on disposal of non-current assets </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850"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1</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2</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1</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2</w:t>
            </w:r>
          </w:p>
        </w:tc>
      </w:tr>
      <w:tr w:rsidR="00617CB0" w:rsidRPr="00022D33" w:rsidTr="000D7011">
        <w:trPr>
          <w:tblHeader/>
        </w:trPr>
        <w:tc>
          <w:tcPr>
            <w:tcW w:w="1638" w:type="dxa"/>
            <w:tcBorders>
              <w:top w:val="nil"/>
              <w:left w:val="nil"/>
              <w:bottom w:val="nil"/>
              <w:right w:val="nil"/>
            </w:tcBorders>
            <w:shd w:val="clear" w:color="auto" w:fill="auto"/>
          </w:tcPr>
          <w:p w:rsidR="00617CB0" w:rsidRPr="00022D33" w:rsidRDefault="00617CB0" w:rsidP="000D7011">
            <w:pPr>
              <w:pStyle w:val="Tabletext"/>
            </w:pPr>
            <w:r w:rsidRPr="00022D33">
              <w:t>Other expenses</w:t>
            </w:r>
          </w:p>
        </w:tc>
        <w:tc>
          <w:tcPr>
            <w:tcW w:w="562" w:type="dxa"/>
            <w:tcBorders>
              <w:top w:val="nil"/>
              <w:left w:val="nil"/>
              <w:bottom w:val="nil"/>
              <w:right w:val="nil"/>
            </w:tcBorders>
          </w:tcPr>
          <w:p w:rsidR="00617CB0" w:rsidRPr="00022D33" w:rsidRDefault="00617CB0" w:rsidP="000D7011">
            <w:pPr>
              <w:pStyle w:val="Tabletext"/>
              <w:jc w:val="right"/>
            </w:pPr>
          </w:p>
        </w:tc>
        <w:tc>
          <w:tcPr>
            <w:tcW w:w="562" w:type="dxa"/>
            <w:tcBorders>
              <w:top w:val="nil"/>
              <w:left w:val="nil"/>
              <w:bottom w:val="nil"/>
              <w:right w:val="nil"/>
            </w:tcBorders>
          </w:tcPr>
          <w:p w:rsidR="00617CB0" w:rsidRPr="00022D33" w:rsidRDefault="00617CB0" w:rsidP="000D7011">
            <w:pPr>
              <w:pStyle w:val="Tabletext"/>
              <w:jc w:val="right"/>
            </w:pPr>
          </w:p>
        </w:tc>
        <w:tc>
          <w:tcPr>
            <w:tcW w:w="961"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241</w:t>
            </w:r>
          </w:p>
        </w:tc>
        <w:tc>
          <w:tcPr>
            <w:tcW w:w="961"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143</w:t>
            </w:r>
          </w:p>
        </w:tc>
        <w:tc>
          <w:tcPr>
            <w:tcW w:w="961"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891</w:t>
            </w:r>
          </w:p>
        </w:tc>
        <w:tc>
          <w:tcPr>
            <w:tcW w:w="961"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660</w:t>
            </w:r>
          </w:p>
        </w:tc>
        <w:tc>
          <w:tcPr>
            <w:tcW w:w="850"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181</w:t>
            </w:r>
          </w:p>
        </w:tc>
        <w:tc>
          <w:tcPr>
            <w:tcW w:w="961"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133</w:t>
            </w:r>
          </w:p>
        </w:tc>
        <w:tc>
          <w:tcPr>
            <w:tcW w:w="1106"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50,305</w:t>
            </w:r>
          </w:p>
        </w:tc>
        <w:tc>
          <w:tcPr>
            <w:tcW w:w="1106"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533</w:t>
            </w:r>
          </w:p>
        </w:tc>
        <w:tc>
          <w:tcPr>
            <w:tcW w:w="961"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165</w:t>
            </w:r>
          </w:p>
        </w:tc>
        <w:tc>
          <w:tcPr>
            <w:tcW w:w="961"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69</w:t>
            </w:r>
          </w:p>
        </w:tc>
        <w:tc>
          <w:tcPr>
            <w:tcW w:w="1106"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51,783</w:t>
            </w:r>
          </w:p>
        </w:tc>
        <w:tc>
          <w:tcPr>
            <w:tcW w:w="1106"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1,538</w:t>
            </w:r>
          </w:p>
        </w:tc>
      </w:tr>
      <w:tr w:rsidR="00617CB0" w:rsidRPr="00022D33" w:rsidTr="000D7011">
        <w:trPr>
          <w:tblHeader/>
        </w:trPr>
        <w:tc>
          <w:tcPr>
            <w:tcW w:w="2762" w:type="dxa"/>
            <w:gridSpan w:val="3"/>
            <w:tcBorders>
              <w:top w:val="nil"/>
              <w:left w:val="nil"/>
              <w:bottom w:val="nil"/>
              <w:right w:val="nil"/>
            </w:tcBorders>
            <w:shd w:val="clear" w:color="auto" w:fill="auto"/>
          </w:tcPr>
          <w:p w:rsidR="00617CB0" w:rsidRPr="00022D33" w:rsidRDefault="00617CB0" w:rsidP="000D7011">
            <w:pPr>
              <w:pStyle w:val="Tableboldedtext"/>
            </w:pPr>
            <w:r w:rsidRPr="00022D33">
              <w:t xml:space="preserve">Total cost of services </w:t>
            </w:r>
          </w:p>
        </w:tc>
        <w:tc>
          <w:tcPr>
            <w:tcW w:w="961"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56,528</w:t>
            </w:r>
          </w:p>
        </w:tc>
        <w:tc>
          <w:tcPr>
            <w:tcW w:w="961"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56,418</w:t>
            </w:r>
          </w:p>
        </w:tc>
        <w:tc>
          <w:tcPr>
            <w:tcW w:w="961"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95,849</w:t>
            </w:r>
          </w:p>
        </w:tc>
        <w:tc>
          <w:tcPr>
            <w:tcW w:w="961"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107,150</w:t>
            </w:r>
          </w:p>
        </w:tc>
        <w:tc>
          <w:tcPr>
            <w:tcW w:w="850"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7,019</w:t>
            </w:r>
          </w:p>
        </w:tc>
        <w:tc>
          <w:tcPr>
            <w:tcW w:w="961"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7,265</w:t>
            </w:r>
          </w:p>
        </w:tc>
        <w:tc>
          <w:tcPr>
            <w:tcW w:w="1106"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1,013,206</w:t>
            </w:r>
          </w:p>
        </w:tc>
        <w:tc>
          <w:tcPr>
            <w:tcW w:w="1106"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1,194,643</w:t>
            </w:r>
          </w:p>
        </w:tc>
        <w:tc>
          <w:tcPr>
            <w:tcW w:w="961"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24,396</w:t>
            </w:r>
          </w:p>
        </w:tc>
        <w:tc>
          <w:tcPr>
            <w:tcW w:w="961"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21,159</w:t>
            </w:r>
          </w:p>
        </w:tc>
        <w:tc>
          <w:tcPr>
            <w:tcW w:w="1106"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1,196,998</w:t>
            </w:r>
          </w:p>
        </w:tc>
        <w:tc>
          <w:tcPr>
            <w:tcW w:w="1106"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1,386,636</w:t>
            </w:r>
          </w:p>
        </w:tc>
      </w:tr>
      <w:tr w:rsidR="00617CB0" w:rsidRPr="00022D33" w:rsidTr="000D7011">
        <w:trPr>
          <w:tblHeader/>
        </w:trPr>
        <w:tc>
          <w:tcPr>
            <w:tcW w:w="1638" w:type="dxa"/>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Income</w:t>
            </w:r>
          </w:p>
        </w:tc>
        <w:tc>
          <w:tcPr>
            <w:tcW w:w="562" w:type="dxa"/>
            <w:tcBorders>
              <w:top w:val="nil"/>
              <w:left w:val="nil"/>
              <w:bottom w:val="nil"/>
              <w:right w:val="nil"/>
            </w:tcBorders>
          </w:tcPr>
          <w:p w:rsidR="00617CB0" w:rsidRPr="00022D33" w:rsidRDefault="00617CB0" w:rsidP="000D7011">
            <w:pPr>
              <w:pStyle w:val="Tabletext"/>
              <w:jc w:val="right"/>
            </w:pPr>
          </w:p>
        </w:tc>
        <w:tc>
          <w:tcPr>
            <w:tcW w:w="562" w:type="dxa"/>
            <w:tcBorders>
              <w:top w:val="nil"/>
              <w:left w:val="nil"/>
              <w:bottom w:val="nil"/>
              <w:right w:val="nil"/>
            </w:tcBorders>
          </w:tcPr>
          <w:p w:rsidR="00617CB0" w:rsidRPr="00022D33" w:rsidRDefault="00617CB0" w:rsidP="000D7011">
            <w:pPr>
              <w:pStyle w:val="Tabletext"/>
              <w:jc w:val="right"/>
            </w:pP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p>
        </w:tc>
        <w:tc>
          <w:tcPr>
            <w:tcW w:w="850" w:type="dxa"/>
            <w:tcBorders>
              <w:top w:val="nil"/>
              <w:left w:val="nil"/>
              <w:bottom w:val="nil"/>
              <w:right w:val="nil"/>
            </w:tcBorders>
            <w:shd w:val="clear" w:color="auto" w:fill="auto"/>
          </w:tcPr>
          <w:p w:rsidR="00617CB0" w:rsidRPr="00022D33" w:rsidRDefault="00617CB0" w:rsidP="000D7011">
            <w:pPr>
              <w:pStyle w:val="Tabletext"/>
              <w:jc w:val="right"/>
            </w:pP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rPr>
          <w:tblHeader/>
        </w:trPr>
        <w:tc>
          <w:tcPr>
            <w:tcW w:w="2762" w:type="dxa"/>
            <w:gridSpan w:val="3"/>
            <w:tcBorders>
              <w:top w:val="nil"/>
              <w:left w:val="nil"/>
              <w:bottom w:val="nil"/>
              <w:right w:val="nil"/>
            </w:tcBorders>
            <w:shd w:val="clear" w:color="auto" w:fill="auto"/>
          </w:tcPr>
          <w:p w:rsidR="00617CB0" w:rsidRPr="00022D33" w:rsidRDefault="00617CB0" w:rsidP="000D7011">
            <w:pPr>
              <w:pStyle w:val="Tabletext"/>
            </w:pPr>
            <w:r w:rsidRPr="00022D33">
              <w:t>User charges and fees</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2,895</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3,205</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73,912</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74,645</w:t>
            </w:r>
          </w:p>
        </w:tc>
        <w:tc>
          <w:tcPr>
            <w:tcW w:w="850"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2</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885,110</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t>1,071,525</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1</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961,918</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1,149,378</w:t>
            </w:r>
          </w:p>
        </w:tc>
      </w:tr>
      <w:tr w:rsidR="00617CB0" w:rsidRPr="00022D33" w:rsidTr="000D7011">
        <w:trPr>
          <w:tblHeader/>
        </w:trPr>
        <w:tc>
          <w:tcPr>
            <w:tcW w:w="2762" w:type="dxa"/>
            <w:gridSpan w:val="3"/>
            <w:tcBorders>
              <w:top w:val="nil"/>
              <w:left w:val="nil"/>
              <w:bottom w:val="nil"/>
              <w:right w:val="nil"/>
            </w:tcBorders>
            <w:shd w:val="clear" w:color="auto" w:fill="auto"/>
          </w:tcPr>
          <w:p w:rsidR="00617CB0" w:rsidRPr="00022D33" w:rsidRDefault="00617CB0" w:rsidP="000D7011">
            <w:pPr>
              <w:pStyle w:val="Tabletext"/>
            </w:pPr>
            <w:r w:rsidRPr="00022D33">
              <w:t xml:space="preserve">Commonwealth grants and contributions </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73</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75</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850"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1,611</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1,301</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1,684</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1,376</w:t>
            </w:r>
          </w:p>
        </w:tc>
      </w:tr>
      <w:tr w:rsidR="00617CB0" w:rsidRPr="00022D33" w:rsidTr="000D7011">
        <w:trPr>
          <w:tblHeader/>
        </w:trPr>
        <w:tc>
          <w:tcPr>
            <w:tcW w:w="2200" w:type="dxa"/>
            <w:gridSpan w:val="2"/>
            <w:tcBorders>
              <w:top w:val="nil"/>
              <w:left w:val="nil"/>
              <w:bottom w:val="nil"/>
              <w:right w:val="nil"/>
            </w:tcBorders>
            <w:shd w:val="clear" w:color="auto" w:fill="auto"/>
          </w:tcPr>
          <w:p w:rsidR="00617CB0" w:rsidRPr="00022D33" w:rsidRDefault="00617CB0" w:rsidP="000D7011">
            <w:pPr>
              <w:pStyle w:val="Tabletext"/>
            </w:pPr>
            <w:r w:rsidRPr="00022D33">
              <w:t>Interest revenue</w:t>
            </w:r>
          </w:p>
        </w:tc>
        <w:tc>
          <w:tcPr>
            <w:tcW w:w="562" w:type="dxa"/>
            <w:tcBorders>
              <w:top w:val="nil"/>
              <w:left w:val="nil"/>
              <w:bottom w:val="nil"/>
              <w:right w:val="nil"/>
            </w:tcBorders>
          </w:tcPr>
          <w:p w:rsidR="00617CB0" w:rsidRPr="00022D33" w:rsidRDefault="00617CB0" w:rsidP="000D7011">
            <w:pPr>
              <w:pStyle w:val="Tabletext"/>
              <w:jc w:val="right"/>
            </w:pP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219</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262</w:t>
            </w:r>
          </w:p>
        </w:tc>
        <w:tc>
          <w:tcPr>
            <w:tcW w:w="850"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219</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262</w:t>
            </w:r>
          </w:p>
        </w:tc>
      </w:tr>
      <w:tr w:rsidR="00617CB0" w:rsidRPr="00022D33" w:rsidTr="000D7011">
        <w:trPr>
          <w:tblHeader/>
        </w:trPr>
        <w:tc>
          <w:tcPr>
            <w:tcW w:w="1638" w:type="dxa"/>
            <w:tcBorders>
              <w:top w:val="nil"/>
              <w:left w:val="nil"/>
              <w:bottom w:val="nil"/>
              <w:right w:val="nil"/>
            </w:tcBorders>
            <w:shd w:val="clear" w:color="auto" w:fill="auto"/>
          </w:tcPr>
          <w:p w:rsidR="00617CB0" w:rsidRPr="00022D33" w:rsidRDefault="00617CB0" w:rsidP="000D7011">
            <w:pPr>
              <w:pStyle w:val="Tabletext"/>
            </w:pPr>
            <w:r w:rsidRPr="00022D33">
              <w:t>Other revenue</w:t>
            </w:r>
          </w:p>
        </w:tc>
        <w:tc>
          <w:tcPr>
            <w:tcW w:w="562" w:type="dxa"/>
            <w:tcBorders>
              <w:top w:val="nil"/>
              <w:left w:val="nil"/>
              <w:bottom w:val="nil"/>
              <w:right w:val="nil"/>
            </w:tcBorders>
          </w:tcPr>
          <w:p w:rsidR="00617CB0" w:rsidRPr="00022D33" w:rsidRDefault="00617CB0" w:rsidP="000D7011">
            <w:pPr>
              <w:pStyle w:val="Tabletext"/>
              <w:jc w:val="right"/>
            </w:pPr>
          </w:p>
        </w:tc>
        <w:tc>
          <w:tcPr>
            <w:tcW w:w="562" w:type="dxa"/>
            <w:tcBorders>
              <w:top w:val="nil"/>
              <w:left w:val="nil"/>
              <w:bottom w:val="nil"/>
              <w:right w:val="nil"/>
            </w:tcBorders>
          </w:tcPr>
          <w:p w:rsidR="00617CB0" w:rsidRPr="00022D33" w:rsidRDefault="00617CB0" w:rsidP="000D7011">
            <w:pPr>
              <w:pStyle w:val="Tabletext"/>
              <w:jc w:val="right"/>
            </w:pP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198</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295</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5,543</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5,435</w:t>
            </w:r>
          </w:p>
        </w:tc>
        <w:tc>
          <w:tcPr>
            <w:tcW w:w="850" w:type="dxa"/>
            <w:tcBorders>
              <w:top w:val="nil"/>
              <w:left w:val="nil"/>
              <w:bottom w:val="nil"/>
              <w:right w:val="nil"/>
            </w:tcBorders>
            <w:shd w:val="clear" w:color="auto" w:fill="auto"/>
          </w:tcPr>
          <w:p w:rsidR="00617CB0" w:rsidRPr="00022D33" w:rsidRDefault="00617CB0" w:rsidP="000D7011">
            <w:pPr>
              <w:pStyle w:val="Tabletext"/>
              <w:jc w:val="right"/>
            </w:pPr>
            <w:r w:rsidRPr="00022D33">
              <w:t>334</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26</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2,325</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2,133</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43</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130</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8,443</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8,018</w:t>
            </w:r>
          </w:p>
        </w:tc>
      </w:tr>
      <w:tr w:rsidR="00617CB0" w:rsidRPr="00022D33" w:rsidTr="000D7011">
        <w:trPr>
          <w:tblHeader/>
        </w:trPr>
        <w:tc>
          <w:tcPr>
            <w:tcW w:w="2200" w:type="dxa"/>
            <w:gridSpan w:val="2"/>
            <w:tcBorders>
              <w:top w:val="nil"/>
              <w:left w:val="nil"/>
              <w:bottom w:val="nil"/>
              <w:right w:val="nil"/>
            </w:tcBorders>
            <w:shd w:val="clear" w:color="auto" w:fill="auto"/>
          </w:tcPr>
          <w:p w:rsidR="00617CB0" w:rsidRPr="00022D33" w:rsidRDefault="00617CB0" w:rsidP="000D7011">
            <w:pPr>
              <w:pStyle w:val="Tabletext"/>
            </w:pPr>
            <w:r w:rsidRPr="00022D33">
              <w:t xml:space="preserve">Gain on disposal of non-current assets </w:t>
            </w:r>
          </w:p>
        </w:tc>
        <w:tc>
          <w:tcPr>
            <w:tcW w:w="562" w:type="dxa"/>
            <w:tcBorders>
              <w:top w:val="nil"/>
              <w:left w:val="nil"/>
              <w:bottom w:val="nil"/>
              <w:right w:val="nil"/>
            </w:tcBorders>
          </w:tcPr>
          <w:p w:rsidR="00617CB0" w:rsidRPr="00022D33" w:rsidRDefault="00617CB0" w:rsidP="000D7011">
            <w:pPr>
              <w:pStyle w:val="Tabletext"/>
              <w:jc w:val="right"/>
            </w:pP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665</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596</w:t>
            </w:r>
          </w:p>
        </w:tc>
        <w:tc>
          <w:tcPr>
            <w:tcW w:w="850"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826</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666</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1,422</w:t>
            </w:r>
          </w:p>
        </w:tc>
      </w:tr>
    </w:tbl>
    <w:p w:rsidR="00617CB0" w:rsidRDefault="00617CB0" w:rsidP="00617CB0"/>
    <w:tbl>
      <w:tblPr>
        <w:tblW w:w="14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562"/>
        <w:gridCol w:w="562"/>
        <w:gridCol w:w="961"/>
        <w:gridCol w:w="961"/>
        <w:gridCol w:w="961"/>
        <w:gridCol w:w="961"/>
        <w:gridCol w:w="850"/>
        <w:gridCol w:w="961"/>
        <w:gridCol w:w="1106"/>
        <w:gridCol w:w="1106"/>
        <w:gridCol w:w="961"/>
        <w:gridCol w:w="961"/>
        <w:gridCol w:w="1106"/>
        <w:gridCol w:w="1106"/>
      </w:tblGrid>
      <w:tr w:rsidR="00617CB0" w:rsidRPr="00022D33" w:rsidTr="000D7011">
        <w:trPr>
          <w:tblHeader/>
        </w:trPr>
        <w:tc>
          <w:tcPr>
            <w:tcW w:w="1638" w:type="dxa"/>
            <w:tcBorders>
              <w:top w:val="nil"/>
              <w:left w:val="nil"/>
              <w:bottom w:val="nil"/>
              <w:right w:val="nil"/>
            </w:tcBorders>
            <w:shd w:val="clear" w:color="auto" w:fill="auto"/>
          </w:tcPr>
          <w:p w:rsidR="00617CB0" w:rsidRPr="00022D33" w:rsidRDefault="00617CB0" w:rsidP="000D7011">
            <w:pPr>
              <w:pStyle w:val="BodyText"/>
            </w:pPr>
          </w:p>
        </w:tc>
        <w:tc>
          <w:tcPr>
            <w:tcW w:w="562" w:type="dxa"/>
            <w:tcBorders>
              <w:top w:val="nil"/>
              <w:left w:val="nil"/>
              <w:bottom w:val="nil"/>
              <w:right w:val="nil"/>
            </w:tcBorders>
          </w:tcPr>
          <w:p w:rsidR="00617CB0" w:rsidRPr="00022D33" w:rsidRDefault="00617CB0" w:rsidP="000D7011">
            <w:pPr>
              <w:pStyle w:val="Tableboldedtext"/>
              <w:jc w:val="center"/>
            </w:pPr>
          </w:p>
        </w:tc>
        <w:tc>
          <w:tcPr>
            <w:tcW w:w="562" w:type="dxa"/>
            <w:tcBorders>
              <w:top w:val="nil"/>
              <w:left w:val="nil"/>
              <w:bottom w:val="nil"/>
              <w:right w:val="nil"/>
            </w:tcBorders>
          </w:tcPr>
          <w:p w:rsidR="00617CB0" w:rsidRPr="00022D33" w:rsidRDefault="00617CB0" w:rsidP="000D7011">
            <w:pPr>
              <w:pStyle w:val="Tableboldedtext"/>
              <w:jc w:val="center"/>
            </w:pPr>
          </w:p>
        </w:tc>
        <w:tc>
          <w:tcPr>
            <w:tcW w:w="1922" w:type="dxa"/>
            <w:gridSpan w:val="2"/>
            <w:tcBorders>
              <w:top w:val="nil"/>
              <w:left w:val="nil"/>
              <w:bottom w:val="nil"/>
              <w:right w:val="nil"/>
            </w:tcBorders>
            <w:shd w:val="clear" w:color="auto" w:fill="auto"/>
          </w:tcPr>
          <w:p w:rsidR="00617CB0" w:rsidRPr="00022D33" w:rsidRDefault="00617CB0" w:rsidP="000D7011">
            <w:pPr>
              <w:pStyle w:val="Tableboldedtext"/>
              <w:jc w:val="center"/>
            </w:pPr>
            <w:r w:rsidRPr="00022D33">
              <w:t>Service 1</w:t>
            </w:r>
          </w:p>
        </w:tc>
        <w:tc>
          <w:tcPr>
            <w:tcW w:w="1922" w:type="dxa"/>
            <w:gridSpan w:val="2"/>
            <w:tcBorders>
              <w:top w:val="nil"/>
              <w:left w:val="nil"/>
              <w:bottom w:val="nil"/>
              <w:right w:val="nil"/>
            </w:tcBorders>
            <w:shd w:val="clear" w:color="auto" w:fill="auto"/>
          </w:tcPr>
          <w:p w:rsidR="00617CB0" w:rsidRPr="00022D33" w:rsidRDefault="00617CB0" w:rsidP="000D7011">
            <w:pPr>
              <w:pStyle w:val="Tableboldedtext"/>
              <w:jc w:val="center"/>
            </w:pPr>
            <w:r w:rsidRPr="00022D33">
              <w:t>Service 2</w:t>
            </w:r>
          </w:p>
        </w:tc>
        <w:tc>
          <w:tcPr>
            <w:tcW w:w="1811" w:type="dxa"/>
            <w:gridSpan w:val="2"/>
            <w:tcBorders>
              <w:top w:val="nil"/>
              <w:left w:val="nil"/>
              <w:bottom w:val="nil"/>
              <w:right w:val="nil"/>
            </w:tcBorders>
            <w:shd w:val="clear" w:color="auto" w:fill="auto"/>
          </w:tcPr>
          <w:p w:rsidR="00617CB0" w:rsidRPr="00022D33" w:rsidRDefault="00617CB0" w:rsidP="000D7011">
            <w:pPr>
              <w:pStyle w:val="Tableboldedtext"/>
              <w:jc w:val="center"/>
            </w:pPr>
            <w:r w:rsidRPr="00022D33">
              <w:t>Service 3</w:t>
            </w:r>
          </w:p>
        </w:tc>
        <w:tc>
          <w:tcPr>
            <w:tcW w:w="2212" w:type="dxa"/>
            <w:gridSpan w:val="2"/>
            <w:tcBorders>
              <w:top w:val="nil"/>
              <w:left w:val="nil"/>
              <w:bottom w:val="nil"/>
              <w:right w:val="nil"/>
            </w:tcBorders>
            <w:shd w:val="clear" w:color="auto" w:fill="auto"/>
          </w:tcPr>
          <w:p w:rsidR="00617CB0" w:rsidRPr="00022D33" w:rsidRDefault="00617CB0" w:rsidP="000D7011">
            <w:pPr>
              <w:pStyle w:val="Tableboldedtext"/>
              <w:jc w:val="center"/>
            </w:pPr>
            <w:r w:rsidRPr="00022D33">
              <w:t>Service 4</w:t>
            </w:r>
          </w:p>
          <w:p w:rsidR="00617CB0" w:rsidRPr="00022D33" w:rsidRDefault="00617CB0" w:rsidP="000D7011">
            <w:pPr>
              <w:pStyle w:val="Tableboldedtext"/>
              <w:jc w:val="center"/>
            </w:pPr>
          </w:p>
        </w:tc>
        <w:tc>
          <w:tcPr>
            <w:tcW w:w="1922" w:type="dxa"/>
            <w:gridSpan w:val="2"/>
            <w:tcBorders>
              <w:top w:val="nil"/>
              <w:left w:val="nil"/>
              <w:bottom w:val="nil"/>
              <w:right w:val="nil"/>
            </w:tcBorders>
            <w:shd w:val="clear" w:color="auto" w:fill="auto"/>
          </w:tcPr>
          <w:p w:rsidR="00617CB0" w:rsidRPr="00022D33" w:rsidRDefault="00617CB0" w:rsidP="000D7011">
            <w:pPr>
              <w:pStyle w:val="Tableboldedtext"/>
              <w:jc w:val="center"/>
            </w:pPr>
            <w:r w:rsidRPr="00022D33">
              <w:t>Service 5</w:t>
            </w:r>
          </w:p>
        </w:tc>
        <w:tc>
          <w:tcPr>
            <w:tcW w:w="2212" w:type="dxa"/>
            <w:gridSpan w:val="2"/>
            <w:tcBorders>
              <w:top w:val="nil"/>
              <w:left w:val="nil"/>
              <w:bottom w:val="nil"/>
              <w:right w:val="nil"/>
            </w:tcBorders>
            <w:shd w:val="clear" w:color="auto" w:fill="auto"/>
          </w:tcPr>
          <w:p w:rsidR="00617CB0" w:rsidRPr="00022D33" w:rsidRDefault="00617CB0" w:rsidP="000D7011">
            <w:pPr>
              <w:pStyle w:val="Tableboldedtext"/>
              <w:jc w:val="center"/>
            </w:pPr>
            <w:r w:rsidRPr="00022D33">
              <w:t>Total</w:t>
            </w:r>
          </w:p>
        </w:tc>
      </w:tr>
      <w:tr w:rsidR="00617CB0" w:rsidRPr="00022D33" w:rsidTr="000D7011">
        <w:trPr>
          <w:tblHeader/>
        </w:trPr>
        <w:tc>
          <w:tcPr>
            <w:tcW w:w="1638" w:type="dxa"/>
            <w:tcBorders>
              <w:top w:val="nil"/>
              <w:left w:val="nil"/>
              <w:bottom w:val="nil"/>
              <w:right w:val="nil"/>
            </w:tcBorders>
            <w:shd w:val="clear" w:color="auto" w:fill="auto"/>
          </w:tcPr>
          <w:p w:rsidR="00617CB0" w:rsidRPr="00022D33" w:rsidRDefault="00617CB0" w:rsidP="000D7011">
            <w:pPr>
              <w:pStyle w:val="BodyText"/>
            </w:pPr>
          </w:p>
        </w:tc>
        <w:tc>
          <w:tcPr>
            <w:tcW w:w="562" w:type="dxa"/>
            <w:tcBorders>
              <w:top w:val="nil"/>
              <w:left w:val="nil"/>
              <w:bottom w:val="nil"/>
              <w:right w:val="nil"/>
            </w:tcBorders>
          </w:tcPr>
          <w:p w:rsidR="00617CB0" w:rsidRPr="00022D33" w:rsidRDefault="00617CB0" w:rsidP="000D7011">
            <w:pPr>
              <w:pStyle w:val="Tableboldedtext"/>
              <w:jc w:val="right"/>
            </w:pPr>
          </w:p>
        </w:tc>
        <w:tc>
          <w:tcPr>
            <w:tcW w:w="562" w:type="dxa"/>
            <w:tcBorders>
              <w:top w:val="nil"/>
              <w:left w:val="nil"/>
              <w:bottom w:val="nil"/>
              <w:right w:val="nil"/>
            </w:tcBorders>
          </w:tcPr>
          <w:p w:rsidR="00617CB0" w:rsidRPr="00022D33" w:rsidRDefault="00617CB0" w:rsidP="000D7011">
            <w:pPr>
              <w:pStyle w:val="Tableboldedtext"/>
              <w:jc w:val="right"/>
            </w:pPr>
          </w:p>
        </w:tc>
        <w:tc>
          <w:tcPr>
            <w:tcW w:w="961" w:type="dxa"/>
            <w:tcBorders>
              <w:top w:val="nil"/>
              <w:left w:val="nil"/>
              <w:bottom w:val="nil"/>
              <w:right w:val="nil"/>
            </w:tcBorders>
            <w:shd w:val="clear" w:color="auto" w:fill="auto"/>
          </w:tcPr>
          <w:p w:rsidR="00617CB0" w:rsidRPr="00022D33" w:rsidRDefault="00617CB0" w:rsidP="000D7011">
            <w:pPr>
              <w:pStyle w:val="Tableboldedtext"/>
              <w:jc w:val="right"/>
            </w:pPr>
            <w:r w:rsidRPr="00022D33">
              <w:t xml:space="preserve">2016 </w:t>
            </w:r>
            <w:r w:rsidRPr="00022D33">
              <w:br/>
              <w:t>$000</w:t>
            </w:r>
          </w:p>
        </w:tc>
        <w:tc>
          <w:tcPr>
            <w:tcW w:w="961"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2015 $000</w:t>
            </w:r>
          </w:p>
        </w:tc>
        <w:tc>
          <w:tcPr>
            <w:tcW w:w="961"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2016 $000</w:t>
            </w:r>
          </w:p>
        </w:tc>
        <w:tc>
          <w:tcPr>
            <w:tcW w:w="961"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2015 $000</w:t>
            </w:r>
          </w:p>
        </w:tc>
        <w:tc>
          <w:tcPr>
            <w:tcW w:w="850"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2016 $000</w:t>
            </w:r>
          </w:p>
        </w:tc>
        <w:tc>
          <w:tcPr>
            <w:tcW w:w="961" w:type="dxa"/>
            <w:tcBorders>
              <w:top w:val="nil"/>
              <w:left w:val="nil"/>
              <w:bottom w:val="nil"/>
              <w:right w:val="nil"/>
            </w:tcBorders>
            <w:shd w:val="clear" w:color="auto" w:fill="auto"/>
          </w:tcPr>
          <w:p w:rsidR="00617CB0" w:rsidRPr="00022D33" w:rsidRDefault="00617CB0" w:rsidP="000D7011">
            <w:pPr>
              <w:pStyle w:val="Tableboldedtext"/>
              <w:jc w:val="right"/>
            </w:pPr>
            <w:r w:rsidRPr="00022D33">
              <w:t xml:space="preserve">2015 </w:t>
            </w:r>
            <w:r w:rsidRPr="00022D33">
              <w:br/>
              <w:t>$000</w:t>
            </w:r>
          </w:p>
        </w:tc>
        <w:tc>
          <w:tcPr>
            <w:tcW w:w="1106"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2016 $000</w:t>
            </w:r>
          </w:p>
        </w:tc>
        <w:tc>
          <w:tcPr>
            <w:tcW w:w="1106"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2015 $000</w:t>
            </w:r>
          </w:p>
        </w:tc>
        <w:tc>
          <w:tcPr>
            <w:tcW w:w="961"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2016 $000</w:t>
            </w:r>
          </w:p>
        </w:tc>
        <w:tc>
          <w:tcPr>
            <w:tcW w:w="961"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2015 $000</w:t>
            </w:r>
          </w:p>
        </w:tc>
        <w:tc>
          <w:tcPr>
            <w:tcW w:w="1106"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2016 $000</w:t>
            </w:r>
          </w:p>
        </w:tc>
        <w:tc>
          <w:tcPr>
            <w:tcW w:w="1106"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2015 $000</w:t>
            </w:r>
          </w:p>
        </w:tc>
      </w:tr>
      <w:tr w:rsidR="00617CB0" w:rsidRPr="00022D33" w:rsidTr="000D7011">
        <w:trPr>
          <w:tblHeader/>
        </w:trPr>
        <w:tc>
          <w:tcPr>
            <w:tcW w:w="2762" w:type="dxa"/>
            <w:gridSpan w:val="3"/>
            <w:tcBorders>
              <w:top w:val="nil"/>
              <w:left w:val="nil"/>
              <w:bottom w:val="nil"/>
              <w:right w:val="nil"/>
            </w:tcBorders>
            <w:shd w:val="clear" w:color="auto" w:fill="auto"/>
          </w:tcPr>
          <w:p w:rsidR="00617CB0" w:rsidRPr="00022D33" w:rsidRDefault="00617CB0" w:rsidP="000D7011">
            <w:pPr>
              <w:pStyle w:val="Tableboldedtext"/>
            </w:pPr>
            <w:r w:rsidRPr="00022D33">
              <w:t>Total income other than income from State Government</w:t>
            </w:r>
          </w:p>
        </w:tc>
        <w:tc>
          <w:tcPr>
            <w:tcW w:w="961"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3,166</w:t>
            </w:r>
          </w:p>
        </w:tc>
        <w:tc>
          <w:tcPr>
            <w:tcW w:w="961"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3,575</w:t>
            </w:r>
          </w:p>
        </w:tc>
        <w:tc>
          <w:tcPr>
            <w:tcW w:w="961"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80,339</w:t>
            </w:r>
          </w:p>
        </w:tc>
        <w:tc>
          <w:tcPr>
            <w:tcW w:w="961"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80,938</w:t>
            </w:r>
          </w:p>
        </w:tc>
        <w:tc>
          <w:tcPr>
            <w:tcW w:w="850"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334</w:t>
            </w:r>
          </w:p>
        </w:tc>
        <w:tc>
          <w:tcPr>
            <w:tcW w:w="961"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28</w:t>
            </w:r>
          </w:p>
        </w:tc>
        <w:tc>
          <w:tcPr>
            <w:tcW w:w="1106"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889,046</w:t>
            </w:r>
          </w:p>
        </w:tc>
        <w:tc>
          <w:tcPr>
            <w:tcW w:w="1106"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1,075,785</w:t>
            </w:r>
          </w:p>
        </w:tc>
        <w:tc>
          <w:tcPr>
            <w:tcW w:w="961"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43</w:t>
            </w:r>
          </w:p>
        </w:tc>
        <w:tc>
          <w:tcPr>
            <w:tcW w:w="961"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131</w:t>
            </w:r>
          </w:p>
        </w:tc>
        <w:tc>
          <w:tcPr>
            <w:tcW w:w="1106"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972,930</w:t>
            </w:r>
          </w:p>
        </w:tc>
        <w:tc>
          <w:tcPr>
            <w:tcW w:w="1106"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1,160,456</w:t>
            </w:r>
          </w:p>
        </w:tc>
      </w:tr>
      <w:tr w:rsidR="00617CB0" w:rsidRPr="00022D33" w:rsidTr="000D7011">
        <w:trPr>
          <w:tblHeader/>
        </w:trPr>
        <w:tc>
          <w:tcPr>
            <w:tcW w:w="2762" w:type="dxa"/>
            <w:gridSpan w:val="3"/>
            <w:tcBorders>
              <w:top w:val="nil"/>
              <w:left w:val="nil"/>
              <w:bottom w:val="nil"/>
              <w:right w:val="nil"/>
            </w:tcBorders>
            <w:shd w:val="clear" w:color="auto" w:fill="auto"/>
          </w:tcPr>
          <w:p w:rsidR="00617CB0" w:rsidRPr="00022D33" w:rsidRDefault="00617CB0" w:rsidP="000D7011">
            <w:pPr>
              <w:pStyle w:val="Tableboldedtext"/>
            </w:pPr>
            <w:r w:rsidRPr="00022D33">
              <w:t>NET COST OF SERVICES</w:t>
            </w:r>
          </w:p>
        </w:tc>
        <w:tc>
          <w:tcPr>
            <w:tcW w:w="961"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(53,362)</w:t>
            </w:r>
          </w:p>
        </w:tc>
        <w:tc>
          <w:tcPr>
            <w:tcW w:w="961"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(52,843)</w:t>
            </w:r>
          </w:p>
        </w:tc>
        <w:tc>
          <w:tcPr>
            <w:tcW w:w="961"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(15,510)</w:t>
            </w:r>
          </w:p>
        </w:tc>
        <w:tc>
          <w:tcPr>
            <w:tcW w:w="961"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(26,212)</w:t>
            </w:r>
          </w:p>
        </w:tc>
        <w:tc>
          <w:tcPr>
            <w:tcW w:w="850"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(6,685)</w:t>
            </w:r>
          </w:p>
        </w:tc>
        <w:tc>
          <w:tcPr>
            <w:tcW w:w="961"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(7,238)</w:t>
            </w:r>
          </w:p>
        </w:tc>
        <w:tc>
          <w:tcPr>
            <w:tcW w:w="1106"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(124,160)</w:t>
            </w:r>
          </w:p>
        </w:tc>
        <w:tc>
          <w:tcPr>
            <w:tcW w:w="1106"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(118,858)</w:t>
            </w:r>
          </w:p>
        </w:tc>
        <w:tc>
          <w:tcPr>
            <w:tcW w:w="961"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(24,353)</w:t>
            </w:r>
          </w:p>
        </w:tc>
        <w:tc>
          <w:tcPr>
            <w:tcW w:w="961"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(21,028)</w:t>
            </w:r>
          </w:p>
        </w:tc>
        <w:tc>
          <w:tcPr>
            <w:tcW w:w="1106"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(224,068)</w:t>
            </w:r>
          </w:p>
        </w:tc>
        <w:tc>
          <w:tcPr>
            <w:tcW w:w="1106"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(226,180)</w:t>
            </w:r>
          </w:p>
        </w:tc>
      </w:tr>
      <w:tr w:rsidR="00617CB0" w:rsidRPr="00022D33" w:rsidTr="000D7011">
        <w:trPr>
          <w:tblHeader/>
        </w:trPr>
        <w:tc>
          <w:tcPr>
            <w:tcW w:w="2762" w:type="dxa"/>
            <w:gridSpan w:val="3"/>
            <w:tcBorders>
              <w:top w:val="nil"/>
              <w:left w:val="nil"/>
              <w:bottom w:val="nil"/>
              <w:right w:val="nil"/>
            </w:tcBorders>
            <w:shd w:val="clear" w:color="auto" w:fill="auto"/>
          </w:tcPr>
          <w:p w:rsidR="00617CB0" w:rsidRPr="00022D33" w:rsidRDefault="00617CB0" w:rsidP="000D7011">
            <w:pPr>
              <w:pStyle w:val="Tabletext"/>
              <w:rPr>
                <w:b/>
              </w:rPr>
            </w:pP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p>
        </w:tc>
        <w:tc>
          <w:tcPr>
            <w:tcW w:w="850" w:type="dxa"/>
            <w:tcBorders>
              <w:top w:val="nil"/>
              <w:left w:val="nil"/>
              <w:bottom w:val="nil"/>
              <w:right w:val="nil"/>
            </w:tcBorders>
            <w:shd w:val="clear" w:color="auto" w:fill="auto"/>
          </w:tcPr>
          <w:p w:rsidR="00617CB0" w:rsidRPr="00022D33" w:rsidRDefault="00617CB0" w:rsidP="000D7011">
            <w:pPr>
              <w:pStyle w:val="Tabletext"/>
              <w:jc w:val="right"/>
            </w:pP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rPr>
          <w:tblHeader/>
        </w:trPr>
        <w:tc>
          <w:tcPr>
            <w:tcW w:w="2762" w:type="dxa"/>
            <w:gridSpan w:val="3"/>
            <w:tcBorders>
              <w:top w:val="nil"/>
              <w:left w:val="nil"/>
              <w:bottom w:val="nil"/>
              <w:right w:val="nil"/>
            </w:tcBorders>
            <w:shd w:val="clear" w:color="auto" w:fill="auto"/>
          </w:tcPr>
          <w:p w:rsidR="00617CB0" w:rsidRPr="00022D33" w:rsidRDefault="00617CB0" w:rsidP="000D7011">
            <w:pPr>
              <w:pStyle w:val="Tabletext"/>
              <w:rPr>
                <w:b/>
              </w:rPr>
            </w:pPr>
            <w:r w:rsidRPr="00022D33">
              <w:rPr>
                <w:b/>
              </w:rPr>
              <w:t>INCOME FROM STATE GOVERNMENT</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p>
        </w:tc>
        <w:tc>
          <w:tcPr>
            <w:tcW w:w="850" w:type="dxa"/>
            <w:tcBorders>
              <w:top w:val="nil"/>
              <w:left w:val="nil"/>
              <w:bottom w:val="nil"/>
              <w:right w:val="nil"/>
            </w:tcBorders>
            <w:shd w:val="clear" w:color="auto" w:fill="auto"/>
          </w:tcPr>
          <w:p w:rsidR="00617CB0" w:rsidRPr="00022D33" w:rsidRDefault="00617CB0" w:rsidP="000D7011">
            <w:pPr>
              <w:pStyle w:val="Tabletext"/>
              <w:jc w:val="right"/>
            </w:pP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rPr>
          <w:tblHeader/>
        </w:trPr>
        <w:tc>
          <w:tcPr>
            <w:tcW w:w="2762" w:type="dxa"/>
            <w:gridSpan w:val="3"/>
            <w:tcBorders>
              <w:top w:val="nil"/>
              <w:left w:val="nil"/>
              <w:bottom w:val="nil"/>
              <w:right w:val="nil"/>
            </w:tcBorders>
            <w:shd w:val="clear" w:color="auto" w:fill="auto"/>
          </w:tcPr>
          <w:p w:rsidR="00617CB0" w:rsidRPr="00022D33" w:rsidRDefault="00617CB0" w:rsidP="000D7011">
            <w:pPr>
              <w:pStyle w:val="Tabletext"/>
            </w:pPr>
            <w:r w:rsidRPr="00022D33">
              <w:t xml:space="preserve">Service appropriations -(a) </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53,680</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46,941</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19,812</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31,510</w:t>
            </w:r>
          </w:p>
        </w:tc>
        <w:tc>
          <w:tcPr>
            <w:tcW w:w="850" w:type="dxa"/>
            <w:tcBorders>
              <w:top w:val="nil"/>
              <w:left w:val="nil"/>
              <w:bottom w:val="nil"/>
              <w:right w:val="nil"/>
            </w:tcBorders>
            <w:shd w:val="clear" w:color="auto" w:fill="auto"/>
          </w:tcPr>
          <w:p w:rsidR="00617CB0" w:rsidRPr="00022D33" w:rsidRDefault="00617CB0" w:rsidP="000D7011">
            <w:pPr>
              <w:pStyle w:val="Tabletext"/>
              <w:jc w:val="right"/>
            </w:pPr>
            <w:r w:rsidRPr="00022D33">
              <w:t>6,685</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7,098</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78,930</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70,171</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29,826</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22,306</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188,932</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178,026</w:t>
            </w:r>
          </w:p>
        </w:tc>
      </w:tr>
      <w:tr w:rsidR="00617CB0" w:rsidRPr="00022D33" w:rsidTr="000D7011">
        <w:trPr>
          <w:tblHeader/>
        </w:trPr>
        <w:tc>
          <w:tcPr>
            <w:tcW w:w="2762" w:type="dxa"/>
            <w:gridSpan w:val="3"/>
            <w:tcBorders>
              <w:top w:val="nil"/>
              <w:left w:val="nil"/>
              <w:bottom w:val="nil"/>
              <w:right w:val="nil"/>
            </w:tcBorders>
            <w:shd w:val="clear" w:color="auto" w:fill="auto"/>
          </w:tcPr>
          <w:p w:rsidR="00617CB0" w:rsidRPr="00022D33" w:rsidRDefault="00617CB0" w:rsidP="000D7011">
            <w:pPr>
              <w:pStyle w:val="Tabletext"/>
            </w:pPr>
            <w:r w:rsidRPr="00022D33">
              <w:t xml:space="preserve">Resources received free of charge </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12,884</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12,763</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73</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165</w:t>
            </w:r>
          </w:p>
        </w:tc>
        <w:tc>
          <w:tcPr>
            <w:tcW w:w="850"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140</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903</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718</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656</w:t>
            </w:r>
          </w:p>
        </w:tc>
        <w:tc>
          <w:tcPr>
            <w:tcW w:w="961" w:type="dxa"/>
            <w:tcBorders>
              <w:top w:val="nil"/>
              <w:left w:val="nil"/>
              <w:bottom w:val="nil"/>
              <w:right w:val="nil"/>
            </w:tcBorders>
            <w:shd w:val="clear" w:color="auto" w:fill="auto"/>
          </w:tcPr>
          <w:p w:rsidR="00617CB0" w:rsidRPr="00022D33" w:rsidRDefault="00617CB0" w:rsidP="000D7011">
            <w:pPr>
              <w:pStyle w:val="Tabletext"/>
              <w:jc w:val="right"/>
            </w:pPr>
            <w:r w:rsidRPr="00022D33">
              <w:t>279</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14,518</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14,065</w:t>
            </w:r>
          </w:p>
        </w:tc>
      </w:tr>
      <w:tr w:rsidR="00617CB0" w:rsidRPr="00022D33" w:rsidTr="000D7011">
        <w:trPr>
          <w:tblHeader/>
        </w:trPr>
        <w:tc>
          <w:tcPr>
            <w:tcW w:w="2762" w:type="dxa"/>
            <w:gridSpan w:val="3"/>
            <w:tcBorders>
              <w:top w:val="nil"/>
              <w:left w:val="nil"/>
              <w:bottom w:val="nil"/>
              <w:right w:val="nil"/>
            </w:tcBorders>
            <w:shd w:val="clear" w:color="auto" w:fill="auto"/>
          </w:tcPr>
          <w:p w:rsidR="00617CB0" w:rsidRPr="00022D33" w:rsidRDefault="00617CB0" w:rsidP="000D7011">
            <w:pPr>
              <w:pStyle w:val="Tabletext"/>
            </w:pPr>
            <w:r w:rsidRPr="00022D33">
              <w:t>Royalties for Regions Fund</w:t>
            </w:r>
          </w:p>
        </w:tc>
        <w:tc>
          <w:tcPr>
            <w:tcW w:w="961"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w:t>
            </w:r>
          </w:p>
        </w:tc>
        <w:tc>
          <w:tcPr>
            <w:tcW w:w="961"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w:t>
            </w:r>
          </w:p>
        </w:tc>
        <w:tc>
          <w:tcPr>
            <w:tcW w:w="961"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w:t>
            </w:r>
          </w:p>
        </w:tc>
        <w:tc>
          <w:tcPr>
            <w:tcW w:w="961"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w:t>
            </w:r>
          </w:p>
        </w:tc>
        <w:tc>
          <w:tcPr>
            <w:tcW w:w="850"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w:t>
            </w:r>
          </w:p>
        </w:tc>
        <w:tc>
          <w:tcPr>
            <w:tcW w:w="961"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w:t>
            </w:r>
          </w:p>
        </w:tc>
        <w:tc>
          <w:tcPr>
            <w:tcW w:w="1106"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127</w:t>
            </w:r>
          </w:p>
        </w:tc>
        <w:tc>
          <w:tcPr>
            <w:tcW w:w="1106"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189</w:t>
            </w:r>
          </w:p>
        </w:tc>
        <w:tc>
          <w:tcPr>
            <w:tcW w:w="961"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w:t>
            </w:r>
          </w:p>
        </w:tc>
        <w:tc>
          <w:tcPr>
            <w:tcW w:w="961"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w:t>
            </w:r>
          </w:p>
        </w:tc>
        <w:tc>
          <w:tcPr>
            <w:tcW w:w="1106"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127</w:t>
            </w:r>
          </w:p>
        </w:tc>
        <w:tc>
          <w:tcPr>
            <w:tcW w:w="1106"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189</w:t>
            </w:r>
          </w:p>
        </w:tc>
      </w:tr>
      <w:tr w:rsidR="00617CB0" w:rsidRPr="00022D33" w:rsidTr="000D7011">
        <w:trPr>
          <w:tblHeader/>
        </w:trPr>
        <w:tc>
          <w:tcPr>
            <w:tcW w:w="2762" w:type="dxa"/>
            <w:gridSpan w:val="3"/>
            <w:tcBorders>
              <w:top w:val="nil"/>
              <w:left w:val="nil"/>
              <w:bottom w:val="nil"/>
              <w:right w:val="nil"/>
            </w:tcBorders>
            <w:shd w:val="clear" w:color="auto" w:fill="auto"/>
          </w:tcPr>
          <w:p w:rsidR="00617CB0" w:rsidRPr="00022D33" w:rsidRDefault="00617CB0" w:rsidP="000D7011">
            <w:pPr>
              <w:pStyle w:val="Tableboldedtext"/>
            </w:pPr>
            <w:r w:rsidRPr="00022D33">
              <w:t>Total income from State Government</w:t>
            </w:r>
          </w:p>
        </w:tc>
        <w:tc>
          <w:tcPr>
            <w:tcW w:w="961"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66,564</w:t>
            </w:r>
          </w:p>
        </w:tc>
        <w:tc>
          <w:tcPr>
            <w:tcW w:w="961"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59,704</w:t>
            </w:r>
          </w:p>
        </w:tc>
        <w:tc>
          <w:tcPr>
            <w:tcW w:w="961"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19,885</w:t>
            </w:r>
          </w:p>
        </w:tc>
        <w:tc>
          <w:tcPr>
            <w:tcW w:w="961"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31,675</w:t>
            </w:r>
          </w:p>
        </w:tc>
        <w:tc>
          <w:tcPr>
            <w:tcW w:w="850"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6,685</w:t>
            </w:r>
          </w:p>
        </w:tc>
        <w:tc>
          <w:tcPr>
            <w:tcW w:w="961"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7,238</w:t>
            </w:r>
          </w:p>
        </w:tc>
        <w:tc>
          <w:tcPr>
            <w:tcW w:w="1106"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79,960</w:t>
            </w:r>
          </w:p>
        </w:tc>
        <w:tc>
          <w:tcPr>
            <w:tcW w:w="1106"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71,078</w:t>
            </w:r>
          </w:p>
        </w:tc>
        <w:tc>
          <w:tcPr>
            <w:tcW w:w="961"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30,482</w:t>
            </w:r>
          </w:p>
        </w:tc>
        <w:tc>
          <w:tcPr>
            <w:tcW w:w="961"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22,585</w:t>
            </w:r>
          </w:p>
        </w:tc>
        <w:tc>
          <w:tcPr>
            <w:tcW w:w="1106"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203,577</w:t>
            </w:r>
          </w:p>
        </w:tc>
        <w:tc>
          <w:tcPr>
            <w:tcW w:w="1106"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192,280</w:t>
            </w:r>
          </w:p>
        </w:tc>
      </w:tr>
      <w:tr w:rsidR="00617CB0" w:rsidRPr="00022D33" w:rsidTr="000D7011">
        <w:trPr>
          <w:tblHeader/>
        </w:trPr>
        <w:tc>
          <w:tcPr>
            <w:tcW w:w="2762" w:type="dxa"/>
            <w:gridSpan w:val="3"/>
            <w:tcBorders>
              <w:top w:val="nil"/>
              <w:left w:val="nil"/>
              <w:bottom w:val="nil"/>
              <w:right w:val="nil"/>
            </w:tcBorders>
            <w:shd w:val="clear" w:color="auto" w:fill="auto"/>
          </w:tcPr>
          <w:p w:rsidR="00617CB0" w:rsidRPr="00022D33" w:rsidRDefault="00617CB0" w:rsidP="000D7011">
            <w:pPr>
              <w:pStyle w:val="Tableboldedtext"/>
            </w:pPr>
            <w:r w:rsidRPr="00022D33">
              <w:t>SURPLUS/DEFICIT FOR THE PERIOD</w:t>
            </w:r>
          </w:p>
        </w:tc>
        <w:tc>
          <w:tcPr>
            <w:tcW w:w="961"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13,202</w:t>
            </w:r>
          </w:p>
        </w:tc>
        <w:tc>
          <w:tcPr>
            <w:tcW w:w="961"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6,862</w:t>
            </w:r>
          </w:p>
        </w:tc>
        <w:tc>
          <w:tcPr>
            <w:tcW w:w="961"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4,375</w:t>
            </w:r>
          </w:p>
        </w:tc>
        <w:tc>
          <w:tcPr>
            <w:tcW w:w="961"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5,463</w:t>
            </w:r>
          </w:p>
        </w:tc>
        <w:tc>
          <w:tcPr>
            <w:tcW w:w="850"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w:t>
            </w:r>
          </w:p>
        </w:tc>
        <w:tc>
          <w:tcPr>
            <w:tcW w:w="961"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w:t>
            </w:r>
          </w:p>
        </w:tc>
        <w:tc>
          <w:tcPr>
            <w:tcW w:w="1106"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(44,200)</w:t>
            </w:r>
          </w:p>
        </w:tc>
        <w:tc>
          <w:tcPr>
            <w:tcW w:w="1106"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(47,780)</w:t>
            </w:r>
          </w:p>
        </w:tc>
        <w:tc>
          <w:tcPr>
            <w:tcW w:w="961"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6,129</w:t>
            </w:r>
          </w:p>
        </w:tc>
        <w:tc>
          <w:tcPr>
            <w:tcW w:w="961"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1,557</w:t>
            </w:r>
          </w:p>
        </w:tc>
        <w:tc>
          <w:tcPr>
            <w:tcW w:w="1106"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(20,491)</w:t>
            </w:r>
          </w:p>
        </w:tc>
        <w:tc>
          <w:tcPr>
            <w:tcW w:w="1106"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(33,900)</w:t>
            </w:r>
          </w:p>
        </w:tc>
      </w:tr>
    </w:tbl>
    <w:p w:rsidR="00617CB0" w:rsidRPr="00022D33" w:rsidRDefault="00617CB0" w:rsidP="00617CB0">
      <w:pPr>
        <w:pStyle w:val="BodyText"/>
      </w:pPr>
      <w:r w:rsidRPr="00022D33">
        <w:t>The Schedule of Income and Expenses by Service should be read in conjunction with the accompanying notes.</w:t>
      </w:r>
    </w:p>
    <w:p w:rsidR="00617CB0" w:rsidRPr="00022D33" w:rsidRDefault="00617CB0" w:rsidP="00617CB0">
      <w:pPr>
        <w:pStyle w:val="BodyText"/>
      </w:pPr>
      <w:r w:rsidRPr="00022D33">
        <w:t>Service 1: Revenue assessment and collection, and grants and subsidies administration</w:t>
      </w:r>
    </w:p>
    <w:p w:rsidR="00617CB0" w:rsidRPr="00022D33" w:rsidRDefault="00617CB0" w:rsidP="00617CB0">
      <w:pPr>
        <w:pStyle w:val="BodyText"/>
      </w:pPr>
      <w:r w:rsidRPr="00022D33">
        <w:t>Service 2: Development and management of common use contract arrangements, state fleet leasing and disposal, and providing facilitation service for agency specific contracts</w:t>
      </w:r>
    </w:p>
    <w:p w:rsidR="00617CB0" w:rsidRPr="00022D33" w:rsidRDefault="00617CB0" w:rsidP="00617CB0">
      <w:pPr>
        <w:pStyle w:val="BodyText"/>
      </w:pPr>
      <w:r w:rsidRPr="00022D33">
        <w:t>Service 3: Corporate Services to the Department of Treasury</w:t>
      </w:r>
    </w:p>
    <w:p w:rsidR="00617CB0" w:rsidRPr="00022D33" w:rsidRDefault="00617CB0" w:rsidP="00617CB0">
      <w:pPr>
        <w:pStyle w:val="BodyText"/>
      </w:pPr>
      <w:r w:rsidRPr="00022D33">
        <w:t>Service 4: Leads the planning, delivery, management and maintenance of government buildings, projects and office accommodation</w:t>
      </w:r>
    </w:p>
    <w:p w:rsidR="00617CB0" w:rsidRPr="00022D33" w:rsidRDefault="00617CB0" w:rsidP="00617CB0">
      <w:pPr>
        <w:pStyle w:val="BodyText"/>
      </w:pPr>
      <w:r w:rsidRPr="00022D33">
        <w:t>Service 5: Development and implementation of energy policy and economic reform; assessment of proposed policy changes and the impact on regulatory functions</w:t>
      </w:r>
    </w:p>
    <w:p w:rsidR="00617CB0" w:rsidRPr="00022D33" w:rsidRDefault="00617CB0" w:rsidP="00617CB0">
      <w:pPr>
        <w:pStyle w:val="Heading2"/>
      </w:pPr>
      <w:r w:rsidRPr="00022D33">
        <w:br w:type="page"/>
      </w:r>
      <w:r w:rsidRPr="00022D33">
        <w:lastRenderedPageBreak/>
        <w:t>Schedule of Assets and Liabilities by Service</w:t>
      </w:r>
    </w:p>
    <w:p w:rsidR="00617CB0" w:rsidRPr="00022D33" w:rsidRDefault="00617CB0" w:rsidP="00617CB0">
      <w:pPr>
        <w:pStyle w:val="Heading3"/>
      </w:pPr>
      <w:r w:rsidRPr="00022D33">
        <w:t>For the year ended 30 June 2016</w:t>
      </w:r>
    </w:p>
    <w:p w:rsidR="00617CB0" w:rsidRPr="00022D33" w:rsidRDefault="00196F4C" w:rsidP="00617CB0">
      <w:pPr>
        <w:pStyle w:val="Caption"/>
        <w:keepNext/>
        <w:spacing w:after="60"/>
        <w:rPr>
          <w:noProof/>
        </w:rPr>
      </w:pPr>
      <w:fldSimple w:instr=" SEQ Table \* ARABIC ">
        <w:r w:rsidR="00D8778B">
          <w:rPr>
            <w:noProof/>
          </w:rPr>
          <w:t>11</w:t>
        </w:r>
      </w:fldSimple>
      <w:r w:rsidR="00617CB0" w:rsidRPr="00022D33">
        <w:rPr>
          <w:noProof/>
        </w:rPr>
        <w:t xml:space="preserve"> Schedule of Assets and Liabilities by Service. For the year ended 30 June 2016</w:t>
      </w:r>
    </w:p>
    <w:tbl>
      <w:tblPr>
        <w:tblW w:w="14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1010"/>
        <w:gridCol w:w="951"/>
        <w:gridCol w:w="939"/>
        <w:gridCol w:w="939"/>
        <w:gridCol w:w="939"/>
        <w:gridCol w:w="939"/>
        <w:gridCol w:w="760"/>
        <w:gridCol w:w="815"/>
        <w:gridCol w:w="1106"/>
        <w:gridCol w:w="1106"/>
        <w:gridCol w:w="932"/>
        <w:gridCol w:w="932"/>
        <w:gridCol w:w="1106"/>
        <w:gridCol w:w="1106"/>
      </w:tblGrid>
      <w:tr w:rsidR="00617CB0" w:rsidRPr="00022D33" w:rsidTr="000D7011">
        <w:tc>
          <w:tcPr>
            <w:tcW w:w="1345" w:type="dxa"/>
            <w:tcBorders>
              <w:top w:val="nil"/>
              <w:left w:val="nil"/>
              <w:bottom w:val="nil"/>
              <w:right w:val="nil"/>
            </w:tcBorders>
            <w:shd w:val="clear" w:color="auto" w:fill="auto"/>
          </w:tcPr>
          <w:p w:rsidR="00617CB0" w:rsidRPr="00022D33" w:rsidRDefault="00617CB0" w:rsidP="000D7011">
            <w:pPr>
              <w:pStyle w:val="BodyText"/>
            </w:pPr>
          </w:p>
        </w:tc>
        <w:tc>
          <w:tcPr>
            <w:tcW w:w="1143" w:type="dxa"/>
            <w:tcBorders>
              <w:top w:val="nil"/>
              <w:left w:val="nil"/>
              <w:bottom w:val="nil"/>
              <w:right w:val="nil"/>
            </w:tcBorders>
          </w:tcPr>
          <w:p w:rsidR="00617CB0" w:rsidRPr="00022D33" w:rsidRDefault="00617CB0" w:rsidP="000D7011">
            <w:pPr>
              <w:pStyle w:val="Tableboldedtext"/>
              <w:jc w:val="center"/>
            </w:pPr>
          </w:p>
        </w:tc>
        <w:tc>
          <w:tcPr>
            <w:tcW w:w="1143" w:type="dxa"/>
            <w:tcBorders>
              <w:top w:val="nil"/>
              <w:left w:val="nil"/>
              <w:bottom w:val="nil"/>
              <w:right w:val="nil"/>
            </w:tcBorders>
          </w:tcPr>
          <w:p w:rsidR="00617CB0" w:rsidRPr="00022D33" w:rsidRDefault="00617CB0" w:rsidP="000D7011">
            <w:pPr>
              <w:pStyle w:val="Tableboldedtext"/>
              <w:jc w:val="center"/>
            </w:pPr>
          </w:p>
        </w:tc>
        <w:tc>
          <w:tcPr>
            <w:tcW w:w="1878" w:type="dxa"/>
            <w:gridSpan w:val="2"/>
            <w:tcBorders>
              <w:top w:val="nil"/>
              <w:left w:val="nil"/>
              <w:bottom w:val="nil"/>
              <w:right w:val="nil"/>
            </w:tcBorders>
            <w:shd w:val="clear" w:color="auto" w:fill="auto"/>
          </w:tcPr>
          <w:p w:rsidR="00617CB0" w:rsidRPr="00022D33" w:rsidRDefault="00617CB0" w:rsidP="000D7011">
            <w:pPr>
              <w:pStyle w:val="Tableboldedtext"/>
              <w:jc w:val="center"/>
            </w:pPr>
            <w:r w:rsidRPr="00022D33">
              <w:t>Service 1</w:t>
            </w:r>
          </w:p>
        </w:tc>
        <w:tc>
          <w:tcPr>
            <w:tcW w:w="1878" w:type="dxa"/>
            <w:gridSpan w:val="2"/>
            <w:tcBorders>
              <w:top w:val="nil"/>
              <w:left w:val="nil"/>
              <w:bottom w:val="nil"/>
              <w:right w:val="nil"/>
            </w:tcBorders>
            <w:shd w:val="clear" w:color="auto" w:fill="auto"/>
          </w:tcPr>
          <w:p w:rsidR="00617CB0" w:rsidRPr="00022D33" w:rsidRDefault="00617CB0" w:rsidP="000D7011">
            <w:pPr>
              <w:pStyle w:val="Tableboldedtext"/>
              <w:jc w:val="center"/>
            </w:pPr>
            <w:r w:rsidRPr="00022D33">
              <w:t>Service 2</w:t>
            </w:r>
          </w:p>
        </w:tc>
        <w:tc>
          <w:tcPr>
            <w:tcW w:w="1642" w:type="dxa"/>
            <w:gridSpan w:val="2"/>
            <w:tcBorders>
              <w:top w:val="nil"/>
              <w:left w:val="nil"/>
              <w:bottom w:val="nil"/>
              <w:right w:val="nil"/>
            </w:tcBorders>
            <w:shd w:val="clear" w:color="auto" w:fill="auto"/>
          </w:tcPr>
          <w:p w:rsidR="00617CB0" w:rsidRPr="00022D33" w:rsidRDefault="00617CB0" w:rsidP="000D7011">
            <w:pPr>
              <w:pStyle w:val="Tableboldedtext"/>
              <w:jc w:val="center"/>
            </w:pPr>
            <w:r w:rsidRPr="00022D33">
              <w:t>Service 3</w:t>
            </w:r>
          </w:p>
        </w:tc>
        <w:tc>
          <w:tcPr>
            <w:tcW w:w="2212" w:type="dxa"/>
            <w:gridSpan w:val="2"/>
            <w:tcBorders>
              <w:top w:val="nil"/>
              <w:left w:val="nil"/>
              <w:bottom w:val="nil"/>
              <w:right w:val="nil"/>
            </w:tcBorders>
            <w:shd w:val="clear" w:color="auto" w:fill="auto"/>
          </w:tcPr>
          <w:p w:rsidR="00617CB0" w:rsidRPr="00022D33" w:rsidRDefault="00617CB0" w:rsidP="000D7011">
            <w:pPr>
              <w:pStyle w:val="Tableboldedtext"/>
              <w:jc w:val="center"/>
            </w:pPr>
            <w:r w:rsidRPr="00022D33">
              <w:t>Service 4</w:t>
            </w:r>
          </w:p>
        </w:tc>
        <w:tc>
          <w:tcPr>
            <w:tcW w:w="1918" w:type="dxa"/>
            <w:gridSpan w:val="2"/>
            <w:tcBorders>
              <w:top w:val="nil"/>
              <w:left w:val="nil"/>
              <w:bottom w:val="nil"/>
              <w:right w:val="nil"/>
            </w:tcBorders>
            <w:shd w:val="clear" w:color="auto" w:fill="auto"/>
          </w:tcPr>
          <w:p w:rsidR="00617CB0" w:rsidRPr="00022D33" w:rsidRDefault="00617CB0" w:rsidP="000D7011">
            <w:pPr>
              <w:pStyle w:val="Tableboldedtext"/>
              <w:jc w:val="center"/>
            </w:pPr>
            <w:r w:rsidRPr="00022D33">
              <w:t>Service 5</w:t>
            </w:r>
          </w:p>
        </w:tc>
        <w:tc>
          <w:tcPr>
            <w:tcW w:w="1604" w:type="dxa"/>
            <w:gridSpan w:val="2"/>
            <w:tcBorders>
              <w:top w:val="nil"/>
              <w:left w:val="nil"/>
              <w:bottom w:val="nil"/>
              <w:right w:val="nil"/>
            </w:tcBorders>
            <w:shd w:val="clear" w:color="auto" w:fill="auto"/>
          </w:tcPr>
          <w:p w:rsidR="00617CB0" w:rsidRPr="00022D33" w:rsidRDefault="00617CB0" w:rsidP="000D7011">
            <w:pPr>
              <w:pStyle w:val="Tableboldedtext"/>
              <w:jc w:val="center"/>
            </w:pPr>
            <w:r w:rsidRPr="00022D33">
              <w:t>Total</w:t>
            </w:r>
          </w:p>
        </w:tc>
      </w:tr>
      <w:tr w:rsidR="00617CB0" w:rsidRPr="00022D33" w:rsidTr="000D7011">
        <w:tc>
          <w:tcPr>
            <w:tcW w:w="1345" w:type="dxa"/>
            <w:tcBorders>
              <w:top w:val="nil"/>
              <w:left w:val="nil"/>
              <w:bottom w:val="nil"/>
              <w:right w:val="nil"/>
            </w:tcBorders>
            <w:shd w:val="clear" w:color="auto" w:fill="auto"/>
          </w:tcPr>
          <w:p w:rsidR="00617CB0" w:rsidRPr="00022D33" w:rsidRDefault="00617CB0" w:rsidP="000D7011">
            <w:pPr>
              <w:pStyle w:val="BodyText"/>
            </w:pPr>
          </w:p>
        </w:tc>
        <w:tc>
          <w:tcPr>
            <w:tcW w:w="1143" w:type="dxa"/>
            <w:tcBorders>
              <w:top w:val="nil"/>
              <w:left w:val="nil"/>
              <w:bottom w:val="nil"/>
              <w:right w:val="nil"/>
            </w:tcBorders>
          </w:tcPr>
          <w:p w:rsidR="00617CB0" w:rsidRPr="00022D33" w:rsidRDefault="00617CB0" w:rsidP="000D7011">
            <w:pPr>
              <w:pStyle w:val="Tableboldedtext"/>
              <w:jc w:val="right"/>
            </w:pPr>
          </w:p>
        </w:tc>
        <w:tc>
          <w:tcPr>
            <w:tcW w:w="1143" w:type="dxa"/>
            <w:tcBorders>
              <w:top w:val="nil"/>
              <w:left w:val="nil"/>
              <w:bottom w:val="nil"/>
              <w:right w:val="nil"/>
            </w:tcBorders>
          </w:tcPr>
          <w:p w:rsidR="00617CB0" w:rsidRPr="00022D33" w:rsidRDefault="00617CB0" w:rsidP="000D7011">
            <w:pPr>
              <w:pStyle w:val="Tableboldedtext"/>
              <w:jc w:val="right"/>
            </w:pPr>
          </w:p>
        </w:tc>
        <w:tc>
          <w:tcPr>
            <w:tcW w:w="939"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939"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c>
          <w:tcPr>
            <w:tcW w:w="939"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939"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c>
          <w:tcPr>
            <w:tcW w:w="786"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 xml:space="preserve"> $000</w:t>
            </w:r>
          </w:p>
        </w:tc>
        <w:tc>
          <w:tcPr>
            <w:tcW w:w="856"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c>
          <w:tcPr>
            <w:tcW w:w="1106"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106"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c>
          <w:tcPr>
            <w:tcW w:w="959"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959"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c>
          <w:tcPr>
            <w:tcW w:w="802"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802"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2488" w:type="dxa"/>
            <w:gridSpan w:val="2"/>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Assets</w:t>
            </w:r>
          </w:p>
        </w:tc>
        <w:tc>
          <w:tcPr>
            <w:tcW w:w="1143" w:type="dxa"/>
            <w:tcBorders>
              <w:top w:val="nil"/>
              <w:left w:val="nil"/>
              <w:bottom w:val="nil"/>
              <w:right w:val="nil"/>
            </w:tcBorders>
          </w:tcPr>
          <w:p w:rsidR="00617CB0" w:rsidRPr="00022D33" w:rsidRDefault="00617CB0" w:rsidP="000D7011">
            <w:pPr>
              <w:pStyle w:val="Tabletext"/>
              <w:jc w:val="right"/>
            </w:pPr>
          </w:p>
        </w:tc>
        <w:tc>
          <w:tcPr>
            <w:tcW w:w="939" w:type="dxa"/>
            <w:tcBorders>
              <w:top w:val="nil"/>
              <w:left w:val="nil"/>
              <w:bottom w:val="nil"/>
              <w:right w:val="nil"/>
            </w:tcBorders>
            <w:shd w:val="clear" w:color="auto" w:fill="auto"/>
          </w:tcPr>
          <w:p w:rsidR="00617CB0" w:rsidRPr="00022D33" w:rsidRDefault="00617CB0" w:rsidP="000D7011">
            <w:pPr>
              <w:pStyle w:val="Tabletext"/>
              <w:jc w:val="right"/>
            </w:pPr>
          </w:p>
        </w:tc>
        <w:tc>
          <w:tcPr>
            <w:tcW w:w="939" w:type="dxa"/>
            <w:tcBorders>
              <w:top w:val="nil"/>
              <w:left w:val="nil"/>
              <w:bottom w:val="nil"/>
              <w:right w:val="nil"/>
            </w:tcBorders>
            <w:shd w:val="clear" w:color="auto" w:fill="auto"/>
          </w:tcPr>
          <w:p w:rsidR="00617CB0" w:rsidRPr="00022D33" w:rsidRDefault="00617CB0" w:rsidP="000D7011">
            <w:pPr>
              <w:pStyle w:val="Tabletext"/>
              <w:jc w:val="right"/>
            </w:pPr>
          </w:p>
        </w:tc>
        <w:tc>
          <w:tcPr>
            <w:tcW w:w="939" w:type="dxa"/>
            <w:tcBorders>
              <w:top w:val="nil"/>
              <w:left w:val="nil"/>
              <w:bottom w:val="nil"/>
              <w:right w:val="nil"/>
            </w:tcBorders>
            <w:shd w:val="clear" w:color="auto" w:fill="auto"/>
          </w:tcPr>
          <w:p w:rsidR="00617CB0" w:rsidRPr="00022D33" w:rsidRDefault="00617CB0" w:rsidP="000D7011">
            <w:pPr>
              <w:pStyle w:val="Tabletext"/>
              <w:jc w:val="right"/>
            </w:pPr>
          </w:p>
        </w:tc>
        <w:tc>
          <w:tcPr>
            <w:tcW w:w="939" w:type="dxa"/>
            <w:tcBorders>
              <w:top w:val="nil"/>
              <w:left w:val="nil"/>
              <w:bottom w:val="nil"/>
              <w:right w:val="nil"/>
            </w:tcBorders>
            <w:shd w:val="clear" w:color="auto" w:fill="auto"/>
          </w:tcPr>
          <w:p w:rsidR="00617CB0" w:rsidRPr="00022D33" w:rsidRDefault="00617CB0" w:rsidP="000D7011">
            <w:pPr>
              <w:pStyle w:val="Tabletext"/>
              <w:jc w:val="right"/>
            </w:pPr>
          </w:p>
        </w:tc>
        <w:tc>
          <w:tcPr>
            <w:tcW w:w="786" w:type="dxa"/>
            <w:tcBorders>
              <w:top w:val="nil"/>
              <w:left w:val="nil"/>
              <w:bottom w:val="nil"/>
              <w:right w:val="nil"/>
            </w:tcBorders>
            <w:shd w:val="clear" w:color="auto" w:fill="auto"/>
          </w:tcPr>
          <w:p w:rsidR="00617CB0" w:rsidRPr="00022D33" w:rsidRDefault="00617CB0" w:rsidP="000D7011">
            <w:pPr>
              <w:pStyle w:val="Tabletext"/>
              <w:jc w:val="right"/>
            </w:pPr>
          </w:p>
        </w:tc>
        <w:tc>
          <w:tcPr>
            <w:tcW w:w="856" w:type="dxa"/>
            <w:tcBorders>
              <w:top w:val="nil"/>
              <w:left w:val="nil"/>
              <w:bottom w:val="nil"/>
              <w:right w:val="nil"/>
            </w:tcBorders>
            <w:shd w:val="clear" w:color="auto" w:fill="auto"/>
          </w:tcPr>
          <w:p w:rsidR="00617CB0" w:rsidRPr="00022D33" w:rsidRDefault="00617CB0" w:rsidP="000D7011">
            <w:pPr>
              <w:pStyle w:val="Tabletext"/>
              <w:jc w:val="right"/>
            </w:pP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p>
        </w:tc>
        <w:tc>
          <w:tcPr>
            <w:tcW w:w="959" w:type="dxa"/>
            <w:tcBorders>
              <w:top w:val="nil"/>
              <w:left w:val="nil"/>
              <w:bottom w:val="nil"/>
              <w:right w:val="nil"/>
            </w:tcBorders>
            <w:shd w:val="clear" w:color="auto" w:fill="auto"/>
          </w:tcPr>
          <w:p w:rsidR="00617CB0" w:rsidRPr="00022D33" w:rsidRDefault="00617CB0" w:rsidP="000D7011">
            <w:pPr>
              <w:pStyle w:val="Tabletext"/>
              <w:jc w:val="right"/>
            </w:pPr>
          </w:p>
        </w:tc>
        <w:tc>
          <w:tcPr>
            <w:tcW w:w="959" w:type="dxa"/>
            <w:tcBorders>
              <w:top w:val="nil"/>
              <w:left w:val="nil"/>
              <w:bottom w:val="nil"/>
              <w:right w:val="nil"/>
            </w:tcBorders>
            <w:shd w:val="clear" w:color="auto" w:fill="auto"/>
          </w:tcPr>
          <w:p w:rsidR="00617CB0" w:rsidRPr="00022D33" w:rsidRDefault="00617CB0" w:rsidP="000D7011">
            <w:pPr>
              <w:pStyle w:val="Tabletext"/>
              <w:jc w:val="right"/>
            </w:pPr>
          </w:p>
        </w:tc>
        <w:tc>
          <w:tcPr>
            <w:tcW w:w="802" w:type="dxa"/>
            <w:tcBorders>
              <w:top w:val="nil"/>
              <w:left w:val="nil"/>
              <w:bottom w:val="nil"/>
              <w:right w:val="nil"/>
            </w:tcBorders>
            <w:shd w:val="clear" w:color="auto" w:fill="auto"/>
          </w:tcPr>
          <w:p w:rsidR="00617CB0" w:rsidRPr="00022D33" w:rsidRDefault="00617CB0" w:rsidP="000D7011">
            <w:pPr>
              <w:pStyle w:val="Tabletext"/>
              <w:jc w:val="right"/>
            </w:pPr>
          </w:p>
        </w:tc>
        <w:tc>
          <w:tcPr>
            <w:tcW w:w="802"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2488" w:type="dxa"/>
            <w:gridSpan w:val="2"/>
            <w:tcBorders>
              <w:top w:val="nil"/>
              <w:left w:val="nil"/>
              <w:bottom w:val="nil"/>
              <w:right w:val="nil"/>
            </w:tcBorders>
            <w:shd w:val="clear" w:color="auto" w:fill="auto"/>
          </w:tcPr>
          <w:p w:rsidR="00617CB0" w:rsidRPr="00022D33" w:rsidRDefault="00617CB0" w:rsidP="000D7011">
            <w:pPr>
              <w:pStyle w:val="Tabletext"/>
            </w:pPr>
            <w:r w:rsidRPr="00022D33">
              <w:t xml:space="preserve">Current assets </w:t>
            </w:r>
          </w:p>
        </w:tc>
        <w:tc>
          <w:tcPr>
            <w:tcW w:w="1143" w:type="dxa"/>
            <w:tcBorders>
              <w:top w:val="nil"/>
              <w:left w:val="nil"/>
              <w:bottom w:val="nil"/>
              <w:right w:val="nil"/>
            </w:tcBorders>
          </w:tcPr>
          <w:p w:rsidR="00617CB0" w:rsidRPr="00022D33" w:rsidRDefault="00617CB0" w:rsidP="000D7011">
            <w:pPr>
              <w:pStyle w:val="Tabletext"/>
              <w:jc w:val="right"/>
            </w:pPr>
          </w:p>
        </w:tc>
        <w:tc>
          <w:tcPr>
            <w:tcW w:w="939" w:type="dxa"/>
            <w:tcBorders>
              <w:top w:val="nil"/>
              <w:left w:val="nil"/>
              <w:bottom w:val="nil"/>
              <w:right w:val="nil"/>
            </w:tcBorders>
            <w:shd w:val="clear" w:color="auto" w:fill="auto"/>
          </w:tcPr>
          <w:p w:rsidR="00617CB0" w:rsidRPr="00022D33" w:rsidRDefault="00617CB0" w:rsidP="000D7011">
            <w:pPr>
              <w:pStyle w:val="Tabletext"/>
              <w:jc w:val="right"/>
            </w:pPr>
            <w:r w:rsidRPr="00022D33">
              <w:t>39,113</w:t>
            </w:r>
          </w:p>
        </w:tc>
        <w:tc>
          <w:tcPr>
            <w:tcW w:w="939" w:type="dxa"/>
            <w:tcBorders>
              <w:top w:val="nil"/>
              <w:left w:val="nil"/>
              <w:bottom w:val="nil"/>
              <w:right w:val="nil"/>
            </w:tcBorders>
            <w:shd w:val="clear" w:color="auto" w:fill="auto"/>
          </w:tcPr>
          <w:p w:rsidR="00617CB0" w:rsidRPr="00022D33" w:rsidRDefault="00617CB0" w:rsidP="000D7011">
            <w:pPr>
              <w:pStyle w:val="Tabletext"/>
              <w:jc w:val="right"/>
            </w:pPr>
            <w:r w:rsidRPr="00022D33">
              <w:t>26,114</w:t>
            </w:r>
          </w:p>
        </w:tc>
        <w:tc>
          <w:tcPr>
            <w:tcW w:w="939" w:type="dxa"/>
            <w:tcBorders>
              <w:top w:val="nil"/>
              <w:left w:val="nil"/>
              <w:bottom w:val="nil"/>
              <w:right w:val="nil"/>
            </w:tcBorders>
            <w:shd w:val="clear" w:color="auto" w:fill="auto"/>
          </w:tcPr>
          <w:p w:rsidR="00617CB0" w:rsidRPr="00022D33" w:rsidRDefault="00617CB0" w:rsidP="000D7011">
            <w:pPr>
              <w:pStyle w:val="Tabletext"/>
              <w:jc w:val="right"/>
            </w:pPr>
            <w:r w:rsidRPr="00022D33">
              <w:t>43,449</w:t>
            </w:r>
          </w:p>
        </w:tc>
        <w:tc>
          <w:tcPr>
            <w:tcW w:w="939" w:type="dxa"/>
            <w:tcBorders>
              <w:top w:val="nil"/>
              <w:left w:val="nil"/>
              <w:bottom w:val="nil"/>
              <w:right w:val="nil"/>
            </w:tcBorders>
            <w:shd w:val="clear" w:color="auto" w:fill="auto"/>
          </w:tcPr>
          <w:p w:rsidR="00617CB0" w:rsidRPr="00022D33" w:rsidRDefault="00617CB0" w:rsidP="000D7011">
            <w:pPr>
              <w:pStyle w:val="Tabletext"/>
              <w:jc w:val="right"/>
            </w:pPr>
            <w:r w:rsidRPr="00022D33">
              <w:t>39,223</w:t>
            </w:r>
          </w:p>
        </w:tc>
        <w:tc>
          <w:tcPr>
            <w:tcW w:w="786"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856"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346,459</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335,409</w:t>
            </w:r>
          </w:p>
        </w:tc>
        <w:tc>
          <w:tcPr>
            <w:tcW w:w="959" w:type="dxa"/>
            <w:tcBorders>
              <w:top w:val="nil"/>
              <w:left w:val="nil"/>
              <w:bottom w:val="nil"/>
              <w:right w:val="nil"/>
            </w:tcBorders>
            <w:shd w:val="clear" w:color="auto" w:fill="auto"/>
          </w:tcPr>
          <w:p w:rsidR="00617CB0" w:rsidRPr="00022D33" w:rsidRDefault="00617CB0" w:rsidP="000D7011">
            <w:pPr>
              <w:pStyle w:val="Tabletext"/>
              <w:jc w:val="right"/>
            </w:pPr>
            <w:r w:rsidRPr="00022D33">
              <w:t>9,211</w:t>
            </w:r>
          </w:p>
        </w:tc>
        <w:tc>
          <w:tcPr>
            <w:tcW w:w="959" w:type="dxa"/>
            <w:tcBorders>
              <w:top w:val="nil"/>
              <w:left w:val="nil"/>
              <w:bottom w:val="nil"/>
              <w:right w:val="nil"/>
            </w:tcBorders>
            <w:shd w:val="clear" w:color="auto" w:fill="auto"/>
          </w:tcPr>
          <w:p w:rsidR="00617CB0" w:rsidRPr="00022D33" w:rsidRDefault="00617CB0" w:rsidP="000D7011">
            <w:pPr>
              <w:pStyle w:val="Tabletext"/>
              <w:jc w:val="right"/>
            </w:pPr>
            <w:r w:rsidRPr="00022D33">
              <w:t>6,238</w:t>
            </w:r>
          </w:p>
        </w:tc>
        <w:tc>
          <w:tcPr>
            <w:tcW w:w="802" w:type="dxa"/>
            <w:tcBorders>
              <w:top w:val="nil"/>
              <w:left w:val="nil"/>
              <w:bottom w:val="nil"/>
              <w:right w:val="nil"/>
            </w:tcBorders>
            <w:shd w:val="clear" w:color="auto" w:fill="auto"/>
          </w:tcPr>
          <w:p w:rsidR="00617CB0" w:rsidRPr="00022D33" w:rsidRDefault="00617CB0" w:rsidP="000D7011">
            <w:pPr>
              <w:pStyle w:val="Tabletext"/>
              <w:jc w:val="right"/>
            </w:pPr>
            <w:r w:rsidRPr="00022D33">
              <w:t>438,232</w:t>
            </w:r>
          </w:p>
        </w:tc>
        <w:tc>
          <w:tcPr>
            <w:tcW w:w="802" w:type="dxa"/>
            <w:tcBorders>
              <w:top w:val="nil"/>
              <w:left w:val="nil"/>
              <w:bottom w:val="nil"/>
              <w:right w:val="nil"/>
            </w:tcBorders>
            <w:shd w:val="clear" w:color="auto" w:fill="auto"/>
          </w:tcPr>
          <w:p w:rsidR="00617CB0" w:rsidRPr="00022D33" w:rsidRDefault="00617CB0" w:rsidP="000D7011">
            <w:pPr>
              <w:pStyle w:val="Tabletext"/>
              <w:jc w:val="right"/>
            </w:pPr>
            <w:r w:rsidRPr="00022D33">
              <w:t>406,985</w:t>
            </w:r>
          </w:p>
        </w:tc>
      </w:tr>
      <w:tr w:rsidR="00617CB0" w:rsidRPr="00022D33" w:rsidTr="000D7011">
        <w:tc>
          <w:tcPr>
            <w:tcW w:w="2488" w:type="dxa"/>
            <w:gridSpan w:val="2"/>
            <w:tcBorders>
              <w:top w:val="nil"/>
              <w:left w:val="nil"/>
              <w:bottom w:val="nil"/>
              <w:right w:val="nil"/>
            </w:tcBorders>
            <w:shd w:val="clear" w:color="auto" w:fill="auto"/>
          </w:tcPr>
          <w:p w:rsidR="00617CB0" w:rsidRPr="00022D33" w:rsidRDefault="00617CB0" w:rsidP="000D7011">
            <w:pPr>
              <w:pStyle w:val="Tabletext"/>
            </w:pPr>
            <w:r w:rsidRPr="00022D33">
              <w:t>Non-current assets</w:t>
            </w:r>
          </w:p>
        </w:tc>
        <w:tc>
          <w:tcPr>
            <w:tcW w:w="1143" w:type="dxa"/>
            <w:tcBorders>
              <w:top w:val="nil"/>
              <w:left w:val="nil"/>
              <w:bottom w:val="single" w:sz="4" w:space="0" w:color="auto"/>
              <w:right w:val="nil"/>
            </w:tcBorders>
          </w:tcPr>
          <w:p w:rsidR="00617CB0" w:rsidRPr="00022D33" w:rsidRDefault="00617CB0" w:rsidP="000D7011">
            <w:pPr>
              <w:pStyle w:val="Tabletext"/>
              <w:jc w:val="right"/>
            </w:pPr>
          </w:p>
        </w:tc>
        <w:tc>
          <w:tcPr>
            <w:tcW w:w="939"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113,042</w:t>
            </w:r>
          </w:p>
        </w:tc>
        <w:tc>
          <w:tcPr>
            <w:tcW w:w="939"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114,368</w:t>
            </w:r>
          </w:p>
        </w:tc>
        <w:tc>
          <w:tcPr>
            <w:tcW w:w="939"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352,857</w:t>
            </w:r>
          </w:p>
        </w:tc>
        <w:tc>
          <w:tcPr>
            <w:tcW w:w="939"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352,729</w:t>
            </w:r>
          </w:p>
        </w:tc>
        <w:tc>
          <w:tcPr>
            <w:tcW w:w="786"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w:t>
            </w:r>
          </w:p>
        </w:tc>
        <w:tc>
          <w:tcPr>
            <w:tcW w:w="856"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w:t>
            </w:r>
          </w:p>
        </w:tc>
        <w:tc>
          <w:tcPr>
            <w:tcW w:w="1106"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710,652</w:t>
            </w:r>
          </w:p>
        </w:tc>
        <w:tc>
          <w:tcPr>
            <w:tcW w:w="1106"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729,181</w:t>
            </w:r>
          </w:p>
        </w:tc>
        <w:tc>
          <w:tcPr>
            <w:tcW w:w="959"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20,325</w:t>
            </w:r>
          </w:p>
        </w:tc>
        <w:tc>
          <w:tcPr>
            <w:tcW w:w="959"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22,248</w:t>
            </w:r>
          </w:p>
        </w:tc>
        <w:tc>
          <w:tcPr>
            <w:tcW w:w="802"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1,196,876</w:t>
            </w:r>
          </w:p>
        </w:tc>
        <w:tc>
          <w:tcPr>
            <w:tcW w:w="802"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1,218,527</w:t>
            </w:r>
          </w:p>
        </w:tc>
      </w:tr>
      <w:tr w:rsidR="00617CB0" w:rsidRPr="00022D33" w:rsidTr="000D7011">
        <w:tc>
          <w:tcPr>
            <w:tcW w:w="2488" w:type="dxa"/>
            <w:gridSpan w:val="2"/>
            <w:tcBorders>
              <w:top w:val="nil"/>
              <w:left w:val="nil"/>
              <w:bottom w:val="nil"/>
              <w:right w:val="nil"/>
            </w:tcBorders>
            <w:shd w:val="clear" w:color="auto" w:fill="auto"/>
          </w:tcPr>
          <w:p w:rsidR="00617CB0" w:rsidRPr="00022D33" w:rsidRDefault="00617CB0" w:rsidP="000D7011">
            <w:pPr>
              <w:pStyle w:val="Tableboldedtext"/>
            </w:pPr>
            <w:r w:rsidRPr="00022D33">
              <w:t>Total assets</w:t>
            </w:r>
          </w:p>
        </w:tc>
        <w:tc>
          <w:tcPr>
            <w:tcW w:w="1143" w:type="dxa"/>
            <w:tcBorders>
              <w:top w:val="single" w:sz="4" w:space="0" w:color="auto"/>
              <w:left w:val="nil"/>
              <w:bottom w:val="single" w:sz="4" w:space="0" w:color="auto"/>
              <w:right w:val="nil"/>
            </w:tcBorders>
          </w:tcPr>
          <w:p w:rsidR="00617CB0" w:rsidRPr="00022D33" w:rsidRDefault="00617CB0" w:rsidP="000D7011">
            <w:pPr>
              <w:pStyle w:val="Tableboldedtext"/>
              <w:jc w:val="right"/>
            </w:pPr>
          </w:p>
        </w:tc>
        <w:tc>
          <w:tcPr>
            <w:tcW w:w="939"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152,155</w:t>
            </w:r>
          </w:p>
        </w:tc>
        <w:tc>
          <w:tcPr>
            <w:tcW w:w="939"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140,482</w:t>
            </w:r>
          </w:p>
        </w:tc>
        <w:tc>
          <w:tcPr>
            <w:tcW w:w="939"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396,306</w:t>
            </w:r>
          </w:p>
        </w:tc>
        <w:tc>
          <w:tcPr>
            <w:tcW w:w="939"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391,952</w:t>
            </w:r>
          </w:p>
        </w:tc>
        <w:tc>
          <w:tcPr>
            <w:tcW w:w="786"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w:t>
            </w:r>
          </w:p>
        </w:tc>
        <w:tc>
          <w:tcPr>
            <w:tcW w:w="856"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w:t>
            </w:r>
          </w:p>
        </w:tc>
        <w:tc>
          <w:tcPr>
            <w:tcW w:w="1106"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1,057,111</w:t>
            </w:r>
          </w:p>
        </w:tc>
        <w:tc>
          <w:tcPr>
            <w:tcW w:w="1106"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1,064,590</w:t>
            </w:r>
          </w:p>
        </w:tc>
        <w:tc>
          <w:tcPr>
            <w:tcW w:w="959"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29,536</w:t>
            </w:r>
          </w:p>
        </w:tc>
        <w:tc>
          <w:tcPr>
            <w:tcW w:w="959"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28,486</w:t>
            </w:r>
          </w:p>
        </w:tc>
        <w:tc>
          <w:tcPr>
            <w:tcW w:w="802"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1,635,108</w:t>
            </w:r>
          </w:p>
        </w:tc>
        <w:tc>
          <w:tcPr>
            <w:tcW w:w="802"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1,625,512</w:t>
            </w:r>
          </w:p>
        </w:tc>
      </w:tr>
      <w:tr w:rsidR="00617CB0" w:rsidRPr="00022D33" w:rsidTr="000D7011">
        <w:tc>
          <w:tcPr>
            <w:tcW w:w="2488" w:type="dxa"/>
            <w:gridSpan w:val="2"/>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Liabilities</w:t>
            </w:r>
          </w:p>
        </w:tc>
        <w:tc>
          <w:tcPr>
            <w:tcW w:w="1143" w:type="dxa"/>
            <w:tcBorders>
              <w:top w:val="nil"/>
              <w:left w:val="nil"/>
              <w:bottom w:val="nil"/>
              <w:right w:val="nil"/>
            </w:tcBorders>
          </w:tcPr>
          <w:p w:rsidR="00617CB0" w:rsidRPr="00022D33" w:rsidRDefault="00617CB0" w:rsidP="000D7011">
            <w:pPr>
              <w:pStyle w:val="Tabletext"/>
              <w:jc w:val="right"/>
            </w:pPr>
          </w:p>
        </w:tc>
        <w:tc>
          <w:tcPr>
            <w:tcW w:w="939" w:type="dxa"/>
            <w:tcBorders>
              <w:top w:val="nil"/>
              <w:left w:val="nil"/>
              <w:bottom w:val="nil"/>
              <w:right w:val="nil"/>
            </w:tcBorders>
            <w:shd w:val="clear" w:color="auto" w:fill="auto"/>
          </w:tcPr>
          <w:p w:rsidR="00617CB0" w:rsidRPr="00022D33" w:rsidRDefault="00617CB0" w:rsidP="000D7011">
            <w:pPr>
              <w:pStyle w:val="Tabletext"/>
              <w:jc w:val="right"/>
            </w:pPr>
          </w:p>
        </w:tc>
        <w:tc>
          <w:tcPr>
            <w:tcW w:w="939" w:type="dxa"/>
            <w:tcBorders>
              <w:top w:val="nil"/>
              <w:left w:val="nil"/>
              <w:bottom w:val="nil"/>
              <w:right w:val="nil"/>
            </w:tcBorders>
            <w:shd w:val="clear" w:color="auto" w:fill="auto"/>
          </w:tcPr>
          <w:p w:rsidR="00617CB0" w:rsidRPr="00022D33" w:rsidRDefault="00617CB0" w:rsidP="000D7011">
            <w:pPr>
              <w:pStyle w:val="Tabletext"/>
              <w:jc w:val="right"/>
            </w:pPr>
          </w:p>
        </w:tc>
        <w:tc>
          <w:tcPr>
            <w:tcW w:w="939" w:type="dxa"/>
            <w:tcBorders>
              <w:top w:val="nil"/>
              <w:left w:val="nil"/>
              <w:bottom w:val="nil"/>
              <w:right w:val="nil"/>
            </w:tcBorders>
            <w:shd w:val="clear" w:color="auto" w:fill="auto"/>
          </w:tcPr>
          <w:p w:rsidR="00617CB0" w:rsidRPr="00022D33" w:rsidRDefault="00617CB0" w:rsidP="000D7011">
            <w:pPr>
              <w:pStyle w:val="Tabletext"/>
              <w:jc w:val="right"/>
            </w:pPr>
          </w:p>
        </w:tc>
        <w:tc>
          <w:tcPr>
            <w:tcW w:w="939" w:type="dxa"/>
            <w:tcBorders>
              <w:top w:val="nil"/>
              <w:left w:val="nil"/>
              <w:bottom w:val="nil"/>
              <w:right w:val="nil"/>
            </w:tcBorders>
            <w:shd w:val="clear" w:color="auto" w:fill="auto"/>
          </w:tcPr>
          <w:p w:rsidR="00617CB0" w:rsidRPr="00022D33" w:rsidRDefault="00617CB0" w:rsidP="000D7011">
            <w:pPr>
              <w:pStyle w:val="Tabletext"/>
              <w:jc w:val="right"/>
            </w:pPr>
          </w:p>
        </w:tc>
        <w:tc>
          <w:tcPr>
            <w:tcW w:w="786" w:type="dxa"/>
            <w:tcBorders>
              <w:top w:val="nil"/>
              <w:left w:val="nil"/>
              <w:bottom w:val="nil"/>
              <w:right w:val="nil"/>
            </w:tcBorders>
            <w:shd w:val="clear" w:color="auto" w:fill="auto"/>
          </w:tcPr>
          <w:p w:rsidR="00617CB0" w:rsidRPr="00022D33" w:rsidRDefault="00617CB0" w:rsidP="000D7011">
            <w:pPr>
              <w:pStyle w:val="Tabletext"/>
              <w:jc w:val="right"/>
            </w:pPr>
          </w:p>
        </w:tc>
        <w:tc>
          <w:tcPr>
            <w:tcW w:w="856" w:type="dxa"/>
            <w:tcBorders>
              <w:top w:val="nil"/>
              <w:left w:val="nil"/>
              <w:bottom w:val="nil"/>
              <w:right w:val="nil"/>
            </w:tcBorders>
            <w:shd w:val="clear" w:color="auto" w:fill="auto"/>
          </w:tcPr>
          <w:p w:rsidR="00617CB0" w:rsidRPr="00022D33" w:rsidRDefault="00617CB0" w:rsidP="000D7011">
            <w:pPr>
              <w:pStyle w:val="Tabletext"/>
              <w:jc w:val="right"/>
            </w:pP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p>
        </w:tc>
        <w:tc>
          <w:tcPr>
            <w:tcW w:w="959" w:type="dxa"/>
            <w:tcBorders>
              <w:top w:val="nil"/>
              <w:left w:val="nil"/>
              <w:bottom w:val="nil"/>
              <w:right w:val="nil"/>
            </w:tcBorders>
            <w:shd w:val="clear" w:color="auto" w:fill="auto"/>
          </w:tcPr>
          <w:p w:rsidR="00617CB0" w:rsidRPr="00022D33" w:rsidRDefault="00617CB0" w:rsidP="000D7011">
            <w:pPr>
              <w:pStyle w:val="Tabletext"/>
              <w:jc w:val="right"/>
            </w:pPr>
          </w:p>
        </w:tc>
        <w:tc>
          <w:tcPr>
            <w:tcW w:w="959" w:type="dxa"/>
            <w:tcBorders>
              <w:top w:val="nil"/>
              <w:left w:val="nil"/>
              <w:bottom w:val="nil"/>
              <w:right w:val="nil"/>
            </w:tcBorders>
            <w:shd w:val="clear" w:color="auto" w:fill="auto"/>
          </w:tcPr>
          <w:p w:rsidR="00617CB0" w:rsidRPr="00022D33" w:rsidRDefault="00617CB0" w:rsidP="000D7011">
            <w:pPr>
              <w:pStyle w:val="Tabletext"/>
              <w:jc w:val="right"/>
            </w:pPr>
          </w:p>
        </w:tc>
        <w:tc>
          <w:tcPr>
            <w:tcW w:w="802" w:type="dxa"/>
            <w:tcBorders>
              <w:top w:val="nil"/>
              <w:left w:val="nil"/>
              <w:bottom w:val="nil"/>
              <w:right w:val="nil"/>
            </w:tcBorders>
            <w:shd w:val="clear" w:color="auto" w:fill="auto"/>
          </w:tcPr>
          <w:p w:rsidR="00617CB0" w:rsidRPr="00022D33" w:rsidRDefault="00617CB0" w:rsidP="000D7011">
            <w:pPr>
              <w:pStyle w:val="Tabletext"/>
              <w:jc w:val="right"/>
            </w:pPr>
          </w:p>
        </w:tc>
        <w:tc>
          <w:tcPr>
            <w:tcW w:w="802"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2488" w:type="dxa"/>
            <w:gridSpan w:val="2"/>
            <w:tcBorders>
              <w:top w:val="nil"/>
              <w:left w:val="nil"/>
              <w:bottom w:val="nil"/>
              <w:right w:val="nil"/>
            </w:tcBorders>
            <w:shd w:val="clear" w:color="auto" w:fill="auto"/>
          </w:tcPr>
          <w:p w:rsidR="00617CB0" w:rsidRPr="00022D33" w:rsidRDefault="00617CB0" w:rsidP="000D7011">
            <w:pPr>
              <w:pStyle w:val="Tabletext"/>
            </w:pPr>
            <w:r w:rsidRPr="00022D33">
              <w:t xml:space="preserve">Current liabilities </w:t>
            </w:r>
          </w:p>
        </w:tc>
        <w:tc>
          <w:tcPr>
            <w:tcW w:w="1143" w:type="dxa"/>
            <w:tcBorders>
              <w:top w:val="nil"/>
              <w:left w:val="nil"/>
              <w:bottom w:val="nil"/>
              <w:right w:val="nil"/>
            </w:tcBorders>
          </w:tcPr>
          <w:p w:rsidR="00617CB0" w:rsidRPr="00022D33" w:rsidRDefault="00617CB0" w:rsidP="000D7011">
            <w:pPr>
              <w:pStyle w:val="Tabletext"/>
              <w:jc w:val="right"/>
            </w:pPr>
          </w:p>
        </w:tc>
        <w:tc>
          <w:tcPr>
            <w:tcW w:w="939" w:type="dxa"/>
            <w:tcBorders>
              <w:top w:val="nil"/>
              <w:left w:val="nil"/>
              <w:bottom w:val="nil"/>
              <w:right w:val="nil"/>
            </w:tcBorders>
            <w:shd w:val="clear" w:color="auto" w:fill="auto"/>
          </w:tcPr>
          <w:p w:rsidR="00617CB0" w:rsidRPr="00022D33" w:rsidRDefault="00617CB0" w:rsidP="000D7011">
            <w:pPr>
              <w:pStyle w:val="Tabletext"/>
              <w:jc w:val="right"/>
            </w:pPr>
            <w:r w:rsidRPr="00022D33">
              <w:t>10,687</w:t>
            </w:r>
          </w:p>
        </w:tc>
        <w:tc>
          <w:tcPr>
            <w:tcW w:w="939" w:type="dxa"/>
            <w:tcBorders>
              <w:top w:val="nil"/>
              <w:left w:val="nil"/>
              <w:bottom w:val="nil"/>
              <w:right w:val="nil"/>
            </w:tcBorders>
            <w:shd w:val="clear" w:color="auto" w:fill="auto"/>
          </w:tcPr>
          <w:p w:rsidR="00617CB0" w:rsidRPr="00022D33" w:rsidRDefault="00617CB0" w:rsidP="000D7011">
            <w:pPr>
              <w:pStyle w:val="Tabletext"/>
              <w:jc w:val="right"/>
            </w:pPr>
            <w:r w:rsidRPr="00022D33">
              <w:t>15,919</w:t>
            </w:r>
          </w:p>
        </w:tc>
        <w:tc>
          <w:tcPr>
            <w:tcW w:w="939" w:type="dxa"/>
            <w:tcBorders>
              <w:top w:val="nil"/>
              <w:left w:val="nil"/>
              <w:bottom w:val="nil"/>
              <w:right w:val="nil"/>
            </w:tcBorders>
            <w:shd w:val="clear" w:color="auto" w:fill="auto"/>
          </w:tcPr>
          <w:p w:rsidR="00617CB0" w:rsidRPr="00022D33" w:rsidRDefault="00617CB0" w:rsidP="000D7011">
            <w:pPr>
              <w:pStyle w:val="Tabletext"/>
              <w:jc w:val="right"/>
            </w:pPr>
            <w:r w:rsidRPr="00022D33">
              <w:t>55,077</w:t>
            </w:r>
          </w:p>
        </w:tc>
        <w:tc>
          <w:tcPr>
            <w:tcW w:w="939" w:type="dxa"/>
            <w:tcBorders>
              <w:top w:val="nil"/>
              <w:left w:val="nil"/>
              <w:bottom w:val="nil"/>
              <w:right w:val="nil"/>
            </w:tcBorders>
            <w:shd w:val="clear" w:color="auto" w:fill="auto"/>
          </w:tcPr>
          <w:p w:rsidR="00617CB0" w:rsidRPr="00022D33" w:rsidRDefault="00617CB0" w:rsidP="000D7011">
            <w:pPr>
              <w:pStyle w:val="Tabletext"/>
              <w:jc w:val="right"/>
            </w:pPr>
            <w:r w:rsidRPr="00022D33">
              <w:t>63,299</w:t>
            </w:r>
          </w:p>
        </w:tc>
        <w:tc>
          <w:tcPr>
            <w:tcW w:w="786"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856"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298,489</w:t>
            </w:r>
          </w:p>
        </w:tc>
        <w:tc>
          <w:tcPr>
            <w:tcW w:w="1106" w:type="dxa"/>
            <w:tcBorders>
              <w:top w:val="nil"/>
              <w:left w:val="nil"/>
              <w:bottom w:val="nil"/>
              <w:right w:val="nil"/>
            </w:tcBorders>
            <w:shd w:val="clear" w:color="auto" w:fill="auto"/>
          </w:tcPr>
          <w:p w:rsidR="00617CB0" w:rsidRPr="00022D33" w:rsidRDefault="00617CB0" w:rsidP="000D7011">
            <w:pPr>
              <w:pStyle w:val="Tabletext"/>
              <w:jc w:val="right"/>
            </w:pPr>
            <w:r w:rsidRPr="00022D33">
              <w:t>307,747</w:t>
            </w:r>
          </w:p>
        </w:tc>
        <w:tc>
          <w:tcPr>
            <w:tcW w:w="959" w:type="dxa"/>
            <w:tcBorders>
              <w:top w:val="nil"/>
              <w:left w:val="nil"/>
              <w:bottom w:val="nil"/>
              <w:right w:val="nil"/>
            </w:tcBorders>
            <w:shd w:val="clear" w:color="auto" w:fill="auto"/>
          </w:tcPr>
          <w:p w:rsidR="00617CB0" w:rsidRPr="00022D33" w:rsidRDefault="00617CB0" w:rsidP="000D7011">
            <w:pPr>
              <w:pStyle w:val="Tabletext"/>
              <w:jc w:val="right"/>
            </w:pPr>
            <w:r w:rsidRPr="00022D33">
              <w:t>5,387</w:t>
            </w:r>
          </w:p>
        </w:tc>
        <w:tc>
          <w:tcPr>
            <w:tcW w:w="959" w:type="dxa"/>
            <w:tcBorders>
              <w:top w:val="nil"/>
              <w:left w:val="nil"/>
              <w:bottom w:val="nil"/>
              <w:right w:val="nil"/>
            </w:tcBorders>
            <w:shd w:val="clear" w:color="auto" w:fill="auto"/>
          </w:tcPr>
          <w:p w:rsidR="00617CB0" w:rsidRPr="00022D33" w:rsidRDefault="00617CB0" w:rsidP="000D7011">
            <w:pPr>
              <w:pStyle w:val="Tabletext"/>
              <w:jc w:val="right"/>
            </w:pPr>
            <w:r w:rsidRPr="00022D33">
              <w:t>4,453</w:t>
            </w:r>
          </w:p>
        </w:tc>
        <w:tc>
          <w:tcPr>
            <w:tcW w:w="802" w:type="dxa"/>
            <w:tcBorders>
              <w:top w:val="nil"/>
              <w:left w:val="nil"/>
              <w:bottom w:val="nil"/>
              <w:right w:val="nil"/>
            </w:tcBorders>
            <w:shd w:val="clear" w:color="auto" w:fill="auto"/>
          </w:tcPr>
          <w:p w:rsidR="00617CB0" w:rsidRPr="00022D33" w:rsidRDefault="00617CB0" w:rsidP="000D7011">
            <w:pPr>
              <w:pStyle w:val="Tabletext"/>
              <w:jc w:val="right"/>
            </w:pPr>
            <w:r w:rsidRPr="00022D33">
              <w:t>369,640</w:t>
            </w:r>
          </w:p>
        </w:tc>
        <w:tc>
          <w:tcPr>
            <w:tcW w:w="802" w:type="dxa"/>
            <w:tcBorders>
              <w:top w:val="nil"/>
              <w:left w:val="nil"/>
              <w:bottom w:val="nil"/>
              <w:right w:val="nil"/>
            </w:tcBorders>
            <w:shd w:val="clear" w:color="auto" w:fill="auto"/>
          </w:tcPr>
          <w:p w:rsidR="00617CB0" w:rsidRPr="00022D33" w:rsidRDefault="00617CB0" w:rsidP="000D7011">
            <w:pPr>
              <w:pStyle w:val="Tabletext"/>
              <w:jc w:val="right"/>
            </w:pPr>
            <w:r w:rsidRPr="00022D33">
              <w:t>391,418</w:t>
            </w:r>
          </w:p>
        </w:tc>
      </w:tr>
      <w:tr w:rsidR="00617CB0" w:rsidRPr="00022D33" w:rsidTr="000D7011">
        <w:tc>
          <w:tcPr>
            <w:tcW w:w="2488" w:type="dxa"/>
            <w:gridSpan w:val="2"/>
            <w:tcBorders>
              <w:top w:val="nil"/>
              <w:left w:val="nil"/>
              <w:bottom w:val="nil"/>
              <w:right w:val="nil"/>
            </w:tcBorders>
            <w:shd w:val="clear" w:color="auto" w:fill="auto"/>
          </w:tcPr>
          <w:p w:rsidR="00617CB0" w:rsidRPr="00022D33" w:rsidRDefault="00617CB0" w:rsidP="000D7011">
            <w:pPr>
              <w:pStyle w:val="Tabletext"/>
            </w:pPr>
            <w:r w:rsidRPr="00022D33">
              <w:t>Non-current liabilities</w:t>
            </w:r>
          </w:p>
        </w:tc>
        <w:tc>
          <w:tcPr>
            <w:tcW w:w="1143" w:type="dxa"/>
            <w:tcBorders>
              <w:top w:val="nil"/>
              <w:left w:val="nil"/>
              <w:bottom w:val="single" w:sz="4" w:space="0" w:color="auto"/>
              <w:right w:val="nil"/>
            </w:tcBorders>
          </w:tcPr>
          <w:p w:rsidR="00617CB0" w:rsidRPr="00022D33" w:rsidRDefault="00617CB0" w:rsidP="000D7011">
            <w:pPr>
              <w:pStyle w:val="Tabletext"/>
              <w:jc w:val="right"/>
            </w:pPr>
          </w:p>
        </w:tc>
        <w:tc>
          <w:tcPr>
            <w:tcW w:w="939"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2,167</w:t>
            </w:r>
          </w:p>
        </w:tc>
        <w:tc>
          <w:tcPr>
            <w:tcW w:w="939"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1,849</w:t>
            </w:r>
          </w:p>
        </w:tc>
        <w:tc>
          <w:tcPr>
            <w:tcW w:w="939"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52,266</w:t>
            </w:r>
          </w:p>
        </w:tc>
        <w:tc>
          <w:tcPr>
            <w:tcW w:w="939"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58,981</w:t>
            </w:r>
          </w:p>
        </w:tc>
        <w:tc>
          <w:tcPr>
            <w:tcW w:w="786"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w:t>
            </w:r>
          </w:p>
        </w:tc>
        <w:tc>
          <w:tcPr>
            <w:tcW w:w="856"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w:t>
            </w:r>
          </w:p>
        </w:tc>
        <w:tc>
          <w:tcPr>
            <w:tcW w:w="1106"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135,221</w:t>
            </w:r>
          </w:p>
        </w:tc>
        <w:tc>
          <w:tcPr>
            <w:tcW w:w="1106"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88,715</w:t>
            </w:r>
          </w:p>
        </w:tc>
        <w:tc>
          <w:tcPr>
            <w:tcW w:w="959"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578</w:t>
            </w:r>
          </w:p>
        </w:tc>
        <w:tc>
          <w:tcPr>
            <w:tcW w:w="959"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505</w:t>
            </w:r>
          </w:p>
        </w:tc>
        <w:tc>
          <w:tcPr>
            <w:tcW w:w="802"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190,232</w:t>
            </w:r>
          </w:p>
        </w:tc>
        <w:tc>
          <w:tcPr>
            <w:tcW w:w="802"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150,052</w:t>
            </w:r>
          </w:p>
        </w:tc>
      </w:tr>
      <w:tr w:rsidR="00617CB0" w:rsidRPr="00022D33" w:rsidTr="000D7011">
        <w:tc>
          <w:tcPr>
            <w:tcW w:w="2488" w:type="dxa"/>
            <w:gridSpan w:val="2"/>
            <w:tcBorders>
              <w:top w:val="nil"/>
              <w:left w:val="nil"/>
              <w:bottom w:val="nil"/>
              <w:right w:val="nil"/>
            </w:tcBorders>
            <w:shd w:val="clear" w:color="auto" w:fill="auto"/>
          </w:tcPr>
          <w:p w:rsidR="00617CB0" w:rsidRPr="00022D33" w:rsidRDefault="00617CB0" w:rsidP="000D7011">
            <w:pPr>
              <w:pStyle w:val="Tableboldedtext"/>
            </w:pPr>
            <w:r w:rsidRPr="00022D33">
              <w:t>Total liabilities</w:t>
            </w:r>
          </w:p>
        </w:tc>
        <w:tc>
          <w:tcPr>
            <w:tcW w:w="1143" w:type="dxa"/>
            <w:tcBorders>
              <w:top w:val="single" w:sz="4" w:space="0" w:color="auto"/>
              <w:left w:val="nil"/>
              <w:bottom w:val="single" w:sz="4" w:space="0" w:color="auto"/>
              <w:right w:val="nil"/>
            </w:tcBorders>
          </w:tcPr>
          <w:p w:rsidR="00617CB0" w:rsidRPr="00022D33" w:rsidRDefault="00617CB0" w:rsidP="000D7011">
            <w:pPr>
              <w:pStyle w:val="Tableboldedtext"/>
              <w:jc w:val="right"/>
            </w:pPr>
          </w:p>
        </w:tc>
        <w:tc>
          <w:tcPr>
            <w:tcW w:w="939"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12,854</w:t>
            </w:r>
          </w:p>
        </w:tc>
        <w:tc>
          <w:tcPr>
            <w:tcW w:w="939"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17,768</w:t>
            </w:r>
          </w:p>
        </w:tc>
        <w:tc>
          <w:tcPr>
            <w:tcW w:w="939"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107,343</w:t>
            </w:r>
          </w:p>
        </w:tc>
        <w:tc>
          <w:tcPr>
            <w:tcW w:w="939"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122,280</w:t>
            </w:r>
          </w:p>
        </w:tc>
        <w:tc>
          <w:tcPr>
            <w:tcW w:w="786"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w:t>
            </w:r>
          </w:p>
        </w:tc>
        <w:tc>
          <w:tcPr>
            <w:tcW w:w="856"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w:t>
            </w:r>
          </w:p>
        </w:tc>
        <w:tc>
          <w:tcPr>
            <w:tcW w:w="1106"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433,710</w:t>
            </w:r>
          </w:p>
        </w:tc>
        <w:tc>
          <w:tcPr>
            <w:tcW w:w="1106"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396,462</w:t>
            </w:r>
          </w:p>
        </w:tc>
        <w:tc>
          <w:tcPr>
            <w:tcW w:w="959"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5,965</w:t>
            </w:r>
          </w:p>
        </w:tc>
        <w:tc>
          <w:tcPr>
            <w:tcW w:w="959"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4,958</w:t>
            </w:r>
          </w:p>
        </w:tc>
        <w:tc>
          <w:tcPr>
            <w:tcW w:w="802"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559,872</w:t>
            </w:r>
          </w:p>
        </w:tc>
        <w:tc>
          <w:tcPr>
            <w:tcW w:w="802"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541,470</w:t>
            </w:r>
          </w:p>
        </w:tc>
      </w:tr>
      <w:tr w:rsidR="00617CB0" w:rsidRPr="00022D33" w:rsidTr="000D7011">
        <w:tc>
          <w:tcPr>
            <w:tcW w:w="2488" w:type="dxa"/>
            <w:gridSpan w:val="2"/>
            <w:tcBorders>
              <w:top w:val="nil"/>
              <w:left w:val="nil"/>
              <w:bottom w:val="nil"/>
              <w:right w:val="nil"/>
            </w:tcBorders>
            <w:shd w:val="clear" w:color="auto" w:fill="auto"/>
          </w:tcPr>
          <w:p w:rsidR="00617CB0" w:rsidRPr="00022D33" w:rsidRDefault="00617CB0" w:rsidP="000D7011">
            <w:pPr>
              <w:pStyle w:val="Tableboldedtext"/>
            </w:pPr>
            <w:r w:rsidRPr="00022D33">
              <w:t>NET ASSETS</w:t>
            </w:r>
          </w:p>
        </w:tc>
        <w:tc>
          <w:tcPr>
            <w:tcW w:w="1143" w:type="dxa"/>
            <w:tcBorders>
              <w:top w:val="single" w:sz="4" w:space="0" w:color="auto"/>
              <w:left w:val="nil"/>
              <w:bottom w:val="double" w:sz="4" w:space="0" w:color="auto"/>
              <w:right w:val="nil"/>
            </w:tcBorders>
          </w:tcPr>
          <w:p w:rsidR="00617CB0" w:rsidRPr="00022D33" w:rsidRDefault="00617CB0" w:rsidP="000D7011">
            <w:pPr>
              <w:pStyle w:val="Tableboldedtext"/>
              <w:jc w:val="right"/>
            </w:pPr>
          </w:p>
        </w:tc>
        <w:tc>
          <w:tcPr>
            <w:tcW w:w="939"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139,301</w:t>
            </w:r>
          </w:p>
        </w:tc>
        <w:tc>
          <w:tcPr>
            <w:tcW w:w="939"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122,714</w:t>
            </w:r>
          </w:p>
        </w:tc>
        <w:tc>
          <w:tcPr>
            <w:tcW w:w="939"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288,963</w:t>
            </w:r>
          </w:p>
        </w:tc>
        <w:tc>
          <w:tcPr>
            <w:tcW w:w="939"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269,672</w:t>
            </w:r>
          </w:p>
        </w:tc>
        <w:tc>
          <w:tcPr>
            <w:tcW w:w="786"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w:t>
            </w:r>
          </w:p>
        </w:tc>
        <w:tc>
          <w:tcPr>
            <w:tcW w:w="856"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w:t>
            </w:r>
          </w:p>
        </w:tc>
        <w:tc>
          <w:tcPr>
            <w:tcW w:w="1106"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623,401</w:t>
            </w:r>
          </w:p>
        </w:tc>
        <w:tc>
          <w:tcPr>
            <w:tcW w:w="1106"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668,128</w:t>
            </w:r>
          </w:p>
        </w:tc>
        <w:tc>
          <w:tcPr>
            <w:tcW w:w="959"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23,571</w:t>
            </w:r>
          </w:p>
        </w:tc>
        <w:tc>
          <w:tcPr>
            <w:tcW w:w="959"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23,528</w:t>
            </w:r>
          </w:p>
        </w:tc>
        <w:tc>
          <w:tcPr>
            <w:tcW w:w="802"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1,075,236</w:t>
            </w:r>
          </w:p>
        </w:tc>
        <w:tc>
          <w:tcPr>
            <w:tcW w:w="802"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1,084,042</w:t>
            </w:r>
          </w:p>
        </w:tc>
      </w:tr>
    </w:tbl>
    <w:p w:rsidR="00617CB0" w:rsidRPr="00022D33" w:rsidRDefault="00617CB0" w:rsidP="00617CB0">
      <w:pPr>
        <w:pStyle w:val="BodyText"/>
      </w:pPr>
      <w:r w:rsidRPr="00022D33">
        <w:t>The Schedule of Assets and Liabilities by Service should be read in conjunction with the accompanying notes.</w:t>
      </w:r>
    </w:p>
    <w:p w:rsidR="00617CB0" w:rsidRPr="00022D33" w:rsidRDefault="00617CB0" w:rsidP="00617CB0">
      <w:pPr>
        <w:pStyle w:val="BodyText"/>
      </w:pPr>
      <w:r w:rsidRPr="00022D33">
        <w:t>Service 1: Revenue assessment and collection, and grants and subsidies administration</w:t>
      </w:r>
    </w:p>
    <w:p w:rsidR="00617CB0" w:rsidRPr="00022D33" w:rsidRDefault="00617CB0" w:rsidP="00617CB0">
      <w:pPr>
        <w:pStyle w:val="BodyText"/>
      </w:pPr>
      <w:r w:rsidRPr="00022D33">
        <w:t>Service 2: Development and management of common use contract arrangements, state fleet leasing and disposal, and providing facilitation service for agency specific contract</w:t>
      </w:r>
    </w:p>
    <w:p w:rsidR="00617CB0" w:rsidRPr="00022D33" w:rsidRDefault="00617CB0" w:rsidP="00617CB0">
      <w:pPr>
        <w:pStyle w:val="BodyText"/>
      </w:pPr>
      <w:r w:rsidRPr="00022D33">
        <w:t>Service 3: Corporate Services to the Department of Treasury.</w:t>
      </w:r>
    </w:p>
    <w:p w:rsidR="00617CB0" w:rsidRPr="00022D33" w:rsidRDefault="00617CB0" w:rsidP="00617CB0">
      <w:pPr>
        <w:pStyle w:val="BodyText"/>
      </w:pPr>
      <w:r w:rsidRPr="00022D33">
        <w:t>Service 4: Leads the planning, delivery, management and maintenance of government buildings, projects and office accommodation</w:t>
      </w:r>
    </w:p>
    <w:p w:rsidR="00617CB0" w:rsidRPr="00022D33" w:rsidRDefault="00617CB0" w:rsidP="00617CB0">
      <w:pPr>
        <w:pStyle w:val="BodyText"/>
        <w:sectPr w:rsidR="00617CB0" w:rsidRPr="00022D33" w:rsidSect="000D7011">
          <w:pgSz w:w="16838" w:h="11906" w:orient="landscape" w:code="9"/>
          <w:pgMar w:top="851" w:right="1440" w:bottom="851" w:left="851" w:header="0" w:footer="709" w:gutter="0"/>
          <w:cols w:space="708"/>
          <w:docGrid w:linePitch="360"/>
        </w:sectPr>
      </w:pPr>
      <w:r w:rsidRPr="00022D33">
        <w:t>Service 5: Development and implementation of energy policy and economic reform; assessment of proposed policy changes and the impact on regulatory functions</w:t>
      </w:r>
    </w:p>
    <w:p w:rsidR="00617CB0" w:rsidRPr="00022D33" w:rsidRDefault="00617CB0" w:rsidP="00617CB0">
      <w:pPr>
        <w:pStyle w:val="Heading2"/>
      </w:pPr>
      <w:r w:rsidRPr="00022D33">
        <w:lastRenderedPageBreak/>
        <w:t>Notes to the financial statements</w:t>
      </w:r>
    </w:p>
    <w:p w:rsidR="00617CB0" w:rsidRPr="00022D33" w:rsidRDefault="00617CB0" w:rsidP="00617CB0">
      <w:pPr>
        <w:pStyle w:val="Heading3"/>
      </w:pPr>
      <w:r w:rsidRPr="00022D33">
        <w:t>For the year ended 30 June 2016</w:t>
      </w:r>
    </w:p>
    <w:p w:rsidR="00617CB0" w:rsidRPr="00022D33" w:rsidRDefault="00617CB0" w:rsidP="00617CB0">
      <w:pPr>
        <w:pStyle w:val="Heading3"/>
      </w:pPr>
      <w:r w:rsidRPr="00022D33">
        <w:t>Note 1. Australian Accounting Standards</w:t>
      </w:r>
    </w:p>
    <w:p w:rsidR="00617CB0" w:rsidRPr="00022D33" w:rsidRDefault="00617CB0" w:rsidP="00617CB0">
      <w:pPr>
        <w:pStyle w:val="Heading4"/>
      </w:pPr>
      <w:r w:rsidRPr="00022D33">
        <w:t>General</w:t>
      </w:r>
    </w:p>
    <w:p w:rsidR="00617CB0" w:rsidRPr="00022D33" w:rsidRDefault="00617CB0" w:rsidP="00617CB0">
      <w:pPr>
        <w:pStyle w:val="BodyText"/>
      </w:pPr>
      <w:r w:rsidRPr="00022D33">
        <w:t>The Department’s financial statements for the year ended 30 June 2016 have been prepared in accordance with ‘Australian Accounting Standards’. The term ‘Australian Accounting Standards’ includes Standards and Interpretations issued by the Australian Accounting Standards Board (AASB).</w:t>
      </w:r>
    </w:p>
    <w:p w:rsidR="00617CB0" w:rsidRPr="00022D33" w:rsidRDefault="00617CB0" w:rsidP="00617CB0">
      <w:pPr>
        <w:pStyle w:val="BodyText"/>
      </w:pPr>
      <w:r w:rsidRPr="00022D33">
        <w:t>The Department has adopted any applicable new and revised Australian Accounting Standards from their operative dates.</w:t>
      </w:r>
    </w:p>
    <w:p w:rsidR="00617CB0" w:rsidRPr="00022D33" w:rsidRDefault="00617CB0" w:rsidP="00617CB0">
      <w:pPr>
        <w:pStyle w:val="Heading4"/>
      </w:pPr>
      <w:r w:rsidRPr="00022D33">
        <w:t>Early adoption of standards</w:t>
      </w:r>
    </w:p>
    <w:p w:rsidR="00617CB0" w:rsidRPr="00022D33" w:rsidRDefault="00617CB0" w:rsidP="00617CB0">
      <w:pPr>
        <w:pStyle w:val="BodyText"/>
      </w:pPr>
      <w:r w:rsidRPr="00022D33">
        <w:t>The Department cannot early adopt an Australian Accounting Standard unless specifically permitted by TI 1101 Application of Australian Accounting Standards and Other Pronouncements. Partial exemption permitting early adoption of AASB 2015-7 Amendments to Australian Accounting Standards – Fair Value Disclosures of Not for Profit Public Sector Entities has been granted. Aside from AASB 2015-7, there has been no early adoption of any other Australian Accounting Standards that have been issued or amended (but not operative) by the Department for the annual reporting period ended 30 June 2016.</w:t>
      </w:r>
    </w:p>
    <w:p w:rsidR="00617CB0" w:rsidRPr="00022D33" w:rsidRDefault="00617CB0" w:rsidP="00617CB0">
      <w:pPr>
        <w:pStyle w:val="Heading3"/>
      </w:pPr>
      <w:r w:rsidRPr="00022D33">
        <w:t>Note 2. Summary of significant accounting policies</w:t>
      </w:r>
    </w:p>
    <w:p w:rsidR="00617CB0" w:rsidRPr="00022D33" w:rsidRDefault="00617CB0" w:rsidP="00617CB0">
      <w:pPr>
        <w:pStyle w:val="Heading4"/>
      </w:pPr>
      <w:r w:rsidRPr="00022D33">
        <w:t>(a) General statement</w:t>
      </w:r>
    </w:p>
    <w:p w:rsidR="00617CB0" w:rsidRPr="00022D33" w:rsidRDefault="00617CB0" w:rsidP="00617CB0">
      <w:pPr>
        <w:pStyle w:val="BodyText"/>
      </w:pPr>
      <w:r w:rsidRPr="00022D33">
        <w:t>The Department is a not-for-profit reporting entity that prepares general purpose financial statements in accordance with Australian Accounting Standards, the Framework, Statements of Accounting Concepts and other authoritative pronouncements of the AASB as applied by the Treasurer’s instructions. Several of these are modified by the Treasurer’s instructions to vary application, disclosure, format and wording.</w:t>
      </w:r>
    </w:p>
    <w:p w:rsidR="00617CB0" w:rsidRPr="00022D33" w:rsidRDefault="00617CB0" w:rsidP="00617CB0">
      <w:pPr>
        <w:pStyle w:val="BodyText"/>
      </w:pPr>
      <w:r w:rsidRPr="00022D33">
        <w:rPr>
          <w:i/>
          <w:iCs/>
        </w:rPr>
        <w:t xml:space="preserve">The Financial Management Act 2006 </w:t>
      </w:r>
      <w:r w:rsidRPr="00022D33">
        <w:t xml:space="preserve">and the Treasurer’s instructions impose legislative provisions that govern the preparation of financial statements and take precedence over Australian Accounting Standards, the Framework, Statements of Accounting Concepts and other authoritative pronouncements of the AASB. </w:t>
      </w:r>
    </w:p>
    <w:p w:rsidR="00617CB0" w:rsidRPr="00022D33" w:rsidRDefault="00617CB0" w:rsidP="00617CB0">
      <w:pPr>
        <w:pStyle w:val="BodyText"/>
      </w:pPr>
      <w:r w:rsidRPr="00022D33">
        <w:t>Where modification is required and has had a material or significant financial effect upon the reported results, details of that modification and the resulting financial effect are disclosed in the notes to the financial statements.</w:t>
      </w:r>
    </w:p>
    <w:p w:rsidR="00617CB0" w:rsidRPr="00022D33" w:rsidRDefault="00617CB0" w:rsidP="0085732C">
      <w:pPr>
        <w:pStyle w:val="Heading4"/>
        <w:spacing w:line="240" w:lineRule="auto"/>
      </w:pPr>
      <w:r w:rsidRPr="00022D33">
        <w:t>(b) Basis of preparation</w:t>
      </w:r>
    </w:p>
    <w:p w:rsidR="00617CB0" w:rsidRPr="00022D33" w:rsidRDefault="00617CB0" w:rsidP="00617CB0">
      <w:pPr>
        <w:pStyle w:val="BodyText"/>
      </w:pPr>
      <w:r w:rsidRPr="00022D33">
        <w:t>The financial statements have been prepared on the accrual basis of accounting using the historical cost convention, except for land and buildings which have been measured at fair value.</w:t>
      </w:r>
    </w:p>
    <w:p w:rsidR="00617CB0" w:rsidRPr="00022D33" w:rsidRDefault="00617CB0" w:rsidP="00617CB0">
      <w:pPr>
        <w:pStyle w:val="BodyText"/>
      </w:pPr>
      <w:r w:rsidRPr="00022D33">
        <w:lastRenderedPageBreak/>
        <w:t xml:space="preserve">The accounting policies adopted in the preparation of the financial statements have been consistently applied throughout all periods presented unless otherwise stated. </w:t>
      </w:r>
    </w:p>
    <w:p w:rsidR="00617CB0" w:rsidRPr="00022D33" w:rsidRDefault="00617CB0" w:rsidP="00617CB0">
      <w:pPr>
        <w:pStyle w:val="BodyText"/>
      </w:pPr>
      <w:r w:rsidRPr="00022D33">
        <w:t>The financial statements are presented in Australian dollars and all values are rounded to the nearest thousand dollars ($000).</w:t>
      </w:r>
    </w:p>
    <w:p w:rsidR="00617CB0" w:rsidRPr="00022D33" w:rsidRDefault="00617CB0" w:rsidP="00617CB0">
      <w:pPr>
        <w:pStyle w:val="BodyText"/>
      </w:pPr>
      <w:r w:rsidRPr="00022D33">
        <w:t>Note 4 ‘Judgements made by management in applying accounting policies’ discloses judgements that have been made in the process of applying the Department’s accounting policies resulting in the most significant effect on amounts recognised in the financial statements.</w:t>
      </w:r>
    </w:p>
    <w:p w:rsidR="00617CB0" w:rsidRPr="00022D33" w:rsidRDefault="00617CB0" w:rsidP="00617CB0">
      <w:pPr>
        <w:pStyle w:val="BodyText"/>
      </w:pPr>
      <w:r w:rsidRPr="00022D33">
        <w:t>Note 5 ‘Key sources of estimation uncertainty’ discloses key assumptions made concerning the future, and other key sources of estimation uncertainty at the end of the reporting period, that have a significant risk of causing a material adjustment to the carrying amounts of assets and liabilities within the next financial year.</w:t>
      </w:r>
    </w:p>
    <w:p w:rsidR="00617CB0" w:rsidRPr="00022D33" w:rsidRDefault="00617CB0" w:rsidP="00617CB0">
      <w:pPr>
        <w:pStyle w:val="Heading4"/>
      </w:pPr>
      <w:r w:rsidRPr="00022D33">
        <w:t>(c) Reporting entity</w:t>
      </w:r>
    </w:p>
    <w:p w:rsidR="00617CB0" w:rsidRPr="00022D33" w:rsidRDefault="00617CB0" w:rsidP="00617CB0">
      <w:pPr>
        <w:pStyle w:val="BodyText"/>
      </w:pPr>
      <w:r w:rsidRPr="00022D33">
        <w:t>The reporting entity is the Department of Finance.</w:t>
      </w:r>
    </w:p>
    <w:p w:rsidR="00617CB0" w:rsidRPr="00022D33" w:rsidRDefault="00617CB0" w:rsidP="00617CB0">
      <w:pPr>
        <w:pStyle w:val="Heading5"/>
      </w:pPr>
      <w:r w:rsidRPr="00022D33">
        <w:t>Mission</w:t>
      </w:r>
    </w:p>
    <w:p w:rsidR="00617CB0" w:rsidRPr="00022D33" w:rsidRDefault="00617CB0" w:rsidP="00617CB0">
      <w:pPr>
        <w:pStyle w:val="Heading5"/>
        <w:rPr>
          <w:b w:val="0"/>
          <w:bCs w:val="0"/>
          <w:iCs w:val="0"/>
          <w:szCs w:val="24"/>
          <w:lang w:eastAsia="en-AU"/>
        </w:rPr>
      </w:pPr>
      <w:r w:rsidRPr="00022D33">
        <w:rPr>
          <w:b w:val="0"/>
          <w:bCs w:val="0"/>
          <w:iCs w:val="0"/>
          <w:szCs w:val="24"/>
          <w:lang w:eastAsia="en-AU"/>
        </w:rPr>
        <w:t>The Department’s mission is to facilitate the efficient operation of government, informed decision making and value-for-money outcomes for Western Australians.</w:t>
      </w:r>
    </w:p>
    <w:p w:rsidR="00617CB0" w:rsidRPr="00022D33" w:rsidRDefault="00617CB0" w:rsidP="00617CB0">
      <w:pPr>
        <w:pStyle w:val="Heading5"/>
      </w:pPr>
      <w:r w:rsidRPr="00022D33">
        <w:t>Services</w:t>
      </w:r>
    </w:p>
    <w:p w:rsidR="00617CB0" w:rsidRPr="00022D33" w:rsidRDefault="00617CB0" w:rsidP="00617CB0">
      <w:pPr>
        <w:pStyle w:val="BodyText"/>
      </w:pPr>
      <w:r w:rsidRPr="00022D33">
        <w:t>The Department provides the following services:</w:t>
      </w:r>
    </w:p>
    <w:p w:rsidR="00617CB0" w:rsidRPr="00022D33" w:rsidRDefault="00617CB0" w:rsidP="00617CB0">
      <w:pPr>
        <w:pStyle w:val="BodyText"/>
      </w:pPr>
      <w:r w:rsidRPr="00022D33">
        <w:t>Service 1: Revenue assessment and collection, and grants and subsidies administration</w:t>
      </w:r>
    </w:p>
    <w:p w:rsidR="00617CB0" w:rsidRPr="00022D33" w:rsidRDefault="00617CB0" w:rsidP="00617CB0">
      <w:pPr>
        <w:pStyle w:val="BodyText"/>
      </w:pPr>
      <w:r w:rsidRPr="00022D33">
        <w:t>Service 2: Development and management of common use contract arrangements, State Fleet leasing and disposal, and providing facilitation service for agency specific contracts</w:t>
      </w:r>
    </w:p>
    <w:p w:rsidR="00617CB0" w:rsidRPr="00022D33" w:rsidRDefault="00617CB0" w:rsidP="00617CB0">
      <w:pPr>
        <w:pStyle w:val="BodyText"/>
      </w:pPr>
      <w:r w:rsidRPr="00022D33">
        <w:t>Service 3: Corporate Services to the Department of Treasury</w:t>
      </w:r>
    </w:p>
    <w:p w:rsidR="00617CB0" w:rsidRPr="00022D33" w:rsidRDefault="00617CB0" w:rsidP="00617CB0">
      <w:pPr>
        <w:pStyle w:val="BodyText"/>
      </w:pPr>
      <w:r w:rsidRPr="00022D33">
        <w:t>Service 4: Leads the planning, delivery, management and maintenance of government buildings, projects and office accommodation</w:t>
      </w:r>
    </w:p>
    <w:p w:rsidR="00617CB0" w:rsidRPr="00022D33" w:rsidRDefault="00617CB0" w:rsidP="00617CB0">
      <w:pPr>
        <w:pStyle w:val="BodyText"/>
      </w:pPr>
      <w:r w:rsidRPr="00022D33">
        <w:t>Service 5: Development and implementation of energy policy and economic reform; assessment of proposed policy changes and the impact on regulatory functions</w:t>
      </w:r>
    </w:p>
    <w:p w:rsidR="00617CB0" w:rsidRPr="00022D33" w:rsidRDefault="00617CB0" w:rsidP="00617CB0">
      <w:pPr>
        <w:pStyle w:val="BodyText"/>
      </w:pPr>
      <w:r w:rsidRPr="00022D33">
        <w:t>The Department administers assets, liabilities, income and expenses on behalf of government which are not controlled by, nor integral to the function of the Department. These administered balances and transactions are not recognised in the principal financial statements of the Department but schedules are prepared using the same basis as the financial statements and are presented at Note 50 ‘Disclosure of administered income and expenses by service’ and Note 51 ‘Administered assets and liabilities’.</w:t>
      </w:r>
    </w:p>
    <w:p w:rsidR="00617CB0" w:rsidRPr="00022D33" w:rsidRDefault="00617CB0" w:rsidP="00617CB0">
      <w:pPr>
        <w:pStyle w:val="BodyText"/>
      </w:pPr>
    </w:p>
    <w:p w:rsidR="00A34D78" w:rsidRDefault="00A34D78">
      <w:pPr>
        <w:spacing w:after="0" w:line="240" w:lineRule="auto"/>
        <w:rPr>
          <w:rFonts w:ascii="Arial" w:eastAsia="Times New Roman" w:hAnsi="Arial"/>
          <w:b/>
          <w:bCs/>
          <w:sz w:val="26"/>
          <w:szCs w:val="28"/>
        </w:rPr>
      </w:pPr>
      <w:r>
        <w:br w:type="page"/>
      </w:r>
    </w:p>
    <w:p w:rsidR="00617CB0" w:rsidRPr="00022D33" w:rsidRDefault="00617CB0" w:rsidP="00617CB0">
      <w:pPr>
        <w:pStyle w:val="Heading4"/>
      </w:pPr>
      <w:r w:rsidRPr="00022D33">
        <w:t>(d) Contributed equity</w:t>
      </w:r>
    </w:p>
    <w:p w:rsidR="00617CB0" w:rsidRPr="00022D33" w:rsidRDefault="00617CB0" w:rsidP="00617CB0">
      <w:pPr>
        <w:pStyle w:val="BodyText"/>
      </w:pPr>
      <w:r w:rsidRPr="00022D33">
        <w:t>AASB Interpretation 1038 Contributions by Owners Made to Wholly-Owned Public Sector Entities requires transfers in the nature of equity contributions, other than as a result of a restructure of administrative arrangements, to be designated by the Government (the owner) as contributions by owners (at the time of, or prior to transfer) before such transfers can be recognised as equity contributions. Capital appropriations have been designated as contributions by owners by TI 955 Contributions by Owners made to Wholly-Owned Public Sector Entities and have been credited directly to Contributed Equity.</w:t>
      </w:r>
    </w:p>
    <w:p w:rsidR="00617CB0" w:rsidRPr="00022D33" w:rsidRDefault="00617CB0" w:rsidP="00617CB0">
      <w:pPr>
        <w:pStyle w:val="BodyText"/>
      </w:pPr>
      <w:r w:rsidRPr="00022D33">
        <w:t>The transfer of net assets to/from other agencies, other than as a result of a restructure of administrative arrangements, is designated as contributions by owners where the transfers are non-discretionary and non-reciprocal.</w:t>
      </w:r>
    </w:p>
    <w:p w:rsidR="00617CB0" w:rsidRPr="00022D33" w:rsidRDefault="00617CB0" w:rsidP="00617CB0">
      <w:pPr>
        <w:pStyle w:val="Heading4"/>
      </w:pPr>
      <w:r w:rsidRPr="00022D33">
        <w:t>(e) Income</w:t>
      </w:r>
    </w:p>
    <w:p w:rsidR="00617CB0" w:rsidRPr="00022D33" w:rsidRDefault="00617CB0" w:rsidP="00617CB0">
      <w:pPr>
        <w:pStyle w:val="Heading5"/>
      </w:pPr>
      <w:r w:rsidRPr="00022D33">
        <w:t>Revenue recognition</w:t>
      </w:r>
    </w:p>
    <w:p w:rsidR="00617CB0" w:rsidRPr="00022D33" w:rsidRDefault="00617CB0" w:rsidP="00617CB0">
      <w:pPr>
        <w:pStyle w:val="BodyText"/>
      </w:pPr>
      <w:r w:rsidRPr="00022D33">
        <w:t>Revenue is recognised and measured at the fair value of consideration received or receivable. Revenue is recognised for the major business activities as follows:</w:t>
      </w:r>
    </w:p>
    <w:p w:rsidR="00617CB0" w:rsidRPr="00022D33" w:rsidRDefault="00617CB0" w:rsidP="00617CB0">
      <w:pPr>
        <w:pStyle w:val="BodyText"/>
        <w:rPr>
          <w:i/>
          <w:iCs/>
        </w:rPr>
      </w:pPr>
      <w:r w:rsidRPr="00022D33">
        <w:rPr>
          <w:i/>
          <w:iCs/>
        </w:rPr>
        <w:t>Sale of goods</w:t>
      </w:r>
    </w:p>
    <w:p w:rsidR="00617CB0" w:rsidRPr="00022D33" w:rsidRDefault="00617CB0" w:rsidP="00617CB0">
      <w:pPr>
        <w:pStyle w:val="BodyText"/>
      </w:pPr>
      <w:r w:rsidRPr="00022D33">
        <w:t>Revenue is recognised from the sale of goods and disposal of other assets when the significant risks and rewards of ownership transfer to the purchaser and can be measured reliably.</w:t>
      </w:r>
    </w:p>
    <w:p w:rsidR="00617CB0" w:rsidRPr="00022D33" w:rsidRDefault="00617CB0" w:rsidP="00617CB0">
      <w:pPr>
        <w:pStyle w:val="BodyText"/>
        <w:rPr>
          <w:i/>
          <w:iCs/>
        </w:rPr>
      </w:pPr>
      <w:r w:rsidRPr="00022D33">
        <w:rPr>
          <w:i/>
          <w:iCs/>
        </w:rPr>
        <w:t>Provision of services</w:t>
      </w:r>
    </w:p>
    <w:p w:rsidR="00617CB0" w:rsidRPr="00022D33" w:rsidRDefault="00617CB0" w:rsidP="00617CB0">
      <w:pPr>
        <w:pStyle w:val="BodyText"/>
      </w:pPr>
      <w:r w:rsidRPr="00022D33">
        <w:t>Revenue is recognised by reference to the stage of completion of the transaction.</w:t>
      </w:r>
    </w:p>
    <w:p w:rsidR="00617CB0" w:rsidRPr="00022D33" w:rsidRDefault="00617CB0" w:rsidP="00617CB0">
      <w:pPr>
        <w:pStyle w:val="BodyText"/>
        <w:rPr>
          <w:i/>
          <w:iCs/>
        </w:rPr>
      </w:pPr>
      <w:r w:rsidRPr="00022D33">
        <w:rPr>
          <w:i/>
          <w:iCs/>
        </w:rPr>
        <w:t>Vehicle fleet lease rentals</w:t>
      </w:r>
    </w:p>
    <w:p w:rsidR="00617CB0" w:rsidRPr="00022D33" w:rsidRDefault="00617CB0" w:rsidP="00617CB0">
      <w:pPr>
        <w:pStyle w:val="BodyText"/>
      </w:pPr>
      <w:r w:rsidRPr="00022D33">
        <w:t>Rental revenue is recognised in accordance with lease agreements entered into with State Government agencies, statutory authorities and other State Government entities.</w:t>
      </w:r>
    </w:p>
    <w:p w:rsidR="00617CB0" w:rsidRPr="00022D33" w:rsidRDefault="00617CB0" w:rsidP="00617CB0">
      <w:pPr>
        <w:pStyle w:val="BodyText"/>
        <w:rPr>
          <w:i/>
          <w:iCs/>
        </w:rPr>
      </w:pPr>
      <w:r w:rsidRPr="00022D33">
        <w:rPr>
          <w:i/>
          <w:iCs/>
        </w:rPr>
        <w:t>Vehicle bailment revenues</w:t>
      </w:r>
    </w:p>
    <w:p w:rsidR="00617CB0" w:rsidRPr="00022D33" w:rsidRDefault="00617CB0" w:rsidP="00617CB0">
      <w:pPr>
        <w:pStyle w:val="BodyText"/>
      </w:pPr>
      <w:r w:rsidRPr="00022D33">
        <w:t>Revenue is recognised on receipt of sale proceeds of vehicles held under bailment rights.</w:t>
      </w:r>
    </w:p>
    <w:p w:rsidR="00617CB0" w:rsidRPr="00022D33" w:rsidRDefault="00617CB0" w:rsidP="00617CB0">
      <w:pPr>
        <w:pStyle w:val="BodyText"/>
        <w:rPr>
          <w:i/>
          <w:iCs/>
        </w:rPr>
      </w:pPr>
      <w:r w:rsidRPr="00022D33">
        <w:rPr>
          <w:i/>
          <w:iCs/>
        </w:rPr>
        <w:t>Interest</w:t>
      </w:r>
    </w:p>
    <w:p w:rsidR="00617CB0" w:rsidRPr="00022D33" w:rsidRDefault="00617CB0" w:rsidP="00617CB0">
      <w:pPr>
        <w:pStyle w:val="BodyText"/>
      </w:pPr>
      <w:r w:rsidRPr="00022D33">
        <w:t>Revenue is recognised as the interest accrues.</w:t>
      </w:r>
    </w:p>
    <w:p w:rsidR="00617CB0" w:rsidRPr="00022D33" w:rsidRDefault="00617CB0" w:rsidP="00617CB0">
      <w:pPr>
        <w:pStyle w:val="BodyText"/>
        <w:rPr>
          <w:i/>
          <w:iCs/>
        </w:rPr>
      </w:pPr>
      <w:r w:rsidRPr="00022D33">
        <w:rPr>
          <w:i/>
          <w:iCs/>
        </w:rPr>
        <w:t>Revenue recognition - administered</w:t>
      </w:r>
    </w:p>
    <w:p w:rsidR="00617CB0" w:rsidRPr="00022D33" w:rsidRDefault="00617CB0" w:rsidP="00617CB0">
      <w:pPr>
        <w:pStyle w:val="BodyText"/>
      </w:pPr>
      <w:r w:rsidRPr="00022D33">
        <w:t>Revenues resulting from taxation, territorial revenue, regulatory fees and fines, sale of goods and services, rent and interest are, where possible, recognised when the transaction or event giving rise to the revenue occurs. In some instances however, the revenue is not measurable until the cash is received.</w:t>
      </w:r>
    </w:p>
    <w:p w:rsidR="00617CB0" w:rsidRPr="00022D33" w:rsidRDefault="00617CB0" w:rsidP="00617CB0">
      <w:pPr>
        <w:pStyle w:val="BodyText"/>
        <w:rPr>
          <w:i/>
          <w:iCs/>
        </w:rPr>
      </w:pPr>
      <w:r w:rsidRPr="00022D33">
        <w:rPr>
          <w:i/>
          <w:iCs/>
        </w:rPr>
        <w:t>Service appropriations</w:t>
      </w:r>
    </w:p>
    <w:p w:rsidR="00617CB0" w:rsidRPr="00022D33" w:rsidRDefault="00617CB0" w:rsidP="00617CB0">
      <w:pPr>
        <w:pStyle w:val="BodyText"/>
      </w:pPr>
      <w:r w:rsidRPr="00022D33">
        <w:t xml:space="preserve">Service appropriations are recognised as revenues at fair value in the period in </w:t>
      </w:r>
      <w:r w:rsidRPr="00022D33">
        <w:lastRenderedPageBreak/>
        <w:t>which the Department gains control of the appropriated funds. The Department gains control of appropriated funds at the time those funds are deposited to the Department’s bank account or credited to the ‘Amounts receivable for services’ (holding account) held at Treasury.</w:t>
      </w:r>
    </w:p>
    <w:p w:rsidR="00617CB0" w:rsidRPr="00022D33" w:rsidRDefault="00617CB0" w:rsidP="00617CB0">
      <w:pPr>
        <w:pStyle w:val="BodyText"/>
        <w:rPr>
          <w:bCs/>
          <w:i/>
          <w:szCs w:val="22"/>
          <w:lang w:eastAsia="en-US"/>
        </w:rPr>
      </w:pPr>
      <w:r w:rsidRPr="00022D33">
        <w:rPr>
          <w:bCs/>
          <w:i/>
          <w:szCs w:val="22"/>
          <w:lang w:eastAsia="en-US"/>
        </w:rPr>
        <w:t>Net appropriation determination</w:t>
      </w:r>
    </w:p>
    <w:p w:rsidR="00617CB0" w:rsidRPr="00022D33" w:rsidRDefault="00617CB0" w:rsidP="00617CB0">
      <w:pPr>
        <w:pStyle w:val="BodyText"/>
      </w:pPr>
      <w:r w:rsidRPr="00022D33">
        <w:rPr>
          <w:bCs/>
          <w:szCs w:val="22"/>
          <w:lang w:eastAsia="en-US"/>
        </w:rPr>
        <w:t>The Treasurer may make a determination providing for prescribed receipts to be retained for services under the control of the Department. In accordance with the most recent determination, as quantified in the 2015-16 Budget Statements, the Department retained $972 million in 2016 ($1,160 million in 2015) from the following:</w:t>
      </w:r>
    </w:p>
    <w:p w:rsidR="00617CB0" w:rsidRPr="00022D33" w:rsidRDefault="00617CB0" w:rsidP="00617CB0">
      <w:pPr>
        <w:pStyle w:val="BodyText"/>
        <w:numPr>
          <w:ilvl w:val="0"/>
          <w:numId w:val="6"/>
        </w:numPr>
      </w:pPr>
      <w:r w:rsidRPr="00022D33">
        <w:t>proceeds from fees and charges;</w:t>
      </w:r>
    </w:p>
    <w:p w:rsidR="00617CB0" w:rsidRPr="00022D33" w:rsidRDefault="00617CB0" w:rsidP="00617CB0">
      <w:pPr>
        <w:pStyle w:val="BodyText"/>
        <w:numPr>
          <w:ilvl w:val="0"/>
          <w:numId w:val="6"/>
        </w:numPr>
      </w:pPr>
      <w:r w:rsidRPr="00022D33">
        <w:t>sale of goods;</w:t>
      </w:r>
    </w:p>
    <w:p w:rsidR="00617CB0" w:rsidRPr="00022D33" w:rsidRDefault="00617CB0" w:rsidP="00617CB0">
      <w:pPr>
        <w:pStyle w:val="BodyText"/>
        <w:numPr>
          <w:ilvl w:val="0"/>
          <w:numId w:val="6"/>
        </w:numPr>
      </w:pPr>
      <w:r w:rsidRPr="00022D33">
        <w:t>Commonwealth specific-purpose grants and contributions;</w:t>
      </w:r>
    </w:p>
    <w:p w:rsidR="00617CB0" w:rsidRPr="00022D33" w:rsidRDefault="00617CB0" w:rsidP="00617CB0">
      <w:pPr>
        <w:pStyle w:val="BodyText"/>
        <w:numPr>
          <w:ilvl w:val="0"/>
          <w:numId w:val="6"/>
        </w:numPr>
      </w:pPr>
      <w:r w:rsidRPr="00022D33">
        <w:t>rental revenue recognised in accordance with lease agreements entered into with State Government agencies, statutory authorities and other State Government entities and vehicle bailment revenue held under bailment rights;</w:t>
      </w:r>
    </w:p>
    <w:p w:rsidR="00617CB0" w:rsidRPr="00022D33" w:rsidRDefault="00617CB0" w:rsidP="00617CB0">
      <w:pPr>
        <w:pStyle w:val="BodyText"/>
        <w:numPr>
          <w:ilvl w:val="0"/>
          <w:numId w:val="6"/>
        </w:numPr>
      </w:pPr>
      <w:r w:rsidRPr="00022D33">
        <w:t>provision of contract services and rental income sufficient to cover outgoings paid for government owned buildings; and</w:t>
      </w:r>
    </w:p>
    <w:p w:rsidR="00617CB0" w:rsidRPr="00022D33" w:rsidRDefault="00617CB0" w:rsidP="00617CB0">
      <w:pPr>
        <w:pStyle w:val="BodyText"/>
        <w:numPr>
          <w:ilvl w:val="0"/>
          <w:numId w:val="6"/>
        </w:numPr>
      </w:pPr>
      <w:r w:rsidRPr="00022D33">
        <w:t>other departmental revenue.</w:t>
      </w:r>
    </w:p>
    <w:p w:rsidR="00617CB0" w:rsidRPr="00022D33" w:rsidRDefault="00617CB0" w:rsidP="00617CB0">
      <w:pPr>
        <w:pStyle w:val="Heading6"/>
      </w:pPr>
      <w:r w:rsidRPr="00022D33">
        <w:t>Grants, donations, gifts and other non-reciprocal contributions</w:t>
      </w:r>
    </w:p>
    <w:p w:rsidR="00617CB0" w:rsidRPr="00022D33" w:rsidRDefault="00617CB0" w:rsidP="00617CB0">
      <w:pPr>
        <w:pStyle w:val="BodyText"/>
      </w:pPr>
      <w:r w:rsidRPr="00022D33">
        <w:t>Revenue is recognised at fair value when the Department obtains control over the assets comprising the contributions, usually when cash is received.</w:t>
      </w:r>
    </w:p>
    <w:p w:rsidR="00617CB0" w:rsidRPr="00022D33" w:rsidRDefault="00617CB0" w:rsidP="00617CB0">
      <w:pPr>
        <w:pStyle w:val="BodyText"/>
      </w:pPr>
      <w:r w:rsidRPr="00022D33">
        <w:t>Other non-reciprocal contributions that are not contributions by owners are recognised at their fair value. Contributions of services are only recognised when a fair value can be reliably determined and the services would be purchased if not donated.</w:t>
      </w:r>
    </w:p>
    <w:p w:rsidR="00617CB0" w:rsidRPr="00022D33" w:rsidRDefault="00617CB0" w:rsidP="00617CB0">
      <w:pPr>
        <w:pStyle w:val="BodyText"/>
      </w:pPr>
      <w:r w:rsidRPr="00022D33">
        <w:t>Royalties for Regions funds are recognised as revenue at fair value in the period in which the Department obtains control over the funds. The Department obtains control of the funds at the time the funds are deposited into the Department’s bank account.</w:t>
      </w:r>
    </w:p>
    <w:p w:rsidR="00617CB0" w:rsidRPr="00022D33" w:rsidRDefault="00617CB0" w:rsidP="00617CB0">
      <w:pPr>
        <w:pStyle w:val="Heading5"/>
      </w:pPr>
      <w:r w:rsidRPr="00022D33">
        <w:t>Gains</w:t>
      </w:r>
    </w:p>
    <w:p w:rsidR="00617CB0" w:rsidRPr="00022D33" w:rsidRDefault="00617CB0" w:rsidP="00617CB0">
      <w:pPr>
        <w:pStyle w:val="BodyText"/>
      </w:pPr>
      <w:r w:rsidRPr="00022D33">
        <w:t>Realised and unrealised gains are usually recognised on a net basis. These include gains arising on the disposal of non-current assets and some revaluations of non-current assets.</w:t>
      </w:r>
    </w:p>
    <w:p w:rsidR="00617CB0" w:rsidRPr="00022D33" w:rsidRDefault="00617CB0" w:rsidP="00617CB0">
      <w:pPr>
        <w:pStyle w:val="Heading4"/>
      </w:pPr>
      <w:r w:rsidRPr="00022D33">
        <w:t>(f)</w:t>
      </w:r>
      <w:r w:rsidRPr="00022D33">
        <w:tab/>
        <w:t>Borrowing costs</w:t>
      </w:r>
    </w:p>
    <w:p w:rsidR="00617CB0" w:rsidRPr="00022D33" w:rsidRDefault="00617CB0" w:rsidP="00617CB0">
      <w:pPr>
        <w:pStyle w:val="BodyText"/>
      </w:pPr>
      <w:r w:rsidRPr="00022D33">
        <w:t>Borrowing costs are expensed when incurred.</w:t>
      </w:r>
    </w:p>
    <w:p w:rsidR="00617CB0" w:rsidRPr="00022D33" w:rsidRDefault="00617CB0" w:rsidP="00617CB0">
      <w:pPr>
        <w:pStyle w:val="Heading4"/>
      </w:pPr>
      <w:r w:rsidRPr="00022D33">
        <w:t>(g)</w:t>
      </w:r>
      <w:r w:rsidRPr="00022D33">
        <w:tab/>
      </w:r>
      <w:r w:rsidRPr="00022D33">
        <w:rPr>
          <w:rFonts w:ascii="HelveticaNeueLT-Medium" w:hAnsi="HelveticaNeueLT-Medium" w:cs="HelveticaNeueLT-Medium"/>
          <w:lang w:eastAsia="en-AU"/>
        </w:rPr>
        <w:t>Property, plant and equipment</w:t>
      </w:r>
    </w:p>
    <w:p w:rsidR="00617CB0" w:rsidRPr="00022D33" w:rsidRDefault="00617CB0" w:rsidP="00617CB0">
      <w:pPr>
        <w:pStyle w:val="Heading5"/>
      </w:pPr>
      <w:r w:rsidRPr="00022D33">
        <w:t>Capitalisation/expensing of assets</w:t>
      </w:r>
    </w:p>
    <w:p w:rsidR="00617CB0" w:rsidRPr="00022D33" w:rsidRDefault="00617CB0" w:rsidP="00617CB0">
      <w:pPr>
        <w:pStyle w:val="BodyText"/>
      </w:pPr>
      <w:r w:rsidRPr="00022D33">
        <w:t xml:space="preserve">Items of property, plant and equipment costing $5,000 or more are recognised as </w:t>
      </w:r>
      <w:r w:rsidRPr="00022D33">
        <w:lastRenderedPageBreak/>
        <w:t>assets and the cost of utilising assets is expensed (depreciated) over their useful lives. Items of property, plant and equipment costing less than $5,000 are immediately expensed direct to the Statement of Comprehensive Income (other than where they form part of a group of similar items which are significant in total).</w:t>
      </w:r>
    </w:p>
    <w:p w:rsidR="00617CB0" w:rsidRPr="00022D33" w:rsidRDefault="00617CB0" w:rsidP="00617CB0">
      <w:pPr>
        <w:pStyle w:val="Heading5"/>
      </w:pPr>
      <w:r w:rsidRPr="00022D33">
        <w:t>Initial recognition and measurement</w:t>
      </w:r>
    </w:p>
    <w:p w:rsidR="00617CB0" w:rsidRPr="00022D33" w:rsidRDefault="00617CB0" w:rsidP="00617CB0">
      <w:pPr>
        <w:pStyle w:val="BodyText"/>
      </w:pPr>
      <w:r w:rsidRPr="00022D33">
        <w:t>Property, plant and equipment are initially recognised at cost.</w:t>
      </w:r>
    </w:p>
    <w:p w:rsidR="00617CB0" w:rsidRPr="00022D33" w:rsidRDefault="00617CB0" w:rsidP="00617CB0">
      <w:pPr>
        <w:pStyle w:val="BodyText"/>
      </w:pPr>
      <w:r w:rsidRPr="00022D33">
        <w:t>For items of property, plant and equipment acquired at no cost or for nominal cost, the cost is the fair value at the date of acquisition.</w:t>
      </w:r>
    </w:p>
    <w:p w:rsidR="00617CB0" w:rsidRPr="00022D33" w:rsidRDefault="00617CB0" w:rsidP="00617CB0">
      <w:pPr>
        <w:pStyle w:val="Heading5"/>
      </w:pPr>
      <w:r w:rsidRPr="00022D33">
        <w:t>Subsequent measurement</w:t>
      </w:r>
    </w:p>
    <w:p w:rsidR="00617CB0" w:rsidRPr="00022D33" w:rsidRDefault="00617CB0" w:rsidP="00617CB0">
      <w:pPr>
        <w:pStyle w:val="BodyText"/>
      </w:pPr>
      <w:r w:rsidRPr="00022D33">
        <w:t>Subsequent to initial recognition of an asset, the revaluation model is used for the measurement of land and buildings and historical cost for all other property, plant and equipment. Land and buildings are carried at fair value less accumulated depreciation (buildings only) and accumulated impairment losses. All other items of property, plant and equipment are stated at historical cost less accumulated depreciation and accumulated impairment losses.</w:t>
      </w:r>
    </w:p>
    <w:p w:rsidR="00617CB0" w:rsidRPr="00022D33" w:rsidRDefault="00617CB0" w:rsidP="00617CB0">
      <w:pPr>
        <w:pStyle w:val="BodyText"/>
      </w:pPr>
      <w:r w:rsidRPr="00022D33">
        <w:t>Where market-based evidence is available, the fair value of land and buildings is determined on the basis of current market values determined by reference to recent market transactions. When buildings are revalued by reference to recent market transactions, the accumulated depreciation is eliminated against the gross carrying amount of the asset and the net amount restated to the revalued amount.</w:t>
      </w:r>
    </w:p>
    <w:p w:rsidR="00617CB0" w:rsidRPr="00022D33" w:rsidRDefault="00617CB0" w:rsidP="00617CB0">
      <w:pPr>
        <w:pStyle w:val="BodyText"/>
      </w:pPr>
      <w:r w:rsidRPr="00022D33">
        <w:t>In the absence of market-based evidence, fair value of land and buildings is determined on the basis of existing use. This normally applies where buildings are specialised or where land use is restricted. Fair value for existing use buildings is determined by reference to the cost of replacing the remaining future economic benefits embodied in the asset, that is, the depreciated replacement cost. Where the fair value of buildings is determined on the depreciated replacement cost basis, the gross carrying amount and the accumulated depreciation are restated proportionately. Fair value for restricted use land is determined by comparison with market evidence for land with similar approximate utility (high restricted use land) or market value of comparable unrestricted land (low restricted use land).</w:t>
      </w:r>
    </w:p>
    <w:p w:rsidR="00617CB0" w:rsidRPr="00022D33" w:rsidRDefault="00617CB0" w:rsidP="00617CB0">
      <w:pPr>
        <w:pStyle w:val="BodyText"/>
      </w:pPr>
      <w:r w:rsidRPr="00022D33">
        <w:t>Land and buildings are independently valued annually by the Western Australian Land Information Authority (Valuation Services) and recognised annually to ensure that the carrying amount does not differ materially from the asset’s fair value at the end of the reporting period.</w:t>
      </w:r>
    </w:p>
    <w:p w:rsidR="00617CB0" w:rsidRPr="00022D33" w:rsidRDefault="00617CB0" w:rsidP="00617CB0">
      <w:pPr>
        <w:pStyle w:val="BodyText"/>
      </w:pPr>
      <w:r w:rsidRPr="00022D33">
        <w:t>The most significant assumptions and judgements in estimating fair value are made in assessing whether to apply the existing use basis to assets and in determining estimated economic life. Professional judgement by the valuer is required where the evidence does not provide a clear distinction between market type assets and existing use assets.</w:t>
      </w:r>
    </w:p>
    <w:p w:rsidR="00617CB0" w:rsidRPr="00022D33" w:rsidRDefault="00617CB0" w:rsidP="00617CB0">
      <w:pPr>
        <w:pStyle w:val="Heading5"/>
      </w:pPr>
      <w:r w:rsidRPr="00022D33">
        <w:t>De-recognition</w:t>
      </w:r>
    </w:p>
    <w:p w:rsidR="00617CB0" w:rsidRPr="00022D33" w:rsidRDefault="00617CB0" w:rsidP="00617CB0">
      <w:pPr>
        <w:pStyle w:val="BodyText"/>
      </w:pPr>
      <w:r w:rsidRPr="00022D33">
        <w:t>Upon disposal or de-recognition of an item of property, plant and equipment, any revaluation surplus relating to that asset is retained in the asset revaluation surplus.</w:t>
      </w:r>
    </w:p>
    <w:p w:rsidR="00617CB0" w:rsidRPr="00022D33" w:rsidRDefault="00617CB0" w:rsidP="00617CB0">
      <w:pPr>
        <w:pStyle w:val="Heading5"/>
      </w:pPr>
    </w:p>
    <w:p w:rsidR="00617CB0" w:rsidRPr="00022D33" w:rsidRDefault="00617CB0" w:rsidP="00617CB0">
      <w:pPr>
        <w:pStyle w:val="Heading5"/>
      </w:pPr>
    </w:p>
    <w:p w:rsidR="00617CB0" w:rsidRPr="00022D33" w:rsidRDefault="00617CB0" w:rsidP="00617CB0">
      <w:pPr>
        <w:pStyle w:val="Heading5"/>
      </w:pPr>
      <w:r w:rsidRPr="00022D33">
        <w:t>Asset revaluation surplus</w:t>
      </w:r>
    </w:p>
    <w:p w:rsidR="00617CB0" w:rsidRPr="00022D33" w:rsidRDefault="00617CB0" w:rsidP="00617CB0">
      <w:pPr>
        <w:pStyle w:val="BodyText"/>
      </w:pPr>
      <w:r w:rsidRPr="00022D33">
        <w:t>The asset revaluation surplus is used to record increments and decrements on the revaluation of non-current assets as described in Note 25 Property, plant and equipment.</w:t>
      </w:r>
    </w:p>
    <w:p w:rsidR="00617CB0" w:rsidRPr="00022D33" w:rsidRDefault="00617CB0" w:rsidP="00617CB0">
      <w:pPr>
        <w:pStyle w:val="Heading5"/>
      </w:pPr>
      <w:r w:rsidRPr="00022D33">
        <w:t>Depreciation</w:t>
      </w:r>
    </w:p>
    <w:p w:rsidR="00617CB0" w:rsidRPr="00022D33" w:rsidRDefault="00617CB0" w:rsidP="00617CB0">
      <w:pPr>
        <w:pStyle w:val="BodyText"/>
      </w:pPr>
      <w:r w:rsidRPr="00022D33">
        <w:t>All non-current assets having a limited useful life are systematically depreciated over their estimated useful lives in a manner that reflects the consumption of their future economic benefits.</w:t>
      </w:r>
    </w:p>
    <w:p w:rsidR="00617CB0" w:rsidRPr="00022D33" w:rsidRDefault="00617CB0" w:rsidP="00617CB0">
      <w:pPr>
        <w:pStyle w:val="BodyText"/>
      </w:pPr>
      <w:r w:rsidRPr="00022D33">
        <w:t>State Fleet motor vehicles are leased to other agencies mainly as operating leases. Taking into account the residual values, the vehicles are depreciated on a straight-line basis over the term of the vehicle lease.</w:t>
      </w:r>
    </w:p>
    <w:p w:rsidR="00617CB0" w:rsidRPr="00022D33" w:rsidRDefault="00617CB0" w:rsidP="00617CB0">
      <w:pPr>
        <w:pStyle w:val="BodyText"/>
      </w:pPr>
      <w:r w:rsidRPr="00022D33">
        <w:t>Depreciation is calculated using the straight line method using rates which are reviewed annually. Estimated useful lives for each class of depreciable asset are:</w:t>
      </w:r>
    </w:p>
    <w:p w:rsidR="00617CB0" w:rsidRPr="00022D33" w:rsidRDefault="00617CB0" w:rsidP="00617CB0">
      <w:pPr>
        <w:pStyle w:val="BodyText"/>
      </w:pPr>
      <w:r w:rsidRPr="00022D33">
        <w:t>Buildings</w:t>
      </w:r>
      <w:r w:rsidRPr="00022D33">
        <w:tab/>
      </w:r>
      <w:r w:rsidRPr="00022D33">
        <w:tab/>
      </w:r>
      <w:r w:rsidRPr="00022D33">
        <w:tab/>
        <w:t>30 to 40 years</w:t>
      </w:r>
    </w:p>
    <w:p w:rsidR="00617CB0" w:rsidRPr="00022D33" w:rsidRDefault="00617CB0" w:rsidP="00617CB0">
      <w:pPr>
        <w:pStyle w:val="BodyText"/>
      </w:pPr>
      <w:r w:rsidRPr="00022D33">
        <w:t>Heritage assets</w:t>
      </w:r>
      <w:r w:rsidRPr="00022D33">
        <w:tab/>
      </w:r>
      <w:r w:rsidRPr="00022D33">
        <w:tab/>
        <w:t>100 years</w:t>
      </w:r>
    </w:p>
    <w:p w:rsidR="00617CB0" w:rsidRPr="00022D33" w:rsidRDefault="00617CB0" w:rsidP="00617CB0">
      <w:pPr>
        <w:pStyle w:val="BodyText"/>
      </w:pPr>
      <w:r w:rsidRPr="00022D33">
        <w:t xml:space="preserve">Plant and equipment </w:t>
      </w:r>
      <w:r w:rsidRPr="00022D33">
        <w:tab/>
        <w:t>10 to 15 years</w:t>
      </w:r>
    </w:p>
    <w:p w:rsidR="00617CB0" w:rsidRPr="00022D33" w:rsidRDefault="00617CB0" w:rsidP="00617CB0">
      <w:pPr>
        <w:pStyle w:val="BodyText"/>
      </w:pPr>
      <w:r w:rsidRPr="00022D33">
        <w:t xml:space="preserve">Office equipment </w:t>
      </w:r>
      <w:r w:rsidRPr="00022D33">
        <w:tab/>
      </w:r>
      <w:r w:rsidRPr="00022D33">
        <w:tab/>
        <w:t>5 years</w:t>
      </w:r>
    </w:p>
    <w:p w:rsidR="00617CB0" w:rsidRPr="00022D33" w:rsidRDefault="00617CB0" w:rsidP="00617CB0">
      <w:pPr>
        <w:pStyle w:val="BodyText"/>
      </w:pPr>
      <w:r w:rsidRPr="00022D33">
        <w:t xml:space="preserve">Software </w:t>
      </w:r>
      <w:r w:rsidRPr="00022D33">
        <w:rPr>
          <w:vertAlign w:val="superscript"/>
        </w:rPr>
        <w:t>(a)</w:t>
      </w:r>
      <w:r w:rsidRPr="00022D33">
        <w:rPr>
          <w:vertAlign w:val="superscript"/>
        </w:rPr>
        <w:tab/>
      </w:r>
      <w:r w:rsidRPr="00022D33">
        <w:tab/>
      </w:r>
      <w:r w:rsidRPr="00022D33">
        <w:tab/>
        <w:t>3 to 10 years</w:t>
      </w:r>
    </w:p>
    <w:p w:rsidR="00617CB0" w:rsidRPr="00022D33" w:rsidRDefault="00617CB0" w:rsidP="00617CB0">
      <w:pPr>
        <w:pStyle w:val="BodyText"/>
      </w:pPr>
      <w:r w:rsidRPr="00022D33">
        <w:t>Office fit-outs</w:t>
      </w:r>
      <w:r w:rsidRPr="00022D33">
        <w:tab/>
      </w:r>
      <w:r w:rsidRPr="00022D33">
        <w:tab/>
      </w:r>
      <w:r w:rsidRPr="00022D33">
        <w:tab/>
        <w:t>3 to 15 years or remaining lease term, whichever is lower</w:t>
      </w:r>
    </w:p>
    <w:p w:rsidR="00617CB0" w:rsidRPr="00022D33" w:rsidRDefault="00617CB0" w:rsidP="00617CB0">
      <w:pPr>
        <w:pStyle w:val="BodyText"/>
      </w:pPr>
      <w:r w:rsidRPr="00022D33">
        <w:t>Motor vehicles</w:t>
      </w:r>
      <w:r w:rsidRPr="00022D33">
        <w:tab/>
      </w:r>
      <w:r w:rsidRPr="00022D33">
        <w:tab/>
        <w:t>6 months to 5 years</w:t>
      </w:r>
    </w:p>
    <w:p w:rsidR="00617CB0" w:rsidRPr="00022D33" w:rsidRDefault="00617CB0" w:rsidP="000D7011">
      <w:pPr>
        <w:pStyle w:val="Tablenotetext"/>
        <w:numPr>
          <w:ilvl w:val="0"/>
          <w:numId w:val="30"/>
        </w:numPr>
      </w:pPr>
      <w:r w:rsidRPr="00022D33">
        <w:t>Software that is integral to the operation of related hardware.</w:t>
      </w:r>
    </w:p>
    <w:p w:rsidR="00617CB0" w:rsidRPr="00022D33" w:rsidRDefault="00617CB0" w:rsidP="00617CB0">
      <w:pPr>
        <w:pStyle w:val="BodyText"/>
      </w:pPr>
      <w:r w:rsidRPr="00022D33">
        <w:t>Land is not depreciated.</w:t>
      </w:r>
    </w:p>
    <w:p w:rsidR="00617CB0" w:rsidRPr="00022D33" w:rsidRDefault="00617CB0" w:rsidP="00617CB0">
      <w:pPr>
        <w:pStyle w:val="Heading4"/>
      </w:pPr>
      <w:r w:rsidRPr="00022D33">
        <w:t>(h) Intangible assets</w:t>
      </w:r>
    </w:p>
    <w:p w:rsidR="00617CB0" w:rsidRPr="00022D33" w:rsidRDefault="00617CB0" w:rsidP="00617CB0">
      <w:pPr>
        <w:pStyle w:val="Heading5"/>
      </w:pPr>
      <w:r w:rsidRPr="00022D33">
        <w:t>Capitalisation/expensing of assets</w:t>
      </w:r>
    </w:p>
    <w:p w:rsidR="00617CB0" w:rsidRPr="00022D33" w:rsidRDefault="00617CB0" w:rsidP="00617CB0">
      <w:pPr>
        <w:pStyle w:val="BodyText"/>
      </w:pPr>
      <w:r w:rsidRPr="00022D33">
        <w:t>Acquisitions of intangible assets costing $5,000 or more and internally generated intangible assets costing $50,000 or more are capitalised. The cost of utilising the assets is expensed (amortised) over their useful lives. Costs incurred below these thresholds are immediately expensed directly to the Statement of Comprehensive Income.</w:t>
      </w:r>
    </w:p>
    <w:p w:rsidR="00617CB0" w:rsidRPr="00022D33" w:rsidRDefault="00617CB0" w:rsidP="00617CB0">
      <w:pPr>
        <w:pStyle w:val="BodyText"/>
      </w:pPr>
      <w:r w:rsidRPr="00022D33">
        <w:t>Intangible assets are initially recognised at cost. For assets acquired at no cost or for nominal cost, the cost is their fair value at the date of acquisition.</w:t>
      </w:r>
    </w:p>
    <w:p w:rsidR="00617CB0" w:rsidRPr="00022D33" w:rsidRDefault="00617CB0" w:rsidP="00617CB0">
      <w:pPr>
        <w:pStyle w:val="BodyText"/>
      </w:pPr>
      <w:r w:rsidRPr="00022D33">
        <w:t>The cost model is applied for subsequent measurement requiring the asset to be carried at cost less any accumulated amortisation and accumulated impairment losses.</w:t>
      </w:r>
    </w:p>
    <w:p w:rsidR="00617CB0" w:rsidRPr="00022D33" w:rsidRDefault="00617CB0" w:rsidP="00617CB0">
      <w:pPr>
        <w:pStyle w:val="BodyText"/>
      </w:pPr>
      <w:r w:rsidRPr="00022D33">
        <w:t xml:space="preserve">Amortisation for intangible assets with finite useful lives is calculated for the period of the expected benefit (estimated useful life which is reviewed annually) on the straight-line basis. All intangible assets controlled by the Department have a finite </w:t>
      </w:r>
      <w:r w:rsidRPr="00022D33">
        <w:lastRenderedPageBreak/>
        <w:t>useful life and zero residual value.</w:t>
      </w:r>
    </w:p>
    <w:p w:rsidR="00617CB0" w:rsidRPr="00022D33" w:rsidRDefault="00617CB0" w:rsidP="00617CB0">
      <w:pPr>
        <w:pStyle w:val="BodyText"/>
      </w:pPr>
      <w:r w:rsidRPr="00022D33">
        <w:t>The expected useful lives for each class of intangible asset are:</w:t>
      </w:r>
    </w:p>
    <w:p w:rsidR="00617CB0" w:rsidRPr="00022D33" w:rsidRDefault="00617CB0" w:rsidP="00617CB0">
      <w:pPr>
        <w:pStyle w:val="BodyText"/>
      </w:pPr>
      <w:r w:rsidRPr="00022D33">
        <w:t>Licences</w:t>
      </w:r>
      <w:r w:rsidRPr="00022D33">
        <w:tab/>
      </w:r>
      <w:r w:rsidRPr="00022D33">
        <w:tab/>
      </w:r>
      <w:r w:rsidRPr="00022D33">
        <w:tab/>
        <w:t>up to 10 years</w:t>
      </w:r>
    </w:p>
    <w:p w:rsidR="00617CB0" w:rsidRPr="00022D33" w:rsidRDefault="00617CB0" w:rsidP="00617CB0">
      <w:pPr>
        <w:pStyle w:val="BodyText"/>
      </w:pPr>
      <w:r w:rsidRPr="00022D33">
        <w:t xml:space="preserve">Software </w:t>
      </w:r>
      <w:r w:rsidRPr="00022D33">
        <w:rPr>
          <w:vertAlign w:val="superscript"/>
        </w:rPr>
        <w:t>(a)</w:t>
      </w:r>
      <w:r w:rsidRPr="00022D33">
        <w:tab/>
      </w:r>
      <w:r w:rsidRPr="00022D33">
        <w:tab/>
      </w:r>
      <w:r w:rsidRPr="00022D33">
        <w:tab/>
        <w:t>3 to 13 years</w:t>
      </w:r>
    </w:p>
    <w:p w:rsidR="00617CB0" w:rsidRPr="00022D33" w:rsidRDefault="00617CB0" w:rsidP="000D7011">
      <w:pPr>
        <w:pStyle w:val="Tablenotetext"/>
        <w:numPr>
          <w:ilvl w:val="0"/>
          <w:numId w:val="19"/>
        </w:numPr>
      </w:pPr>
      <w:r w:rsidRPr="00022D33">
        <w:t>Software that is not integral to the operation of any related hardware.</w:t>
      </w:r>
    </w:p>
    <w:p w:rsidR="00617CB0" w:rsidRPr="00022D33" w:rsidRDefault="00617CB0" w:rsidP="00617CB0">
      <w:pPr>
        <w:pStyle w:val="Heading5"/>
      </w:pPr>
      <w:r w:rsidRPr="00022D33">
        <w:t>Licences</w:t>
      </w:r>
    </w:p>
    <w:p w:rsidR="00617CB0" w:rsidRPr="00022D33" w:rsidRDefault="00617CB0" w:rsidP="00617CB0">
      <w:pPr>
        <w:pStyle w:val="BodyText"/>
      </w:pPr>
      <w:r w:rsidRPr="00022D33">
        <w:t>Licences have a finite useful life and are carried at cost less accumulated amortisation and accumulated impairment losses.</w:t>
      </w:r>
    </w:p>
    <w:p w:rsidR="00617CB0" w:rsidRPr="00022D33" w:rsidRDefault="00617CB0" w:rsidP="00617CB0">
      <w:pPr>
        <w:pStyle w:val="Heading5"/>
      </w:pPr>
      <w:r w:rsidRPr="00022D33">
        <w:t>Computer software</w:t>
      </w:r>
    </w:p>
    <w:p w:rsidR="00617CB0" w:rsidRPr="00022D33" w:rsidRDefault="00617CB0" w:rsidP="00617CB0">
      <w:pPr>
        <w:pStyle w:val="BodyText"/>
      </w:pPr>
      <w:r w:rsidRPr="00022D33">
        <w:t>Software that is an integral part of the related hardware is recognised as property, plant and equipment. Software that is not an integral part of the related hardware is recognised as an intangible asset. Software costing less than $5,000 is expensed in the year of acquisition.</w:t>
      </w:r>
    </w:p>
    <w:p w:rsidR="00617CB0" w:rsidRPr="00022D33" w:rsidRDefault="00617CB0" w:rsidP="00617CB0">
      <w:pPr>
        <w:pStyle w:val="Heading4"/>
      </w:pPr>
      <w:r w:rsidRPr="00022D33">
        <w:t>(i) Impairment of assets</w:t>
      </w:r>
    </w:p>
    <w:p w:rsidR="00617CB0" w:rsidRPr="00022D33" w:rsidRDefault="00617CB0" w:rsidP="00617CB0">
      <w:pPr>
        <w:pStyle w:val="BodyText"/>
      </w:pPr>
      <w:r w:rsidRPr="00022D33">
        <w:t>Property, plant and equipment, and intangible assets are tested for any indication of impairment at the end of each reporting period. Where there is an indication of impairment, the recoverable amount is estimated. Where the recoverable amount is less than the carrying amount, the asset is considered impaired and is written down to the recoverable amount and an impairment loss is recognised. Where an asset measured at cost is written down to recoverable amount, an impairment loss is recognised in profit or loss. Where a previously revalued asset is written down to recoverable amount, the loss is recognised as a revaluation decrement in other comprehensive income. As the Department is a not-for-profit entity, unless a specialised asset has been identified as a surplus asset, the recoverable amount is the higher of an asset’s fair value less costs to sell and depreciated replacement cost.</w:t>
      </w:r>
    </w:p>
    <w:p w:rsidR="00617CB0" w:rsidRPr="00022D33" w:rsidRDefault="00617CB0" w:rsidP="00617CB0">
      <w:pPr>
        <w:pStyle w:val="BodyText"/>
      </w:pPr>
      <w:r w:rsidRPr="00022D33">
        <w:t>The risk of impairment is generally limited to circumstances where an asset’s depreciation is materially understated, where the replacement cost is falling or where there is a significant change in useful life. Each relevant class of assets is reviewed annually to verify that the accumulated depreciation/amortisation reflects the level of consumption or expiration of the assets’ future economic benefits and to evaluate any impairment risk from falling replacement costs.</w:t>
      </w:r>
    </w:p>
    <w:p w:rsidR="00617CB0" w:rsidRPr="00022D33" w:rsidRDefault="00617CB0" w:rsidP="00617CB0">
      <w:pPr>
        <w:pStyle w:val="BodyText"/>
      </w:pPr>
      <w:r w:rsidRPr="00022D33">
        <w:t>Intangible assets with an indefinite useful life and intangible assets not yet available for use are tested for impairment at the end of each reporting period irrespective of whether there is any indication of impairment.</w:t>
      </w:r>
    </w:p>
    <w:p w:rsidR="00617CB0" w:rsidRPr="00022D33" w:rsidRDefault="00617CB0" w:rsidP="00617CB0">
      <w:pPr>
        <w:pStyle w:val="BodyText"/>
      </w:pPr>
      <w:r w:rsidRPr="00022D33">
        <w:t>The recoverable amount of assets identified as surplus assets is the higher of fair value less costs to sell and the present value of future cash flows expected to be derived from the asset. Surplus assets carried at fair value have no risk of material impairment where fair value is determined by reference to market-based evidence. Where fair value is determined by reference to depreciated replacement cost, surplus assets are at risk of impairment and the recoverable amount is measured. Surplus assets at cost are tested for indications of impairment at the end of each reporting period.</w:t>
      </w:r>
    </w:p>
    <w:p w:rsidR="00617CB0" w:rsidRPr="00022D33" w:rsidRDefault="00617CB0" w:rsidP="00617CB0">
      <w:pPr>
        <w:pStyle w:val="BodyText"/>
      </w:pPr>
      <w:r w:rsidRPr="00022D33">
        <w:lastRenderedPageBreak/>
        <w:t>Refer to Note 28 Impairment of assets for outcome of impairment review.</w:t>
      </w:r>
    </w:p>
    <w:p w:rsidR="00617CB0" w:rsidRPr="00022D33" w:rsidRDefault="00617CB0" w:rsidP="00617CB0">
      <w:pPr>
        <w:pStyle w:val="Heading4"/>
      </w:pPr>
      <w:r w:rsidRPr="00022D33">
        <w:t>(j) Non</w:t>
      </w:r>
      <w:r w:rsidRPr="00022D33">
        <w:rPr>
          <w:rFonts w:ascii="MS Gothic" w:eastAsia="MS Gothic" w:hAnsi="MS Gothic" w:cs="MS Gothic" w:hint="eastAsia"/>
        </w:rPr>
        <w:t>‑</w:t>
      </w:r>
      <w:r w:rsidRPr="00022D33">
        <w:t>current assets (or disposal groups) classified as held for sale</w:t>
      </w:r>
    </w:p>
    <w:p w:rsidR="00617CB0" w:rsidRPr="00022D33" w:rsidRDefault="00617CB0" w:rsidP="00617CB0">
      <w:pPr>
        <w:pStyle w:val="BodyText"/>
      </w:pPr>
      <w:r w:rsidRPr="00022D33">
        <w:t>The Department does not have non-current assets held for sale.</w:t>
      </w:r>
    </w:p>
    <w:p w:rsidR="00617CB0" w:rsidRPr="00022D33" w:rsidRDefault="00617CB0" w:rsidP="00617CB0">
      <w:pPr>
        <w:pStyle w:val="Heading4"/>
      </w:pPr>
      <w:r w:rsidRPr="00022D33">
        <w:t>(k) Leases</w:t>
      </w:r>
    </w:p>
    <w:p w:rsidR="00617CB0" w:rsidRPr="00022D33" w:rsidRDefault="00617CB0" w:rsidP="00617CB0">
      <w:pPr>
        <w:pStyle w:val="BodyText"/>
      </w:pPr>
      <w:r w:rsidRPr="00022D33">
        <w:t>Finance lease rights and obligations are initially recognised, at the commencement of the lease term, as assets and liabilities equal in amount to the fair value of the leased item or, if lower, the present value of the minimum lease payments, determined at the inception of the lease. The assets are disclosed as plant, equipment and vehicles under lease, and are depreciated over the period during which the Department is expected to benefit from their use. Minimum lease payments are apportioned between the finance charge and the reduction of the outstanding lease liability, according to the interest rate implicit in the lease.</w:t>
      </w:r>
    </w:p>
    <w:p w:rsidR="00617CB0" w:rsidRPr="00022D33" w:rsidRDefault="00617CB0" w:rsidP="00617CB0">
      <w:pPr>
        <w:pStyle w:val="BodyText"/>
      </w:pPr>
      <w:r w:rsidRPr="00022D33">
        <w:t>The Department has entered into an operating lease arrangement for the rent of the office building where the lessor effectively retains the entire risks and benefits incidental to ownership of the items held under the operating lease.</w:t>
      </w:r>
    </w:p>
    <w:p w:rsidR="00617CB0" w:rsidRPr="00022D33" w:rsidRDefault="00617CB0" w:rsidP="00617CB0">
      <w:pPr>
        <w:pStyle w:val="BodyText"/>
      </w:pPr>
      <w:r w:rsidRPr="00022D33">
        <w:t>Lease income from operating leases where the Department is a lessor is recognised as income on a straight-line basis over the lease term.</w:t>
      </w:r>
    </w:p>
    <w:p w:rsidR="00617CB0" w:rsidRPr="00022D33" w:rsidRDefault="00617CB0" w:rsidP="00617CB0">
      <w:pPr>
        <w:pStyle w:val="BodyText"/>
      </w:pPr>
      <w:r w:rsidRPr="00022D33">
        <w:t>Operating leases are expensed on a straight line basis over the lease term as this represents the pattern of benefits derived from the leased properties.</w:t>
      </w:r>
    </w:p>
    <w:p w:rsidR="00617CB0" w:rsidRPr="00022D33" w:rsidRDefault="00617CB0" w:rsidP="00617CB0">
      <w:pPr>
        <w:pStyle w:val="Heading4"/>
      </w:pPr>
      <w:r w:rsidRPr="00022D33">
        <w:t>(l) Financial instruments</w:t>
      </w:r>
    </w:p>
    <w:p w:rsidR="00617CB0" w:rsidRPr="00022D33" w:rsidRDefault="00617CB0" w:rsidP="00617CB0">
      <w:pPr>
        <w:pStyle w:val="BodyText"/>
      </w:pPr>
      <w:r w:rsidRPr="00022D33">
        <w:t>In addition to cash, the Department has two categories of financial instruments:</w:t>
      </w:r>
    </w:p>
    <w:p w:rsidR="00617CB0" w:rsidRPr="00022D33" w:rsidRDefault="00617CB0" w:rsidP="00617CB0">
      <w:pPr>
        <w:pStyle w:val="BodyText"/>
        <w:numPr>
          <w:ilvl w:val="0"/>
          <w:numId w:val="7"/>
        </w:numPr>
        <w:ind w:left="284" w:hanging="284"/>
      </w:pPr>
      <w:r w:rsidRPr="00022D33">
        <w:t>Receivables</w:t>
      </w:r>
    </w:p>
    <w:p w:rsidR="00617CB0" w:rsidRPr="00022D33" w:rsidRDefault="00617CB0" w:rsidP="00617CB0">
      <w:pPr>
        <w:pStyle w:val="BodyText"/>
        <w:numPr>
          <w:ilvl w:val="0"/>
          <w:numId w:val="7"/>
        </w:numPr>
        <w:ind w:left="284" w:hanging="284"/>
      </w:pPr>
      <w:r w:rsidRPr="00022D33">
        <w:t>Financial liabilities measured at amortised cost.</w:t>
      </w:r>
    </w:p>
    <w:p w:rsidR="00617CB0" w:rsidRPr="00022D33" w:rsidRDefault="00617CB0" w:rsidP="00617CB0">
      <w:pPr>
        <w:pStyle w:val="BodyText"/>
      </w:pPr>
      <w:r w:rsidRPr="00022D33">
        <w:t>Financial instruments have been disaggregated into the following classes:</w:t>
      </w:r>
    </w:p>
    <w:p w:rsidR="00617CB0" w:rsidRPr="00022D33" w:rsidRDefault="00617CB0" w:rsidP="00617CB0">
      <w:pPr>
        <w:pStyle w:val="BodyText"/>
        <w:numPr>
          <w:ilvl w:val="0"/>
          <w:numId w:val="7"/>
        </w:numPr>
        <w:ind w:left="284" w:hanging="284"/>
      </w:pPr>
      <w:r w:rsidRPr="00022D33">
        <w:t>Financial assets</w:t>
      </w:r>
    </w:p>
    <w:p w:rsidR="00617CB0" w:rsidRPr="00022D33" w:rsidRDefault="00617CB0" w:rsidP="006E3423">
      <w:pPr>
        <w:pStyle w:val="BodyText"/>
        <w:numPr>
          <w:ilvl w:val="1"/>
          <w:numId w:val="21"/>
        </w:numPr>
        <w:ind w:left="641" w:hanging="357"/>
      </w:pPr>
      <w:r w:rsidRPr="00022D33">
        <w:t>Cash and cash equivalents</w:t>
      </w:r>
    </w:p>
    <w:p w:rsidR="00617CB0" w:rsidRPr="00022D33" w:rsidRDefault="00617CB0" w:rsidP="006E3423">
      <w:pPr>
        <w:pStyle w:val="BodyText"/>
        <w:numPr>
          <w:ilvl w:val="1"/>
          <w:numId w:val="21"/>
        </w:numPr>
        <w:ind w:left="641" w:hanging="357"/>
      </w:pPr>
      <w:r w:rsidRPr="00022D33">
        <w:t>Restricted cash and cash equivalents</w:t>
      </w:r>
    </w:p>
    <w:p w:rsidR="00617CB0" w:rsidRPr="00022D33" w:rsidRDefault="00617CB0" w:rsidP="006E3423">
      <w:pPr>
        <w:pStyle w:val="BodyText"/>
        <w:numPr>
          <w:ilvl w:val="1"/>
          <w:numId w:val="21"/>
        </w:numPr>
        <w:ind w:left="641" w:hanging="357"/>
      </w:pPr>
      <w:r w:rsidRPr="00022D33">
        <w:t xml:space="preserve">Receivables </w:t>
      </w:r>
    </w:p>
    <w:p w:rsidR="00617CB0" w:rsidRPr="00022D33" w:rsidRDefault="00617CB0" w:rsidP="006E3423">
      <w:pPr>
        <w:pStyle w:val="BodyText"/>
        <w:numPr>
          <w:ilvl w:val="1"/>
          <w:numId w:val="21"/>
        </w:numPr>
        <w:ind w:left="641" w:hanging="357"/>
      </w:pPr>
      <w:r w:rsidRPr="00022D33">
        <w:t>Finance lease receivables</w:t>
      </w:r>
    </w:p>
    <w:p w:rsidR="00617CB0" w:rsidRPr="00022D33" w:rsidRDefault="00617CB0" w:rsidP="006E3423">
      <w:pPr>
        <w:pStyle w:val="BodyText"/>
        <w:numPr>
          <w:ilvl w:val="1"/>
          <w:numId w:val="21"/>
        </w:numPr>
        <w:ind w:left="641" w:hanging="357"/>
      </w:pPr>
      <w:r w:rsidRPr="00022D33">
        <w:t xml:space="preserve">Amounts receivable for services </w:t>
      </w:r>
    </w:p>
    <w:p w:rsidR="00617CB0" w:rsidRPr="00022D33" w:rsidRDefault="00617CB0" w:rsidP="00617CB0">
      <w:pPr>
        <w:pStyle w:val="BodyText"/>
        <w:numPr>
          <w:ilvl w:val="0"/>
          <w:numId w:val="7"/>
        </w:numPr>
        <w:ind w:left="284" w:hanging="284"/>
      </w:pPr>
      <w:r w:rsidRPr="00022D33">
        <w:t>Financial liabilities</w:t>
      </w:r>
    </w:p>
    <w:p w:rsidR="00617CB0" w:rsidRPr="00022D33" w:rsidRDefault="00617CB0" w:rsidP="006E3423">
      <w:pPr>
        <w:pStyle w:val="BodyText"/>
        <w:numPr>
          <w:ilvl w:val="1"/>
          <w:numId w:val="21"/>
        </w:numPr>
        <w:ind w:left="641" w:hanging="357"/>
      </w:pPr>
      <w:r w:rsidRPr="00022D33">
        <w:t>Payables</w:t>
      </w:r>
    </w:p>
    <w:p w:rsidR="00617CB0" w:rsidRPr="00022D33" w:rsidRDefault="00617CB0" w:rsidP="006E3423">
      <w:pPr>
        <w:pStyle w:val="BodyText"/>
        <w:numPr>
          <w:ilvl w:val="1"/>
          <w:numId w:val="21"/>
        </w:numPr>
        <w:ind w:left="641" w:hanging="357"/>
      </w:pPr>
      <w:r w:rsidRPr="00022D33">
        <w:t>Western Australian Treasury Corporation borrowings</w:t>
      </w:r>
    </w:p>
    <w:p w:rsidR="00617CB0" w:rsidRPr="00022D33" w:rsidRDefault="00617CB0" w:rsidP="006E3423">
      <w:pPr>
        <w:pStyle w:val="BodyText"/>
        <w:numPr>
          <w:ilvl w:val="1"/>
          <w:numId w:val="21"/>
        </w:numPr>
        <w:ind w:left="641" w:hanging="357"/>
      </w:pPr>
      <w:r w:rsidRPr="00022D33">
        <w:t>Heritage maintenance borrowings</w:t>
      </w:r>
    </w:p>
    <w:p w:rsidR="00617CB0" w:rsidRPr="00022D33" w:rsidRDefault="00617CB0" w:rsidP="006E3423">
      <w:pPr>
        <w:pStyle w:val="BodyText"/>
        <w:numPr>
          <w:ilvl w:val="1"/>
          <w:numId w:val="21"/>
        </w:numPr>
        <w:ind w:left="641" w:hanging="357"/>
      </w:pPr>
      <w:r w:rsidRPr="00022D33">
        <w:t>Amounts due to the Treasurer.</w:t>
      </w:r>
    </w:p>
    <w:p w:rsidR="00617CB0" w:rsidRPr="00022D33" w:rsidRDefault="00617CB0" w:rsidP="00617CB0">
      <w:pPr>
        <w:pStyle w:val="BodyText"/>
      </w:pPr>
      <w:r w:rsidRPr="00022D33">
        <w:t>Initial recognition and measurement of financial instruments is at fair value which normally equates to the transaction cost or the face value. Subsequent measurement is at amortised cost using the effective interest method.</w:t>
      </w:r>
    </w:p>
    <w:p w:rsidR="00617CB0" w:rsidRPr="00022D33" w:rsidRDefault="00617CB0" w:rsidP="00617CB0">
      <w:pPr>
        <w:pStyle w:val="BodyText"/>
      </w:pPr>
      <w:r w:rsidRPr="00022D33">
        <w:t>The fair value of short-term receivables and payables is the transaction cost or the face value because there is no interest rate applicable and subsequent measurement is not required as the effect of discounting is not material.</w:t>
      </w:r>
    </w:p>
    <w:p w:rsidR="00617CB0" w:rsidRPr="00022D33" w:rsidRDefault="00617CB0" w:rsidP="00617CB0">
      <w:pPr>
        <w:pStyle w:val="Heading4"/>
      </w:pPr>
      <w:r w:rsidRPr="00022D33">
        <w:t>(m) Cash and cash equivalents</w:t>
      </w:r>
    </w:p>
    <w:p w:rsidR="00617CB0" w:rsidRPr="00022D33" w:rsidRDefault="00617CB0" w:rsidP="00617CB0">
      <w:pPr>
        <w:pStyle w:val="BodyText"/>
      </w:pPr>
      <w:r w:rsidRPr="00022D33">
        <w:t>For the purpose of the Statement of Cash Flows, cash and cash equivalent (and restricted cash and cash equivalent) assets comprise cash on hand and short-term deposits with original maturities of three months or less that are readily convertible to a known amount of cash and which are subject to insignificant risk of changes in value.</w:t>
      </w:r>
    </w:p>
    <w:p w:rsidR="00617CB0" w:rsidRPr="00022D33" w:rsidRDefault="00617CB0" w:rsidP="00617CB0">
      <w:pPr>
        <w:pStyle w:val="Heading4"/>
      </w:pPr>
      <w:r w:rsidRPr="00022D33">
        <w:t>(n) Accrued salaries</w:t>
      </w:r>
    </w:p>
    <w:p w:rsidR="00617CB0" w:rsidRPr="00022D33" w:rsidRDefault="00617CB0" w:rsidP="00617CB0">
      <w:pPr>
        <w:pStyle w:val="BodyText"/>
      </w:pPr>
      <w:r w:rsidRPr="00022D33">
        <w:t>Accrued salaries (refer to Note 29 Payables) represent the amount due to staff but unpaid at the end of the financial year. Accrued salaries are settled within a fortnight of the financial year end. The Department considers the carrying amount of accrued salaries to be equivalent to its fair value.</w:t>
      </w:r>
    </w:p>
    <w:p w:rsidR="00617CB0" w:rsidRPr="00022D33" w:rsidRDefault="00617CB0" w:rsidP="00617CB0">
      <w:pPr>
        <w:pStyle w:val="BodyText"/>
      </w:pPr>
      <w:r w:rsidRPr="00022D33">
        <w:t>The accrued salaries suspense account (refer to Note 19 Restricted cash and cash equivalents) consists of amounts paid annually into a suspense account over a period of 10 financial years to largely meet the additional cash outflow in each eleventh year when 27 pay days occur instead of the normal 26. No interest is received on this account.</w:t>
      </w:r>
    </w:p>
    <w:p w:rsidR="00617CB0" w:rsidRPr="00022D33" w:rsidRDefault="00617CB0" w:rsidP="00617CB0">
      <w:pPr>
        <w:pStyle w:val="Heading4"/>
      </w:pPr>
      <w:r w:rsidRPr="00022D33">
        <w:t>(o) Amounts receivable for services (holding account)</w:t>
      </w:r>
    </w:p>
    <w:p w:rsidR="00617CB0" w:rsidRPr="00022D33" w:rsidRDefault="00617CB0" w:rsidP="00617CB0">
      <w:pPr>
        <w:pStyle w:val="BodyText"/>
      </w:pPr>
      <w:r w:rsidRPr="00022D33">
        <w:t>The Department receives funding on an accrual basis. The appropriations are paid partly in cash and partly as an asset (holding account receivable). The accrued amount receivable is accessible on the emergence of the cash funding requirement to cover leave entitlements and asset replacement.</w:t>
      </w:r>
    </w:p>
    <w:p w:rsidR="00617CB0" w:rsidRPr="00022D33" w:rsidRDefault="00617CB0" w:rsidP="00617CB0">
      <w:pPr>
        <w:pStyle w:val="Heading4"/>
      </w:pPr>
      <w:r w:rsidRPr="00022D33">
        <w:t>(p) Inventories</w:t>
      </w:r>
    </w:p>
    <w:p w:rsidR="00617CB0" w:rsidRPr="00022D33" w:rsidRDefault="00617CB0" w:rsidP="00617CB0">
      <w:pPr>
        <w:pStyle w:val="BodyText"/>
      </w:pPr>
      <w:r w:rsidRPr="00022D33">
        <w:t>Inventories are measured at the lower of cost and net realisable value. Costs are assigned by the method most appropriate for each particular class of inventory, with the majority being measured on an average cost method.</w:t>
      </w:r>
    </w:p>
    <w:p w:rsidR="00617CB0" w:rsidRPr="00022D33" w:rsidRDefault="00617CB0" w:rsidP="00617CB0">
      <w:pPr>
        <w:pStyle w:val="BodyText"/>
      </w:pPr>
      <w:r w:rsidRPr="00022D33">
        <w:t>Inventories not held for resale are measured at cost unless they are no longer required, in which case they are measured at net realisable value.</w:t>
      </w:r>
    </w:p>
    <w:p w:rsidR="00617CB0" w:rsidRPr="00022D33" w:rsidRDefault="00617CB0" w:rsidP="00617CB0">
      <w:pPr>
        <w:pStyle w:val="Heading4"/>
      </w:pPr>
      <w:r w:rsidRPr="00022D33">
        <w:t>(q) Receivables</w:t>
      </w:r>
    </w:p>
    <w:p w:rsidR="00617CB0" w:rsidRPr="00022D33" w:rsidRDefault="00617CB0" w:rsidP="00617CB0">
      <w:pPr>
        <w:pStyle w:val="BodyText"/>
      </w:pPr>
      <w:r w:rsidRPr="00022D33">
        <w:t>Receivables are recognised at original invoice amount less an allowance for any uncollectible amounts (that is, impairment). The collectability of receivables is reviewed on an ongoing basis and any receivables identified as uncollectible are written-off against the allowance account. The allowance for uncollectible amounts (doubtful debts) is raised when there is objective evidence that the Department will not be able to collect the debts. The carrying amount is equivalent to fair value as it is due for settlement within 30 days.</w:t>
      </w:r>
    </w:p>
    <w:p w:rsidR="00617CB0" w:rsidRPr="00022D33" w:rsidRDefault="00617CB0" w:rsidP="00617CB0">
      <w:pPr>
        <w:pStyle w:val="Heading4"/>
      </w:pPr>
      <w:r w:rsidRPr="00022D33">
        <w:t>(r) Payables</w:t>
      </w:r>
    </w:p>
    <w:p w:rsidR="00617CB0" w:rsidRPr="00022D33" w:rsidRDefault="00617CB0" w:rsidP="00617CB0">
      <w:pPr>
        <w:pStyle w:val="Heading4"/>
        <w:rPr>
          <w:b w:val="0"/>
          <w:bCs w:val="0"/>
          <w:sz w:val="24"/>
          <w:szCs w:val="24"/>
          <w:lang w:eastAsia="en-AU"/>
        </w:rPr>
      </w:pPr>
      <w:r w:rsidRPr="00022D33">
        <w:rPr>
          <w:b w:val="0"/>
          <w:bCs w:val="0"/>
          <w:sz w:val="24"/>
          <w:szCs w:val="24"/>
          <w:lang w:eastAsia="en-AU"/>
        </w:rPr>
        <w:t>Payables are recognised at the amounts payable when the Department becomes obliged to make future payments as a result of a purchase of assets or services. The carrying amount is equivalent to fair value, as settlement is generally within 30 days.</w:t>
      </w:r>
    </w:p>
    <w:p w:rsidR="00617CB0" w:rsidRPr="00022D33" w:rsidRDefault="00617CB0" w:rsidP="00617CB0">
      <w:pPr>
        <w:pStyle w:val="Heading4"/>
      </w:pPr>
      <w:r w:rsidRPr="00022D33">
        <w:t>(s) Borrowings</w:t>
      </w:r>
    </w:p>
    <w:p w:rsidR="00617CB0" w:rsidRPr="00022D33" w:rsidRDefault="00617CB0" w:rsidP="00617CB0">
      <w:pPr>
        <w:pStyle w:val="BodyText"/>
      </w:pPr>
      <w:r w:rsidRPr="00022D33">
        <w:t>All loans payable are initially recognised at fair value, being the net proceeds received. Subsequent measurement is at amortised cost using the effective interest rate method.</w:t>
      </w:r>
    </w:p>
    <w:p w:rsidR="00617CB0" w:rsidRPr="00022D33" w:rsidRDefault="00617CB0" w:rsidP="00617CB0">
      <w:pPr>
        <w:pStyle w:val="Heading4"/>
      </w:pPr>
      <w:r w:rsidRPr="00022D33">
        <w:t>(t) Amounts due to the Treasurer</w:t>
      </w:r>
    </w:p>
    <w:p w:rsidR="00617CB0" w:rsidRPr="00022D33" w:rsidRDefault="00617CB0" w:rsidP="00617CB0">
      <w:pPr>
        <w:pStyle w:val="BodyText"/>
      </w:pPr>
      <w:r w:rsidRPr="00022D33">
        <w:t>The amount due to the Treasurer is in respect of a Treasurer’s Advance. Initial recognition and measurement, and subsequent measurement are at the amount repayable. Although there is no interest charged, the amount repayable is equivalent to fair value as the period of the borrowing is for less than 12 months with the effect of discounting not being material.</w:t>
      </w:r>
    </w:p>
    <w:p w:rsidR="00617CB0" w:rsidRPr="00022D33" w:rsidRDefault="00617CB0" w:rsidP="00617CB0">
      <w:pPr>
        <w:pStyle w:val="Heading4"/>
      </w:pPr>
      <w:r w:rsidRPr="00022D33">
        <w:t>(u) Provisions</w:t>
      </w:r>
    </w:p>
    <w:p w:rsidR="00617CB0" w:rsidRPr="00022D33" w:rsidRDefault="00617CB0" w:rsidP="00617CB0">
      <w:pPr>
        <w:pStyle w:val="BodyText"/>
      </w:pPr>
      <w:r w:rsidRPr="00022D33">
        <w:t>Provisions are liabilities of uncertain timing or amount and are recognised where there is a present legal or constructive obligation as a result of a past event and when the outflow of resources embodying economic benefits is probable and a reliable estimate can be made of the amount of the obligation. Provisions are reviewed at the end of each reporting period.</w:t>
      </w:r>
    </w:p>
    <w:p w:rsidR="00617CB0" w:rsidRPr="00022D33" w:rsidRDefault="00617CB0" w:rsidP="00617CB0">
      <w:pPr>
        <w:pStyle w:val="Heading5"/>
        <w:rPr>
          <w:rFonts w:cs="Arial"/>
        </w:rPr>
      </w:pPr>
      <w:r w:rsidRPr="00022D33">
        <w:rPr>
          <w:rFonts w:cs="Arial"/>
        </w:rPr>
        <w:t xml:space="preserve">Provisions </w:t>
      </w:r>
      <w:r w:rsidRPr="00022D33">
        <w:rPr>
          <w:rFonts w:ascii="MS Gothic" w:eastAsia="MS Gothic" w:hAnsi="MS Gothic" w:cs="MS Gothic" w:hint="eastAsia"/>
        </w:rPr>
        <w:t>‑</w:t>
      </w:r>
      <w:r w:rsidRPr="00022D33">
        <w:rPr>
          <w:rFonts w:cs="Arial"/>
        </w:rPr>
        <w:t xml:space="preserve"> employee benefits</w:t>
      </w:r>
    </w:p>
    <w:p w:rsidR="00617CB0" w:rsidRPr="00022D33" w:rsidRDefault="00617CB0" w:rsidP="00617CB0">
      <w:pPr>
        <w:pStyle w:val="BodyText"/>
      </w:pPr>
      <w:r w:rsidRPr="00022D33">
        <w:t>All annual leave and long service leave provisions are in respect of employees’ services up to the end of the reporting period.</w:t>
      </w:r>
    </w:p>
    <w:p w:rsidR="00617CB0" w:rsidRPr="00022D33" w:rsidRDefault="00617CB0" w:rsidP="00617CB0">
      <w:pPr>
        <w:pStyle w:val="Heading6"/>
      </w:pPr>
      <w:r w:rsidRPr="00022D33">
        <w:t>Annual leave</w:t>
      </w:r>
    </w:p>
    <w:p w:rsidR="00617CB0" w:rsidRPr="00022D33" w:rsidRDefault="00617CB0" w:rsidP="00617CB0">
      <w:pPr>
        <w:pStyle w:val="BodyText"/>
      </w:pPr>
      <w:r w:rsidRPr="00022D33">
        <w:t>Annual leave is not expected to be settled wholly within 12 months after the end of the reporting period and is therefore considered to be ‘other long-term employee benefits’. The annual leave liability is recognised and measured at the present value of amounts expected to be paid when the liabilities are settled using the remuneration rate expected to apply at the time of settlement.</w:t>
      </w:r>
    </w:p>
    <w:p w:rsidR="00617CB0" w:rsidRPr="00022D33" w:rsidRDefault="00617CB0" w:rsidP="00617CB0">
      <w:pPr>
        <w:pStyle w:val="BodyText"/>
      </w:pPr>
      <w:r w:rsidRPr="00022D33">
        <w:t>When assessing expected future payments consideration is given to expected future wage and salary levels including non-salary components such as employer superannuation contributions, as well as the experience of employee departures and periods of service. The expected future payments are discounted using market yields at the end of the reporting period on national government bonds with terms to maturity that match, as closely as possible, the estimated future cash outflows.</w:t>
      </w:r>
    </w:p>
    <w:p w:rsidR="00617CB0" w:rsidRPr="00022D33" w:rsidRDefault="00617CB0" w:rsidP="00617CB0">
      <w:pPr>
        <w:pStyle w:val="BodyText"/>
      </w:pPr>
      <w:r w:rsidRPr="00022D33">
        <w:t>The provision for annual leave is classified as a current liability as the Department does not have an unconditional right to defer settlement of the liability for at least 12 months after the end of the reporting period.</w:t>
      </w:r>
    </w:p>
    <w:p w:rsidR="00617CB0" w:rsidRPr="00022D33" w:rsidRDefault="00617CB0" w:rsidP="00617CB0">
      <w:pPr>
        <w:pStyle w:val="Heading6"/>
      </w:pPr>
    </w:p>
    <w:p w:rsidR="00617CB0" w:rsidRPr="00022D33" w:rsidRDefault="00617CB0" w:rsidP="00617CB0">
      <w:pPr>
        <w:pStyle w:val="Heading6"/>
      </w:pPr>
      <w:r w:rsidRPr="00022D33">
        <w:t>Long service leave</w:t>
      </w:r>
    </w:p>
    <w:p w:rsidR="00617CB0" w:rsidRPr="00022D33" w:rsidRDefault="00617CB0" w:rsidP="00617CB0">
      <w:pPr>
        <w:pStyle w:val="BodyText"/>
      </w:pPr>
      <w:r w:rsidRPr="00022D33">
        <w:t>Long service leave is not expected to be settled wholly within 12 months after the end of the reporting period and is therefore recognised and measured at the present value of amounts expected to be paid when the liabilities are settled using the remuneration rate expected to apply at the time of settlement.</w:t>
      </w:r>
    </w:p>
    <w:p w:rsidR="00617CB0" w:rsidRPr="00022D33" w:rsidRDefault="00617CB0" w:rsidP="00617CB0">
      <w:pPr>
        <w:pStyle w:val="BodyText"/>
      </w:pPr>
      <w:r w:rsidRPr="00022D33">
        <w:t>When assessing expected future payments consideration is given to expected future wage and salary levels including non-salary components such as employer superannuation contributions, as well as the experience of employee departures and periods of service. The expected future payments are discounted using market yields at the end of the reporting period on national government bonds with terms to maturity that match, as closely as possible, the estimated future cash outflows.</w:t>
      </w:r>
    </w:p>
    <w:p w:rsidR="00617CB0" w:rsidRPr="00022D33" w:rsidRDefault="00617CB0" w:rsidP="00617CB0">
      <w:pPr>
        <w:pStyle w:val="BodyText"/>
      </w:pPr>
      <w:r w:rsidRPr="00022D33">
        <w:t>Unconditional long service leave provisions are classified as current liabilities as the Department does not have an unconditional right to defer settlement of the liability for at least 12 months after the end of the reporting period. Pre-conditional and conditional long service leave provisions are classified as non-current liabilities because the Department has an unconditional right to defer the settlement of the liability until the employee has completed the requisite years of service.</w:t>
      </w:r>
    </w:p>
    <w:p w:rsidR="00617CB0" w:rsidRPr="00022D33" w:rsidRDefault="00617CB0" w:rsidP="00617CB0">
      <w:pPr>
        <w:pStyle w:val="BodyText"/>
        <w:rPr>
          <w:i/>
        </w:rPr>
      </w:pPr>
      <w:r w:rsidRPr="00022D33">
        <w:rPr>
          <w:i/>
        </w:rPr>
        <w:t>Deferred leave</w:t>
      </w:r>
    </w:p>
    <w:p w:rsidR="00617CB0" w:rsidRPr="00022D33" w:rsidRDefault="00617CB0" w:rsidP="00617CB0">
      <w:pPr>
        <w:pStyle w:val="BodyText"/>
      </w:pPr>
      <w:r w:rsidRPr="00022D33">
        <w:t>The provision for deferred leave relates to Public Service employees who have entered into an agreement to self-fund an additional 12 months leave in the fifth year of the agreement. The provision recognises the value of salary set aside for employees to be used in the fifth year. This liability is measured on the same basis as annual leave. Deferred leave is reported as a current provision as employees can leave the scheme at their discretion at any time.</w:t>
      </w:r>
    </w:p>
    <w:p w:rsidR="00617CB0" w:rsidRPr="00022D33" w:rsidRDefault="00617CB0" w:rsidP="00617CB0">
      <w:pPr>
        <w:pStyle w:val="BodyText"/>
        <w:rPr>
          <w:i/>
        </w:rPr>
      </w:pPr>
      <w:r w:rsidRPr="00022D33">
        <w:rPr>
          <w:i/>
        </w:rPr>
        <w:t>Purchased leave</w:t>
      </w:r>
    </w:p>
    <w:p w:rsidR="00617CB0" w:rsidRPr="00022D33" w:rsidRDefault="00617CB0" w:rsidP="00617CB0">
      <w:pPr>
        <w:pStyle w:val="BodyText"/>
      </w:pPr>
      <w:r w:rsidRPr="00022D33">
        <w:t>The provision for purchased leave relates to Public Service employees who have entered into an agreement to self-fund up to an additional 10 weeks leave per calendar year. The provision recognises the value of salary set aside for employees and is measured at the undiscounted amounts expected to be paid when the liabilities are settled.</w:t>
      </w:r>
    </w:p>
    <w:p w:rsidR="00617CB0" w:rsidRPr="00022D33" w:rsidRDefault="00617CB0" w:rsidP="00617CB0">
      <w:pPr>
        <w:pStyle w:val="Heading6"/>
      </w:pPr>
      <w:r w:rsidRPr="00022D33">
        <w:t>Superannuation</w:t>
      </w:r>
    </w:p>
    <w:p w:rsidR="00617CB0" w:rsidRPr="00022D33" w:rsidRDefault="00617CB0" w:rsidP="00617CB0">
      <w:pPr>
        <w:pStyle w:val="BodyText"/>
      </w:pPr>
      <w:r w:rsidRPr="00022D33">
        <w:t>The Government Employees Superannuation Board (GESB) and other fund providers administer public sector superannuation arrangements in Western Australia in accordance with legislative requirements. Eligibility criteria for membership in particular schemes for public sector employees vary according to commencement and implementation dates.</w:t>
      </w:r>
    </w:p>
    <w:p w:rsidR="00617CB0" w:rsidRPr="00022D33" w:rsidRDefault="00617CB0" w:rsidP="00617CB0">
      <w:pPr>
        <w:pStyle w:val="BodyText"/>
      </w:pPr>
      <w:r w:rsidRPr="00022D33">
        <w:t>Eligible employees contribute to the Pension Scheme, a defined benefit pension scheme closed to new members since 1987, or the Gold State Superannuation Scheme (GSS), a defined benefit lump sum scheme closed to new members since 1995.</w:t>
      </w:r>
    </w:p>
    <w:p w:rsidR="00617CB0" w:rsidRPr="00022D33" w:rsidRDefault="00617CB0" w:rsidP="00617CB0">
      <w:pPr>
        <w:pStyle w:val="BodyText"/>
      </w:pPr>
      <w:r w:rsidRPr="00022D33">
        <w:t>Employees commencing employment prior to 16 April 2007 who were not members of either the Pension Scheme or the GSS became non-contributory members of the West State Superannuation Scheme (WSS). Employees commencing employment on or after 16 April 2007 became members of the GESB Super Scheme (GESBS). From 30 March 2012, existing members of the WSS or GESBS and new employees have been able to choose their preferred superannuation fund provider. The Department makes contributions to GESB or other fund providers on behalf of employees in compliance with the Commonwealth Government’s Superannuation Guarantee (Administration) Act 1992. Contributions to these accumulation schemes extinguish the Department’s liability for superannuation charges in respect of employees who are not members of the Pension Scheme or GSS.</w:t>
      </w:r>
    </w:p>
    <w:p w:rsidR="00617CB0" w:rsidRPr="00022D33" w:rsidRDefault="00617CB0" w:rsidP="00617CB0">
      <w:pPr>
        <w:pStyle w:val="BodyText"/>
      </w:pPr>
      <w:r w:rsidRPr="00022D33">
        <w:t>The GSS is a defined benefit scheme for the purposes of employees and whole-of-government reporting. However, it is a defined contribution plan for agency purposes because the concurrent contributions (defined contributions) made by the Department to the GESB extinguishes the agency’s obligations to the related superannuation liability.</w:t>
      </w:r>
    </w:p>
    <w:p w:rsidR="00617CB0" w:rsidRPr="00022D33" w:rsidRDefault="00617CB0" w:rsidP="00617CB0">
      <w:pPr>
        <w:pStyle w:val="BodyText"/>
      </w:pPr>
      <w:r w:rsidRPr="00022D33">
        <w:t>The Department has no liabilities under the Pension Scheme or the GSS. The liabilities for the unfunded Pension Scheme and the unfunded GSS transfer benefits attributable to members who transferred from the Pension Scheme, are assumed by the Treasurer. All other GSS obligations are funded by concurrent contributions made by the Department to the GESB.</w:t>
      </w:r>
    </w:p>
    <w:p w:rsidR="00617CB0" w:rsidRPr="00022D33" w:rsidRDefault="00617CB0" w:rsidP="00617CB0">
      <w:pPr>
        <w:pStyle w:val="BodyText"/>
      </w:pPr>
      <w:r w:rsidRPr="00022D33">
        <w:t>The GESB makes all benefit payments in respect of the Pension Scheme and GSS, and is recouped from the Treasurer for the employer’s share.</w:t>
      </w:r>
    </w:p>
    <w:p w:rsidR="00617CB0" w:rsidRPr="00022D33" w:rsidRDefault="00617CB0" w:rsidP="00617CB0">
      <w:pPr>
        <w:pStyle w:val="BodyText"/>
      </w:pPr>
      <w:r w:rsidRPr="00022D33">
        <w:t>See also Note 2(v) Superannuation expense.</w:t>
      </w:r>
    </w:p>
    <w:p w:rsidR="00617CB0" w:rsidRPr="00022D33" w:rsidRDefault="00617CB0" w:rsidP="00617CB0">
      <w:pPr>
        <w:pStyle w:val="Heading5"/>
      </w:pPr>
      <w:r w:rsidRPr="00022D33">
        <w:t xml:space="preserve">Provisions </w:t>
      </w:r>
      <w:r w:rsidRPr="00022D33">
        <w:rPr>
          <w:rFonts w:ascii="MS Gothic" w:eastAsia="MS Gothic" w:hAnsi="MS Gothic" w:cs="MS Gothic" w:hint="eastAsia"/>
        </w:rPr>
        <w:t>‑</w:t>
      </w:r>
      <w:r w:rsidRPr="00022D33">
        <w:t xml:space="preserve"> other</w:t>
      </w:r>
    </w:p>
    <w:p w:rsidR="00617CB0" w:rsidRPr="00022D33" w:rsidRDefault="00617CB0" w:rsidP="00617CB0">
      <w:pPr>
        <w:pStyle w:val="Heading6"/>
      </w:pPr>
      <w:r w:rsidRPr="00022D33">
        <w:t>Employment on-costs</w:t>
      </w:r>
    </w:p>
    <w:p w:rsidR="00617CB0" w:rsidRPr="00022D33" w:rsidRDefault="00617CB0" w:rsidP="00617CB0">
      <w:pPr>
        <w:pStyle w:val="BodyText"/>
      </w:pPr>
      <w:r w:rsidRPr="00022D33">
        <w:t>Employment on-costs, including workers’ compensation insurance, are not employee benefits and are recognised separately as liabilities and expenses when the employment to which they relate has occurred. Employment on-costs are included as part of ‘Other expenses’ and are not included as part of the Department’s ‘Employee benefits expense’. The related liability is included in ‘Employment on-costs provision’.</w:t>
      </w:r>
    </w:p>
    <w:p w:rsidR="00617CB0" w:rsidRPr="00022D33" w:rsidRDefault="00617CB0" w:rsidP="00617CB0">
      <w:pPr>
        <w:pStyle w:val="Heading6"/>
      </w:pPr>
      <w:r w:rsidRPr="00022D33">
        <w:t>Remediation costs</w:t>
      </w:r>
    </w:p>
    <w:p w:rsidR="00617CB0" w:rsidRPr="00022D33" w:rsidRDefault="00617CB0" w:rsidP="00617CB0">
      <w:pPr>
        <w:pStyle w:val="BodyText"/>
      </w:pPr>
      <w:r w:rsidRPr="00022D33">
        <w:t>A provision is recognised where the Department has a legal or constructive obligation to undertake remediation work. Estimates are based on the present value of expected future cash outflows.</w:t>
      </w:r>
    </w:p>
    <w:p w:rsidR="00617CB0" w:rsidRPr="00022D33" w:rsidRDefault="00617CB0" w:rsidP="00617CB0">
      <w:pPr>
        <w:pStyle w:val="Heading4"/>
      </w:pPr>
      <w:r w:rsidRPr="00022D33">
        <w:t>(v) Superannuation expense</w:t>
      </w:r>
    </w:p>
    <w:p w:rsidR="00617CB0" w:rsidRPr="00022D33" w:rsidRDefault="00617CB0" w:rsidP="00617CB0">
      <w:pPr>
        <w:pStyle w:val="BodyText"/>
        <w:rPr>
          <w:b/>
          <w:bCs/>
          <w:sz w:val="26"/>
          <w:szCs w:val="28"/>
          <w:lang w:eastAsia="en-US"/>
        </w:rPr>
      </w:pPr>
      <w:r w:rsidRPr="00022D33">
        <w:t>Superannuation expense is recognised in the profit or loss of the Statement of Comprehensive Income and comprises employer contributions paid to the GSS (concurrent contributions), the WSS, the GESBS, or other superannuation funds. The employer contribution paid to the GESB in respect of the GSS is paid back into the Consolidated Account by the GESB.</w:t>
      </w:r>
      <w:r w:rsidRPr="00022D33">
        <w:br w:type="page"/>
      </w:r>
      <w:r w:rsidRPr="00022D33">
        <w:rPr>
          <w:b/>
          <w:bCs/>
          <w:sz w:val="26"/>
          <w:szCs w:val="28"/>
          <w:lang w:eastAsia="en-US"/>
        </w:rPr>
        <w:t>(w) Assets and services received free of charge or for nominal cost</w:t>
      </w:r>
    </w:p>
    <w:p w:rsidR="00617CB0" w:rsidRPr="00022D33" w:rsidRDefault="00617CB0" w:rsidP="00617CB0">
      <w:pPr>
        <w:pStyle w:val="BodyText"/>
      </w:pPr>
      <w:r w:rsidRPr="00022D33">
        <w:t>Assets or services received free of charge or for nominal cost that the Department would otherwise purchase if not donated, are recognised as income at the fair value of the assets or services where they can be reliably measured. A corresponding expense is recognised for services received. Receipts of assets are recognised in the Statement of Financial Position.</w:t>
      </w:r>
    </w:p>
    <w:p w:rsidR="00617CB0" w:rsidRPr="00022D33" w:rsidRDefault="00617CB0" w:rsidP="00617CB0">
      <w:pPr>
        <w:pStyle w:val="BodyText"/>
      </w:pPr>
      <w:r w:rsidRPr="00022D33">
        <w:t>Assets or services received from other State Government agencies are separately disclosed under Income from State Government in the Statement of Comprehensive Income.</w:t>
      </w:r>
    </w:p>
    <w:p w:rsidR="00617CB0" w:rsidRPr="00022D33" w:rsidRDefault="00617CB0" w:rsidP="00617CB0">
      <w:pPr>
        <w:pStyle w:val="Heading4"/>
      </w:pPr>
      <w:r w:rsidRPr="00022D33">
        <w:t>(x) Construction work in progress</w:t>
      </w:r>
    </w:p>
    <w:p w:rsidR="00617CB0" w:rsidRPr="00022D33" w:rsidRDefault="00617CB0" w:rsidP="00617CB0">
      <w:pPr>
        <w:pStyle w:val="BodyText"/>
      </w:pPr>
      <w:r w:rsidRPr="00022D33">
        <w:t>Construction work in progress is stated at the aggregate of contract costs incurred to date plus recognised profits less recognised losses and progress billings. If there are contracts where progress billing exceeds the aggregate costs incurred plus profits less losses, the net amounts are presented under other payables. Contract costs include all costs directly related to specific contracts, costs that are specifically chargeable to the customer under the terms of the contract and an allocation of overhead expenses incurred in connection with the Department’s construction activities in general.</w:t>
      </w:r>
    </w:p>
    <w:p w:rsidR="00617CB0" w:rsidRPr="00022D33" w:rsidRDefault="00617CB0" w:rsidP="00617CB0">
      <w:pPr>
        <w:pStyle w:val="Heading4"/>
      </w:pPr>
      <w:r w:rsidRPr="00022D33">
        <w:t>(y) Lease incentives</w:t>
      </w:r>
    </w:p>
    <w:p w:rsidR="00617CB0" w:rsidRPr="00022D33" w:rsidRDefault="00617CB0" w:rsidP="00617CB0">
      <w:pPr>
        <w:pStyle w:val="BodyText"/>
      </w:pPr>
      <w:r w:rsidRPr="00022D33">
        <w:t>In instances where the lessor has provided incentives for the Department to enter into an operating lease, the Department has recognised the aggregate benefit of incentives as a reduction of rental expense over the lease term, on a straight-line basis. Examples of lease incentives include up-front cash payments or the reimbursement or assumption by the lessor of costs of the lease such as leasehold improvements.</w:t>
      </w:r>
    </w:p>
    <w:p w:rsidR="00617CB0" w:rsidRPr="00022D33" w:rsidRDefault="00617CB0" w:rsidP="00617CB0">
      <w:pPr>
        <w:pStyle w:val="Heading3"/>
      </w:pPr>
      <w:r w:rsidRPr="00022D33">
        <w:t>Note 3. Comparative figures</w:t>
      </w:r>
    </w:p>
    <w:p w:rsidR="00617CB0" w:rsidRPr="00022D33" w:rsidRDefault="00617CB0" w:rsidP="00617CB0">
      <w:pPr>
        <w:pStyle w:val="BodyText"/>
      </w:pPr>
      <w:r w:rsidRPr="00022D33">
        <w:t>Comparative figures are, where appropriate, reclassified to be comparable with the figures presented in the current financial year.</w:t>
      </w:r>
    </w:p>
    <w:p w:rsidR="00617CB0" w:rsidRPr="00022D33" w:rsidRDefault="00617CB0" w:rsidP="00617CB0">
      <w:pPr>
        <w:pStyle w:val="Heading3"/>
      </w:pPr>
      <w:r w:rsidRPr="00022D33">
        <w:t>Note 4. Judgements made by management in applying accounting policies</w:t>
      </w:r>
    </w:p>
    <w:p w:rsidR="00617CB0" w:rsidRPr="00022D33" w:rsidRDefault="00617CB0" w:rsidP="00617CB0">
      <w:pPr>
        <w:pStyle w:val="BodyText"/>
      </w:pPr>
      <w:r w:rsidRPr="00022D33">
        <w:t>The preparation of financial statements requires management to make judgements about the application of accounting policies that have a significant effect on the amounts recognised in the financial statements. The Department evaluates these judgements regularly.</w:t>
      </w:r>
    </w:p>
    <w:p w:rsidR="00617CB0" w:rsidRPr="00022D33" w:rsidRDefault="00617CB0" w:rsidP="00617CB0">
      <w:pPr>
        <w:pStyle w:val="Heading4"/>
      </w:pPr>
      <w:r w:rsidRPr="00022D33">
        <w:t>Operating lease commitments</w:t>
      </w:r>
    </w:p>
    <w:p w:rsidR="00617CB0" w:rsidRPr="00022D33" w:rsidRDefault="00617CB0" w:rsidP="00617CB0">
      <w:pPr>
        <w:pStyle w:val="BodyText"/>
      </w:pPr>
      <w:r w:rsidRPr="00022D33">
        <w:t>The Department has entered into a number of leases for buildings for branch office accommodation. Some of these leases relate to buildings of a temporary nature and it has been determined that the lessor retains substantially all the risks and rewards incidental to ownership. Accordingly, these leases have been classified as operating leases.</w:t>
      </w:r>
    </w:p>
    <w:p w:rsidR="00617CB0" w:rsidRPr="00022D33" w:rsidRDefault="00617CB0" w:rsidP="00617CB0">
      <w:pPr>
        <w:pStyle w:val="Heading3"/>
      </w:pPr>
      <w:r w:rsidRPr="00022D33">
        <w:t>Note 5. Key sources of estimation uncertainty</w:t>
      </w:r>
    </w:p>
    <w:p w:rsidR="00617CB0" w:rsidRPr="00022D33" w:rsidRDefault="00617CB0" w:rsidP="00617CB0">
      <w:pPr>
        <w:pStyle w:val="BodyText"/>
      </w:pPr>
      <w:r w:rsidRPr="00022D33">
        <w:t>Key estimates and assumptions concerning the future are based on historical experience and various other factors that have a significant risk of causing a material adjustment to the carrying amount of assets and liabilities within the next financial year.</w:t>
      </w:r>
    </w:p>
    <w:p w:rsidR="00617CB0" w:rsidRPr="00022D33" w:rsidRDefault="00617CB0" w:rsidP="00617CB0">
      <w:pPr>
        <w:pStyle w:val="Heading4"/>
      </w:pPr>
      <w:r w:rsidRPr="00022D33">
        <w:t>Waste disposal site</w:t>
      </w:r>
    </w:p>
    <w:p w:rsidR="00617CB0" w:rsidRPr="00022D33" w:rsidRDefault="00617CB0" w:rsidP="00617CB0">
      <w:pPr>
        <w:pStyle w:val="BodyText"/>
      </w:pPr>
      <w:r w:rsidRPr="00022D33">
        <w:t>An environmental analysis to provide a quantifiable estimate of the amount required to rehabilitate the Mt Walton East intractable waste disposal site was obtained for the 2015-16 financial year. Calculations performed in assessing the restoration costs provision incorporate a number of key estimates. Calculation of the provision will be conducted annually and adjusted using the most up-to-date information available.</w:t>
      </w:r>
    </w:p>
    <w:p w:rsidR="00617CB0" w:rsidRPr="00022D33" w:rsidRDefault="00617CB0" w:rsidP="00617CB0">
      <w:pPr>
        <w:pStyle w:val="Heading4"/>
      </w:pPr>
      <w:r w:rsidRPr="00022D33">
        <w:t>Long service leave</w:t>
      </w:r>
    </w:p>
    <w:p w:rsidR="00617CB0" w:rsidRPr="00022D33" w:rsidRDefault="00617CB0" w:rsidP="00617CB0">
      <w:pPr>
        <w:pStyle w:val="BodyText"/>
      </w:pPr>
      <w:r w:rsidRPr="00022D33">
        <w:t>Several estimations and assumptions used in calculating the Department’s long service leave provision include expected future salary rates, discount rates, employee retention rates and expected future payments. Changes in these estimations and assumptions may impact on the carrying amounts of the long service leave provision.</w:t>
      </w:r>
    </w:p>
    <w:p w:rsidR="00617CB0" w:rsidRPr="00022D33" w:rsidRDefault="00617CB0" w:rsidP="00617CB0">
      <w:pPr>
        <w:pStyle w:val="Heading3"/>
      </w:pPr>
      <w:r w:rsidRPr="00022D33">
        <w:t>Note 6. Disclosure of changes in accounting policy and estimates</w:t>
      </w:r>
    </w:p>
    <w:p w:rsidR="00617CB0" w:rsidRPr="00022D33" w:rsidRDefault="00617CB0" w:rsidP="00617CB0">
      <w:pPr>
        <w:pStyle w:val="Heading4"/>
      </w:pPr>
      <w:r w:rsidRPr="00022D33">
        <w:t>Initial application of an Australian Accounting Standard</w:t>
      </w:r>
    </w:p>
    <w:p w:rsidR="00617CB0" w:rsidRPr="00022D33" w:rsidRDefault="00617CB0" w:rsidP="00617CB0">
      <w:pPr>
        <w:pStyle w:val="BodyText"/>
      </w:pPr>
      <w:r w:rsidRPr="00022D33">
        <w:t>The Department has applied the following Australian Accounting Standards effective, or adopted, for annual reporting periods beginning on or after 1 July 2015 that impacted on the Department.</w:t>
      </w:r>
    </w:p>
    <w:p w:rsidR="00617CB0" w:rsidRPr="00022D33" w:rsidRDefault="00617CB0" w:rsidP="00617CB0">
      <w:pPr>
        <w:pStyle w:val="BodyText"/>
        <w:rPr>
          <w:i/>
        </w:rPr>
      </w:pPr>
      <w:r w:rsidRPr="00022D33">
        <w:rPr>
          <w:i/>
        </w:rPr>
        <w:t>AASB 2013-9 Amendments to Australian Accounting Standards – Conceptual Framework, Materiality and Financial Instruments</w:t>
      </w:r>
    </w:p>
    <w:p w:rsidR="00617CB0" w:rsidRPr="00022D33" w:rsidRDefault="00617CB0" w:rsidP="00617CB0">
      <w:pPr>
        <w:pStyle w:val="BodyText"/>
      </w:pPr>
      <w:r w:rsidRPr="00022D33">
        <w:t>Part C of this Standard defers the application of AASB 9 to 1 January 2017. The application date of AASB 9 was subsequently deferred to 1 January 2018 by AASB 2014-1. The Department has not yet determined the application or the potential impact of AASB 9.</w:t>
      </w:r>
    </w:p>
    <w:p w:rsidR="00617CB0" w:rsidRPr="00022D33" w:rsidRDefault="00617CB0" w:rsidP="00617CB0">
      <w:pPr>
        <w:pStyle w:val="BodyText"/>
        <w:rPr>
          <w:i/>
        </w:rPr>
      </w:pPr>
      <w:r w:rsidRPr="00022D33">
        <w:rPr>
          <w:i/>
        </w:rPr>
        <w:t>AASB 2014-8 Amendments to Australian Accounting Standards arising from AASB 9 (December 2014) – Application of AASB 9 (December 2009) and AASB 9 (December 2010) [AASB 9 (2009 &amp; 2010)]</w:t>
      </w:r>
    </w:p>
    <w:p w:rsidR="00617CB0" w:rsidRPr="00022D33" w:rsidRDefault="00617CB0" w:rsidP="00617CB0">
      <w:pPr>
        <w:pStyle w:val="BodyText"/>
      </w:pPr>
      <w:r w:rsidRPr="00022D33">
        <w:t xml:space="preserve">This Standard makes amendments to AASB 9 </w:t>
      </w:r>
      <w:r w:rsidRPr="00022D33">
        <w:rPr>
          <w:i/>
        </w:rPr>
        <w:t>Financial Instruments</w:t>
      </w:r>
      <w:r w:rsidRPr="00022D33">
        <w:t xml:space="preserve"> (December 2009) and AASB 9 </w:t>
      </w:r>
      <w:r w:rsidRPr="00022D33">
        <w:rPr>
          <w:i/>
        </w:rPr>
        <w:t>Financial Instruments</w:t>
      </w:r>
      <w:r w:rsidRPr="00022D33">
        <w:t xml:space="preserve"> (December 2010), arising from the issuance of AASB 9 </w:t>
      </w:r>
      <w:r w:rsidRPr="00022D33">
        <w:rPr>
          <w:i/>
        </w:rPr>
        <w:t>Financial Instruments</w:t>
      </w:r>
      <w:r w:rsidRPr="00022D33">
        <w:t xml:space="preserve"> in December 2014. The Department has not yet determined the application or the potential impact of AASB 9.</w:t>
      </w:r>
    </w:p>
    <w:p w:rsidR="00617CB0" w:rsidRPr="00022D33" w:rsidRDefault="00617CB0" w:rsidP="00617CB0">
      <w:pPr>
        <w:pStyle w:val="BodyText"/>
        <w:rPr>
          <w:i/>
        </w:rPr>
      </w:pPr>
      <w:r w:rsidRPr="00022D33">
        <w:rPr>
          <w:i/>
        </w:rPr>
        <w:t>AASB 2015-3 Amendments to Australian Accounting Standards arising from the Withdrawal of AASB 1031 Materiality</w:t>
      </w:r>
    </w:p>
    <w:p w:rsidR="00617CB0" w:rsidRPr="00022D33" w:rsidRDefault="00617CB0" w:rsidP="00617CB0">
      <w:pPr>
        <w:pStyle w:val="BodyText"/>
      </w:pPr>
      <w:r w:rsidRPr="00022D33">
        <w:t>This Standard completes the withdrawal of references to AASB 1031 in all Australian Accounting Standards and Interpretations, allowing that Standard to effectively be withdrawn. There is no financial impact.</w:t>
      </w:r>
    </w:p>
    <w:p w:rsidR="00617CB0" w:rsidRPr="00022D33" w:rsidRDefault="00617CB0" w:rsidP="00617CB0">
      <w:pPr>
        <w:pStyle w:val="BodyText"/>
        <w:rPr>
          <w:i/>
        </w:rPr>
      </w:pPr>
      <w:r w:rsidRPr="00022D33">
        <w:rPr>
          <w:i/>
        </w:rPr>
        <w:t>AASB 2015-7 Amendments to Australian Accounting Standards - Fair Value Disclosures of Not-for-Profit Public Sector Entities [AASB 13]</w:t>
      </w:r>
    </w:p>
    <w:p w:rsidR="00617CB0" w:rsidRPr="00022D33" w:rsidRDefault="00617CB0" w:rsidP="00617CB0">
      <w:pPr>
        <w:pStyle w:val="BodyText"/>
      </w:pPr>
      <w:r w:rsidRPr="00022D33">
        <w:t>This Standard relieves not-for-profit public sector entities from the reporting burden associated with various disclosures required by AASB 13 for assets within the scope of AASB 116 that are held primarily for their current service potential rather than to generate future net cash inflows. It has no financial impact.</w:t>
      </w:r>
    </w:p>
    <w:p w:rsidR="00617CB0" w:rsidRPr="00022D33" w:rsidRDefault="00617CB0" w:rsidP="00617CB0">
      <w:pPr>
        <w:pStyle w:val="Heading4"/>
      </w:pPr>
      <w:r w:rsidRPr="00022D33">
        <w:t>Voluntary changes in accounting policy</w:t>
      </w:r>
    </w:p>
    <w:p w:rsidR="00617CB0" w:rsidRPr="00022D33" w:rsidRDefault="00617CB0" w:rsidP="00617CB0">
      <w:pPr>
        <w:pStyle w:val="BodyText"/>
      </w:pPr>
      <w:r w:rsidRPr="00022D33">
        <w:t>There are no voluntary changes in accounting policies during the year.</w:t>
      </w:r>
    </w:p>
    <w:p w:rsidR="00617CB0" w:rsidRPr="00022D33" w:rsidRDefault="00617CB0" w:rsidP="00617CB0">
      <w:pPr>
        <w:pStyle w:val="Heading4"/>
      </w:pPr>
      <w:r w:rsidRPr="00022D33">
        <w:t>Future impact of Australian Accounting Standards not yet operative</w:t>
      </w:r>
    </w:p>
    <w:p w:rsidR="00617CB0" w:rsidRPr="00022D33" w:rsidRDefault="00617CB0" w:rsidP="00617CB0">
      <w:pPr>
        <w:pStyle w:val="BodyText"/>
      </w:pPr>
      <w:r w:rsidRPr="00022D33">
        <w:t>The Department cannot early adopt an Australian Accounting Standard unless specifically permitted by TI 1101 Application of Australian Accounting Standards and Other Pronouncements or by an exemption from TI 1101. By virtue of a limited exemption, the Department has early adopted AASB 2015-7 Amendments to Australian Accounting Standards Fair Value Disclosures of Not for Profit Public Sector Entities. Where applicable, consequently, the Department has not applied early any of the following Australian Accounting Standards that have been issued that may impact the Department. Where applicable, the Department plans to apply these Australian Accounting Standards from their application date.</w:t>
      </w:r>
    </w:p>
    <w:p w:rsidR="00617CB0" w:rsidRPr="00022D33" w:rsidRDefault="00617CB0" w:rsidP="00617CB0">
      <w:pPr>
        <w:pStyle w:val="Heading4"/>
      </w:pPr>
      <w:r w:rsidRPr="00022D33">
        <w:t>Operative for reporting periods beginning on/after 1 Jan 2016</w:t>
      </w:r>
    </w:p>
    <w:p w:rsidR="00617CB0" w:rsidRPr="00022D33" w:rsidRDefault="00617CB0" w:rsidP="00617CB0">
      <w:pPr>
        <w:pStyle w:val="BodyText"/>
        <w:rPr>
          <w:i/>
        </w:rPr>
      </w:pPr>
      <w:r w:rsidRPr="00022D33">
        <w:rPr>
          <w:i/>
        </w:rPr>
        <w:t>AASB 1057 Application of Australian Accounting Standards</w:t>
      </w:r>
    </w:p>
    <w:p w:rsidR="00617CB0" w:rsidRPr="00022D33" w:rsidRDefault="00617CB0" w:rsidP="00617CB0">
      <w:pPr>
        <w:pStyle w:val="BodyText"/>
      </w:pPr>
      <w:r w:rsidRPr="00022D33">
        <w:t>This Standard lists the application paragraphs for each other Standard (and Interpretation), grouped where they are the same. There is no financial impact.</w:t>
      </w:r>
    </w:p>
    <w:p w:rsidR="00617CB0" w:rsidRPr="00022D33" w:rsidRDefault="00617CB0" w:rsidP="00617CB0">
      <w:pPr>
        <w:pStyle w:val="BodyText"/>
        <w:rPr>
          <w:i/>
        </w:rPr>
      </w:pPr>
      <w:r w:rsidRPr="00022D33">
        <w:rPr>
          <w:i/>
        </w:rPr>
        <w:t>AASB 2014-3 Amendments to Australian Accounting Standards – Accounting for Acquisitions of Interests in Joint Operations [AASB 1 &amp; 11]</w:t>
      </w:r>
    </w:p>
    <w:p w:rsidR="00617CB0" w:rsidRPr="00022D33" w:rsidRDefault="00617CB0" w:rsidP="00617CB0">
      <w:pPr>
        <w:pStyle w:val="BodyText"/>
      </w:pPr>
      <w:r w:rsidRPr="00022D33">
        <w:t>The Department establishes Joint Operations in pursuit of its objectives and does not routinely acquire interests in Joint Operations. Therefore, there is no financial impact on application of the Standard.</w:t>
      </w:r>
    </w:p>
    <w:p w:rsidR="00617CB0" w:rsidRPr="00022D33" w:rsidRDefault="00617CB0" w:rsidP="00617CB0">
      <w:pPr>
        <w:pStyle w:val="BodyText"/>
        <w:rPr>
          <w:i/>
        </w:rPr>
      </w:pPr>
      <w:r w:rsidRPr="00022D33">
        <w:rPr>
          <w:i/>
        </w:rPr>
        <w:t>AASB 2014-4 Amendments to Australian Accounting Standards – Clarification of Acceptable Methods of Depreciation and Amortisation [AASB 116 &amp;138]</w:t>
      </w:r>
    </w:p>
    <w:p w:rsidR="00617CB0" w:rsidRPr="00022D33" w:rsidRDefault="00617CB0" w:rsidP="00617CB0">
      <w:pPr>
        <w:pStyle w:val="BodyText"/>
      </w:pPr>
      <w:r w:rsidRPr="00022D33">
        <w:t>The adoption of this Standard has no financial impact for the Department as depreciation and amortisation is not determined by reference to revenue generation, but by reference to consumption of future economic benefits.</w:t>
      </w:r>
    </w:p>
    <w:p w:rsidR="00617CB0" w:rsidRPr="00022D33" w:rsidRDefault="00617CB0" w:rsidP="00617CB0">
      <w:pPr>
        <w:pStyle w:val="BodyText"/>
        <w:rPr>
          <w:i/>
        </w:rPr>
      </w:pPr>
      <w:r w:rsidRPr="00022D33">
        <w:rPr>
          <w:i/>
        </w:rPr>
        <w:t>AASB 2014-9 Amendments to Australian Accounting Standards</w:t>
      </w:r>
    </w:p>
    <w:p w:rsidR="00617CB0" w:rsidRPr="00022D33" w:rsidRDefault="00617CB0" w:rsidP="00617CB0">
      <w:pPr>
        <w:pStyle w:val="BodyText"/>
        <w:sectPr w:rsidR="00617CB0" w:rsidRPr="00022D33" w:rsidSect="005F3639">
          <w:pgSz w:w="11906" w:h="16838" w:code="9"/>
          <w:pgMar w:top="1440" w:right="1440" w:bottom="1276" w:left="1440" w:header="0" w:footer="709" w:gutter="0"/>
          <w:cols w:space="708"/>
          <w:docGrid w:linePitch="360"/>
        </w:sectPr>
      </w:pPr>
      <w:r w:rsidRPr="00022D33">
        <w:t>Equity Method in Separate Financial Statements [AASB 1, 127 and 128]. This Standard amends AASB 127, and consequentially amends AASB 1 and AASB 128, to allow entities to use the equity method of accounting for investments in subsidiaries, joint ventures and associates in their separate financial statements. The Department has not yet determined the application or the potential impact of the Standard.</w:t>
      </w:r>
    </w:p>
    <w:p w:rsidR="00617CB0" w:rsidRPr="00022D33" w:rsidRDefault="00617CB0" w:rsidP="00617CB0">
      <w:pPr>
        <w:pStyle w:val="BodyText"/>
        <w:rPr>
          <w:i/>
        </w:rPr>
      </w:pPr>
      <w:r w:rsidRPr="00022D33">
        <w:rPr>
          <w:i/>
        </w:rPr>
        <w:t>AASB 2014-10 Amendments to Australian Accounting Standards – Sale or Contribution of Assets between an Investor and its Associate or Joint Venture [AASB 10 &amp; 128]</w:t>
      </w:r>
    </w:p>
    <w:p w:rsidR="00617CB0" w:rsidRPr="00022D33" w:rsidRDefault="00617CB0" w:rsidP="00617CB0">
      <w:pPr>
        <w:pStyle w:val="BodyText"/>
      </w:pPr>
      <w:r w:rsidRPr="00022D33">
        <w:t>This Standard amends AASB 10 and AASB 128 to address an inconsistency between the requirements in AASB 10 and those in AASB 128 (August 2011), in dealing with the sale or contribution of assets between an investor and its associate or joint venture. The Department has not yet determined the application or the potential impact of the Standard.</w:t>
      </w:r>
    </w:p>
    <w:p w:rsidR="00617CB0" w:rsidRPr="00022D33" w:rsidRDefault="00617CB0" w:rsidP="00617CB0">
      <w:pPr>
        <w:pStyle w:val="BodyText"/>
        <w:rPr>
          <w:i/>
        </w:rPr>
      </w:pPr>
      <w:r w:rsidRPr="00022D33">
        <w:rPr>
          <w:i/>
        </w:rPr>
        <w:t>AASB 2015-1 Amendments to Australian Accounting Standards – Annual Improvements to Australian Accounting Standards 2012–2014 Cycle [AASB 1, 2, 3, 5, 7, 11, 110, 119, 121, 133, 134, 137 &amp;140]</w:t>
      </w:r>
    </w:p>
    <w:p w:rsidR="00617CB0" w:rsidRPr="00022D33" w:rsidRDefault="00617CB0" w:rsidP="00617CB0">
      <w:pPr>
        <w:pStyle w:val="BodyText"/>
      </w:pPr>
      <w:r w:rsidRPr="00022D33">
        <w:t>These amendments arise from the issuance of International Financial Reporting Standard Annual Improvements to IFRSs 2012–2014 Cycle in September 2014, and editorial corrections. The Department has determined that the application of the Standard has no financial impact.</w:t>
      </w:r>
    </w:p>
    <w:p w:rsidR="00617CB0" w:rsidRPr="00022D33" w:rsidRDefault="00617CB0" w:rsidP="00617CB0">
      <w:pPr>
        <w:pStyle w:val="BodyText"/>
        <w:rPr>
          <w:i/>
        </w:rPr>
      </w:pPr>
      <w:r w:rsidRPr="00022D33">
        <w:rPr>
          <w:i/>
        </w:rPr>
        <w:t>AASB 2015-2 Amendments to Australian Accounting Standards – Disclosure Initiative: Amendments to AASB 101 [AASB 7, 101, 134 &amp; 1049]</w:t>
      </w:r>
    </w:p>
    <w:p w:rsidR="00617CB0" w:rsidRPr="00022D33" w:rsidRDefault="00617CB0" w:rsidP="00617CB0">
      <w:pPr>
        <w:pStyle w:val="BodyText"/>
      </w:pPr>
      <w:r w:rsidRPr="00022D33">
        <w:t>This Standard amends AASB 101 to provide clarification regarding the disclosure requirements in AASB 101. Specifically, the Standard proposes narrow-focus amendments to address some of the concerns expressed about existing presentation and disclosure requirements and to ensure entities are able to use judgement when applying a Standard in determining what information to disclose in their financial statements. There is no financial impact.</w:t>
      </w:r>
    </w:p>
    <w:p w:rsidR="00617CB0" w:rsidRPr="00022D33" w:rsidRDefault="00617CB0" w:rsidP="00617CB0">
      <w:pPr>
        <w:pStyle w:val="BodyText"/>
        <w:rPr>
          <w:i/>
        </w:rPr>
      </w:pPr>
      <w:r w:rsidRPr="00022D33">
        <w:rPr>
          <w:i/>
        </w:rPr>
        <w:t>AASB 2015-10 Amendments to Australian Accounting Standards – Effective Date of Amendments to AASB 10 &amp; 128</w:t>
      </w:r>
    </w:p>
    <w:p w:rsidR="00617CB0" w:rsidRPr="00022D33" w:rsidRDefault="00617CB0" w:rsidP="00617CB0">
      <w:pPr>
        <w:pStyle w:val="BodyText"/>
      </w:pPr>
      <w:r w:rsidRPr="00022D33">
        <w:t>This Standard defers the mandatory effective date (application date) of amendments to AASB 10 and 128 that were originally made in AASB 2014-10 so that the amendments are required to be applied for annual reporting periods beginning on or after 1 January 2018 instead of 1 January 2016. The Department has not yet determined the application or the potential impact of AASB 2014-10.</w:t>
      </w:r>
    </w:p>
    <w:p w:rsidR="00617CB0" w:rsidRPr="00022D33" w:rsidRDefault="00617CB0" w:rsidP="00617CB0">
      <w:pPr>
        <w:pStyle w:val="Heading5"/>
      </w:pPr>
      <w:r w:rsidRPr="00022D33">
        <w:t>Operative for reporting periods beginning on/after 1 Jul 2016</w:t>
      </w:r>
    </w:p>
    <w:p w:rsidR="00617CB0" w:rsidRPr="00022D33" w:rsidRDefault="00617CB0" w:rsidP="00617CB0">
      <w:pPr>
        <w:pStyle w:val="BodyText"/>
        <w:rPr>
          <w:i/>
        </w:rPr>
      </w:pPr>
      <w:r w:rsidRPr="00022D33">
        <w:rPr>
          <w:i/>
        </w:rPr>
        <w:t>AASB 2015-6 Amendments to Australian Accounting Standards – Extending Related Party Disclosures to Not-for-Profit Public Sector Entities [AASB 10, 124 &amp; 1049]</w:t>
      </w:r>
    </w:p>
    <w:p w:rsidR="00617CB0" w:rsidRPr="00022D33" w:rsidRDefault="00617CB0" w:rsidP="00617CB0">
      <w:pPr>
        <w:pStyle w:val="BodyText"/>
      </w:pPr>
      <w:r w:rsidRPr="00022D33">
        <w:t>The amendments extend the scope of AASB 124 to include application by not-for-profit public sector entities. Implementation guidance is included to assist application of the Standard by not-for-profit public sector entities. There is no financial impact.</w:t>
      </w:r>
    </w:p>
    <w:p w:rsidR="00617CB0" w:rsidRPr="00022D33" w:rsidRDefault="00617CB0" w:rsidP="00617CB0">
      <w:pPr>
        <w:pStyle w:val="Heading5"/>
      </w:pPr>
      <w:r w:rsidRPr="00022D33">
        <w:t>Operative for reporting periods beginning on/after 1 Jan 2017</w:t>
      </w:r>
    </w:p>
    <w:p w:rsidR="00617CB0" w:rsidRPr="00022D33" w:rsidRDefault="00617CB0" w:rsidP="00617CB0">
      <w:pPr>
        <w:rPr>
          <w:rFonts w:ascii="Arial" w:hAnsi="Arial" w:cs="Arial"/>
          <w:i/>
          <w:sz w:val="24"/>
          <w:szCs w:val="24"/>
        </w:rPr>
      </w:pPr>
      <w:r w:rsidRPr="00022D33">
        <w:rPr>
          <w:rFonts w:ascii="Arial" w:hAnsi="Arial" w:cs="Arial"/>
          <w:i/>
          <w:sz w:val="24"/>
          <w:szCs w:val="24"/>
        </w:rPr>
        <w:t>AASB 2015-8 Amendments to Australian Accounting Standards – Effective Date of AASB 15</w:t>
      </w:r>
    </w:p>
    <w:p w:rsidR="00617CB0" w:rsidRPr="00022D33" w:rsidRDefault="00617CB0" w:rsidP="00617CB0">
      <w:pPr>
        <w:rPr>
          <w:rFonts w:ascii="Arial" w:hAnsi="Arial" w:cs="Arial"/>
          <w:sz w:val="24"/>
          <w:szCs w:val="24"/>
        </w:rPr>
      </w:pPr>
      <w:r w:rsidRPr="00022D33">
        <w:rPr>
          <w:rFonts w:ascii="Arial" w:hAnsi="Arial" w:cs="Arial"/>
          <w:sz w:val="24"/>
          <w:szCs w:val="24"/>
        </w:rPr>
        <w:t>This Standard amends the mandatory effective date (application date) of AASB 15 Revenue from Contracts with Customers so that AASB 15 is required to be applied for annual reporting periods beginning on or after 1 January 2018 instead of 1 January 2017. The Department has not yet determined the application or the potential impact of AASB 15.</w:t>
      </w:r>
    </w:p>
    <w:p w:rsidR="00617CB0" w:rsidRPr="00022D33" w:rsidRDefault="00617CB0" w:rsidP="00617CB0">
      <w:pPr>
        <w:rPr>
          <w:rFonts w:ascii="Arial" w:hAnsi="Arial" w:cs="Arial"/>
          <w:i/>
          <w:sz w:val="24"/>
          <w:szCs w:val="24"/>
        </w:rPr>
      </w:pPr>
      <w:r w:rsidRPr="00022D33">
        <w:rPr>
          <w:rFonts w:ascii="Arial" w:hAnsi="Arial" w:cs="Arial"/>
          <w:i/>
          <w:sz w:val="24"/>
          <w:szCs w:val="24"/>
        </w:rPr>
        <w:t>AASB 2016-2 Amendments to Australian Accounting Standards – Disclosure Initiative: Amendments to AASB 107</w:t>
      </w:r>
    </w:p>
    <w:p w:rsidR="00617CB0" w:rsidRPr="00022D33" w:rsidRDefault="00617CB0" w:rsidP="00617CB0">
      <w:pPr>
        <w:rPr>
          <w:rFonts w:ascii="Arial" w:hAnsi="Arial" w:cs="Arial"/>
          <w:sz w:val="24"/>
          <w:szCs w:val="24"/>
        </w:rPr>
      </w:pPr>
      <w:r w:rsidRPr="00022D33">
        <w:rPr>
          <w:rFonts w:ascii="Arial" w:hAnsi="Arial" w:cs="Arial"/>
          <w:sz w:val="24"/>
          <w:szCs w:val="24"/>
        </w:rPr>
        <w:t>This Standard amends AASB 107 Statement of Cash Flows (August 2015) to require disclosures that enable users of financial statements to evaluate changes in liabilities arising from financing activities, including both changes arising from cash flows and non-cash changes. There is no financial impact.</w:t>
      </w:r>
    </w:p>
    <w:p w:rsidR="00617CB0" w:rsidRPr="00022D33" w:rsidRDefault="00617CB0" w:rsidP="00617CB0">
      <w:pPr>
        <w:pStyle w:val="Heading5"/>
      </w:pPr>
      <w:r w:rsidRPr="00022D33">
        <w:t>Operative for reporting periods beginning on/after 1 Jan 2018</w:t>
      </w:r>
    </w:p>
    <w:p w:rsidR="00617CB0" w:rsidRPr="00022D33" w:rsidRDefault="00617CB0" w:rsidP="00617CB0">
      <w:pPr>
        <w:pStyle w:val="BodyText"/>
        <w:rPr>
          <w:i/>
        </w:rPr>
      </w:pPr>
      <w:r w:rsidRPr="00022D33">
        <w:rPr>
          <w:i/>
        </w:rPr>
        <w:t>AASB 9 Financial Instruments</w:t>
      </w:r>
    </w:p>
    <w:p w:rsidR="00617CB0" w:rsidRPr="00022D33" w:rsidRDefault="00617CB0" w:rsidP="00617CB0">
      <w:pPr>
        <w:pStyle w:val="BodyText"/>
      </w:pPr>
      <w:r w:rsidRPr="00022D33">
        <w:t xml:space="preserve">This Standard supersedes AASB 139 </w:t>
      </w:r>
      <w:r w:rsidRPr="00022D33">
        <w:rPr>
          <w:i/>
        </w:rPr>
        <w:t>Financial Instruments: Recognition and Measurement</w:t>
      </w:r>
      <w:r w:rsidRPr="00022D33">
        <w:t>, introducing a number of changes to accounting treatments.</w:t>
      </w:r>
    </w:p>
    <w:p w:rsidR="00617CB0" w:rsidRPr="00022D33" w:rsidRDefault="00617CB0" w:rsidP="00617CB0">
      <w:pPr>
        <w:pStyle w:val="BodyText"/>
      </w:pPr>
      <w:r w:rsidRPr="00022D33">
        <w:t xml:space="preserve">The mandatory application date of this Standard is currently 1 January 2018 after being amended by AASB 2012-6, AASB 2013-9 and AASB 2014-1 </w:t>
      </w:r>
      <w:r w:rsidRPr="00022D33">
        <w:rPr>
          <w:i/>
        </w:rPr>
        <w:t>Amendments to Australian Accounting Standards</w:t>
      </w:r>
      <w:r w:rsidRPr="00022D33">
        <w:t>. The Department has not yet determined the application or the potential impact of the Standard.</w:t>
      </w:r>
    </w:p>
    <w:p w:rsidR="00617CB0" w:rsidRPr="00022D33" w:rsidRDefault="00617CB0" w:rsidP="00617CB0">
      <w:pPr>
        <w:pStyle w:val="BodyText"/>
        <w:rPr>
          <w:i/>
        </w:rPr>
      </w:pPr>
      <w:r w:rsidRPr="00022D33">
        <w:rPr>
          <w:i/>
        </w:rPr>
        <w:t>AASB 15 Revenue from Contracts with Customers</w:t>
      </w:r>
    </w:p>
    <w:p w:rsidR="00617CB0" w:rsidRPr="00022D33" w:rsidRDefault="00617CB0" w:rsidP="00617CB0">
      <w:pPr>
        <w:pStyle w:val="BodyText"/>
      </w:pPr>
      <w:r w:rsidRPr="00022D33">
        <w:t>This Standard establishes the principles that the Department shall apply to report useful information to users of financial statements about the nature, amount, timing and uncertainty of revenue and cash flows arising from a contract with a customer. The Department has not yet determined the application or the potential impact of the Standard.</w:t>
      </w:r>
    </w:p>
    <w:p w:rsidR="00617CB0" w:rsidRPr="00022D33" w:rsidRDefault="00617CB0" w:rsidP="00617CB0">
      <w:pPr>
        <w:pStyle w:val="BodyText"/>
        <w:rPr>
          <w:i/>
        </w:rPr>
      </w:pPr>
      <w:r w:rsidRPr="00022D33">
        <w:rPr>
          <w:i/>
        </w:rPr>
        <w:t>AASB 2010-7 Amendments to Australian Accounting Standards arising from AASB 9 (December 2010) [AASB 1, 3, 4, 5, 7, 101, 102, 108, 112, 118, 120, 121, 127, 128, 131, 132, 136, 137, 139, 1023 and 1038 &amp; Int 2, 5, 10, 12, 19 &amp; 127]</w:t>
      </w:r>
    </w:p>
    <w:p w:rsidR="00617CB0" w:rsidRPr="00022D33" w:rsidRDefault="00617CB0" w:rsidP="00617CB0">
      <w:pPr>
        <w:pStyle w:val="BodyText"/>
      </w:pPr>
      <w:r w:rsidRPr="00022D33">
        <w:t>This Standard makes consequential amendments to other Australian Accounting Standards and Interpretations as a result of issuing AASB 9 in December 2010.</w:t>
      </w:r>
    </w:p>
    <w:p w:rsidR="00617CB0" w:rsidRPr="00022D33" w:rsidRDefault="00617CB0" w:rsidP="00617CB0">
      <w:pPr>
        <w:pStyle w:val="BodyText"/>
      </w:pPr>
      <w:r w:rsidRPr="00022D33">
        <w:t>The mandatory application date of this Standard has been amended by AASB 2012-6 and AASB 2014-1 to 1 January 2018. The Department has not yet determined the application or the potential impact of the Standard.</w:t>
      </w:r>
    </w:p>
    <w:p w:rsidR="00617CB0" w:rsidRPr="00022D33" w:rsidRDefault="00617CB0" w:rsidP="00617CB0">
      <w:pPr>
        <w:pStyle w:val="BodyText"/>
        <w:rPr>
          <w:i/>
        </w:rPr>
      </w:pPr>
      <w:r w:rsidRPr="00022D33">
        <w:rPr>
          <w:i/>
        </w:rPr>
        <w:t>AASB 2014-1 Amendments to Australian Accounting Standards</w:t>
      </w:r>
    </w:p>
    <w:p w:rsidR="00617CB0" w:rsidRPr="00022D33" w:rsidRDefault="00617CB0" w:rsidP="00617CB0">
      <w:pPr>
        <w:pStyle w:val="BodyText"/>
      </w:pPr>
      <w:r w:rsidRPr="00022D33">
        <w:t>Part E of this Standard makes amendments to AASB 9 and consequential amendments to other Standards. It has not yet been assessed by the Department to determine the application or potential impact of the Standard.</w:t>
      </w:r>
    </w:p>
    <w:p w:rsidR="00617CB0" w:rsidRPr="00022D33" w:rsidRDefault="00617CB0" w:rsidP="00617CB0">
      <w:pPr>
        <w:pStyle w:val="BodyText"/>
        <w:rPr>
          <w:i/>
        </w:rPr>
      </w:pPr>
      <w:r w:rsidRPr="00022D33">
        <w:rPr>
          <w:i/>
        </w:rPr>
        <w:t>AASB 2014-5 Amendments to Australian Accounting Standards arising from AASB 15</w:t>
      </w:r>
    </w:p>
    <w:p w:rsidR="00617CB0" w:rsidRPr="00022D33" w:rsidRDefault="00617CB0" w:rsidP="00617CB0">
      <w:pPr>
        <w:pStyle w:val="BodyText"/>
      </w:pPr>
      <w:r w:rsidRPr="00022D33">
        <w:t>This Standard gives effect to the consequential amendments to Australian Accounting Standards (including Interpretations) arising from the issuance of AASB 15. The mandatory application date of this Standard has been amended by AASB 2015-8 to 1 January 2018. The Department has not yet determined the application or the potential impact of the Standard.</w:t>
      </w:r>
    </w:p>
    <w:p w:rsidR="00617CB0" w:rsidRPr="00022D33" w:rsidRDefault="00617CB0" w:rsidP="00617CB0">
      <w:pPr>
        <w:pStyle w:val="BodyText"/>
        <w:rPr>
          <w:i/>
        </w:rPr>
      </w:pPr>
      <w:r w:rsidRPr="00022D33">
        <w:rPr>
          <w:i/>
        </w:rPr>
        <w:t>AASB 2014-7 Amendments to Australian Accounting Standards arising from AASB 9 (December 2014)</w:t>
      </w:r>
    </w:p>
    <w:p w:rsidR="00617CB0" w:rsidRPr="00022D33" w:rsidRDefault="00617CB0" w:rsidP="00617CB0">
      <w:pPr>
        <w:pStyle w:val="BodyText"/>
      </w:pPr>
      <w:r w:rsidRPr="00022D33">
        <w:t>This Standard gives effect to the consequential amendments to Australian Accounting Standards (including Interpretations) arising from the issuance of AASB 9 (December 2014). The Department has not yet determined the application or the potential impact of the Standard.</w:t>
      </w:r>
    </w:p>
    <w:p w:rsidR="00617CB0" w:rsidRPr="00022D33" w:rsidRDefault="00617CB0" w:rsidP="00617CB0">
      <w:pPr>
        <w:pStyle w:val="BodyText"/>
        <w:rPr>
          <w:i/>
        </w:rPr>
      </w:pPr>
      <w:r w:rsidRPr="00022D33">
        <w:rPr>
          <w:i/>
        </w:rPr>
        <w:t>AASB 2016-3 Amendments to Australian Accounting Standards – Clarifications to AASB 15</w:t>
      </w:r>
    </w:p>
    <w:p w:rsidR="00617CB0" w:rsidRPr="00022D33" w:rsidRDefault="00617CB0" w:rsidP="00617CB0">
      <w:pPr>
        <w:pStyle w:val="BodyText"/>
      </w:pPr>
      <w:r w:rsidRPr="00022D33">
        <w:t>This Standard clarifies identifying performance obligations, principal versus agent considerations, timing of recognising revenue from granting a licence, and provides further transitional provisions to AASB 15. The Department has not yet determined the application or the potential impact.</w:t>
      </w:r>
    </w:p>
    <w:p w:rsidR="00617CB0" w:rsidRPr="00022D33" w:rsidRDefault="00617CB0" w:rsidP="00617CB0">
      <w:pPr>
        <w:pStyle w:val="Heading5"/>
      </w:pPr>
      <w:r w:rsidRPr="00022D33">
        <w:t>Operative for reporting periods beginning on/after 1 Jan 2019</w:t>
      </w:r>
    </w:p>
    <w:p w:rsidR="00617CB0" w:rsidRPr="00022D33" w:rsidRDefault="00617CB0" w:rsidP="00617CB0">
      <w:pPr>
        <w:pStyle w:val="BodyText"/>
        <w:rPr>
          <w:i/>
        </w:rPr>
      </w:pPr>
      <w:r w:rsidRPr="00022D33">
        <w:rPr>
          <w:i/>
        </w:rPr>
        <w:t>AASB 16 Leases</w:t>
      </w:r>
    </w:p>
    <w:p w:rsidR="00617CB0" w:rsidRPr="00022D33" w:rsidRDefault="00617CB0" w:rsidP="00617CB0">
      <w:pPr>
        <w:pStyle w:val="BodyText"/>
      </w:pPr>
      <w:r w:rsidRPr="00022D33">
        <w:t>This Standard introduces a single lessee accounting model and requires a lessee to recognise assets and liabilities for all leases with a term of more than 12 months, unless the underlying asset is of low value. The Department has not yet determined the application or the potential impact of the Standard.</w:t>
      </w:r>
    </w:p>
    <w:p w:rsidR="00617CB0" w:rsidRPr="00022D33" w:rsidRDefault="00617CB0" w:rsidP="00617CB0">
      <w:pPr>
        <w:pStyle w:val="Heading5"/>
      </w:pPr>
      <w:r w:rsidRPr="00022D33">
        <w:t>Changes in accounting estimates</w:t>
      </w:r>
    </w:p>
    <w:p w:rsidR="00617CB0" w:rsidRPr="00022D33" w:rsidRDefault="00617CB0" w:rsidP="00617CB0">
      <w:pPr>
        <w:pStyle w:val="BodyText"/>
      </w:pPr>
      <w:r w:rsidRPr="00022D33">
        <w:t>There have been no changes in accounting estimates during the year.</w:t>
      </w:r>
    </w:p>
    <w:p w:rsidR="00617CB0" w:rsidRPr="00022D33" w:rsidRDefault="00617CB0" w:rsidP="00617CB0">
      <w:pPr>
        <w:pStyle w:val="Heading3"/>
      </w:pPr>
      <w:r w:rsidRPr="00022D33">
        <w:t>Note 7. Employee benefits expense</w:t>
      </w:r>
    </w:p>
    <w:p w:rsidR="00617CB0" w:rsidRPr="00022D33" w:rsidRDefault="00196F4C" w:rsidP="00617CB0">
      <w:pPr>
        <w:pStyle w:val="Caption"/>
        <w:keepNext/>
        <w:spacing w:after="60"/>
        <w:rPr>
          <w:noProof/>
        </w:rPr>
      </w:pPr>
      <w:fldSimple w:instr=" SEQ Table \* ARABIC ">
        <w:r w:rsidR="00D8778B">
          <w:rPr>
            <w:noProof/>
          </w:rPr>
          <w:t>12</w:t>
        </w:r>
      </w:fldSimple>
      <w:r w:rsidR="00617CB0" w:rsidRPr="00022D33">
        <w:rPr>
          <w:noProof/>
        </w:rPr>
        <w:t xml:space="preserve"> Employee benefits expense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rPr>
          <w:trHeight w:val="327"/>
        </w:trPr>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Wages and salaries</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87,830</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94,365</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Superannuation </w:t>
            </w:r>
            <w:r w:rsidRPr="00022D33">
              <w:rPr>
                <w:vertAlign w:val="superscript"/>
              </w:rPr>
              <w:t>(a)</w:t>
            </w:r>
            <w:r w:rsidRPr="00022D33">
              <w:t xml:space="preserve"> </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11,503</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12,834</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Long service leave </w:t>
            </w:r>
            <w:r w:rsidRPr="00022D33">
              <w:rPr>
                <w:vertAlign w:val="superscript"/>
              </w:rPr>
              <w:t>(b)</w:t>
            </w:r>
            <w:r w:rsidRPr="00022D33">
              <w:t xml:space="preserve"> </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3,545</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4,250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Annual leave </w:t>
            </w:r>
            <w:r w:rsidRPr="00022D33">
              <w:rPr>
                <w:vertAlign w:val="superscript"/>
              </w:rPr>
              <w:t>(b)</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16,724</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18,229</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Severance payments </w:t>
            </w:r>
            <w:r w:rsidRPr="00022D33">
              <w:rPr>
                <w:vertAlign w:val="superscript"/>
              </w:rPr>
              <w:t>(c)</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7,488</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4,154</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Other related expenses</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2,363</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2,778</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129,453</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136,610</w:t>
            </w:r>
          </w:p>
        </w:tc>
      </w:tr>
    </w:tbl>
    <w:p w:rsidR="00617CB0" w:rsidRPr="00022D33" w:rsidRDefault="00617CB0" w:rsidP="00617CB0">
      <w:pPr>
        <w:pStyle w:val="BodyText"/>
        <w:numPr>
          <w:ilvl w:val="0"/>
          <w:numId w:val="8"/>
        </w:numPr>
        <w:spacing w:before="0"/>
        <w:ind w:left="374" w:hanging="357"/>
        <w:rPr>
          <w:sz w:val="20"/>
          <w:szCs w:val="20"/>
        </w:rPr>
      </w:pPr>
      <w:r w:rsidRPr="00022D33">
        <w:rPr>
          <w:sz w:val="20"/>
          <w:szCs w:val="20"/>
        </w:rPr>
        <w:t>Includes West State, Gold State, GESB and other eligible funds.</w:t>
      </w:r>
    </w:p>
    <w:p w:rsidR="00617CB0" w:rsidRPr="00022D33" w:rsidRDefault="00617CB0" w:rsidP="00617CB0">
      <w:pPr>
        <w:pStyle w:val="BodyText"/>
        <w:numPr>
          <w:ilvl w:val="0"/>
          <w:numId w:val="8"/>
        </w:numPr>
        <w:spacing w:before="0"/>
        <w:ind w:left="374" w:hanging="357"/>
        <w:rPr>
          <w:sz w:val="20"/>
          <w:szCs w:val="20"/>
        </w:rPr>
      </w:pPr>
      <w:r w:rsidRPr="00022D33">
        <w:rPr>
          <w:sz w:val="20"/>
          <w:szCs w:val="20"/>
        </w:rPr>
        <w:t>Includes a superannuation contribution component.</w:t>
      </w:r>
    </w:p>
    <w:p w:rsidR="00617CB0" w:rsidRPr="00022D33" w:rsidRDefault="00617CB0" w:rsidP="00617CB0">
      <w:pPr>
        <w:pStyle w:val="BodyText"/>
        <w:numPr>
          <w:ilvl w:val="0"/>
          <w:numId w:val="8"/>
        </w:numPr>
        <w:spacing w:before="0"/>
        <w:ind w:left="374" w:hanging="357"/>
        <w:rPr>
          <w:sz w:val="20"/>
          <w:szCs w:val="20"/>
        </w:rPr>
      </w:pPr>
      <w:r w:rsidRPr="00022D33">
        <w:rPr>
          <w:sz w:val="20"/>
          <w:szCs w:val="20"/>
        </w:rPr>
        <w:t>The total severance gross payout for 2016 was $9,938,000, with $2,273,000 related to leave entitlements (i.e. Note 31).</w:t>
      </w:r>
    </w:p>
    <w:p w:rsidR="00617CB0" w:rsidRPr="00022D33" w:rsidRDefault="00617CB0" w:rsidP="00617CB0">
      <w:pPr>
        <w:pStyle w:val="BodyText"/>
      </w:pPr>
      <w:r w:rsidRPr="00022D33">
        <w:t>The employment on-costs liability is included at Note 31 ‘Provisions’.</w:t>
      </w:r>
    </w:p>
    <w:p w:rsidR="00617CB0" w:rsidRPr="00022D33" w:rsidRDefault="00617CB0" w:rsidP="00617CB0">
      <w:pPr>
        <w:pStyle w:val="Heading3"/>
      </w:pPr>
      <w:r w:rsidRPr="00022D33">
        <w:br w:type="page"/>
        <w:t>Note 8. Supplies and services</w:t>
      </w:r>
    </w:p>
    <w:p w:rsidR="00617CB0" w:rsidRPr="00022D33" w:rsidRDefault="00196F4C" w:rsidP="00617CB0">
      <w:pPr>
        <w:pStyle w:val="Caption"/>
        <w:keepNext/>
        <w:spacing w:after="60"/>
        <w:rPr>
          <w:noProof/>
        </w:rPr>
      </w:pPr>
      <w:fldSimple w:instr=" SEQ Table \* ARABIC ">
        <w:r w:rsidR="00D8778B">
          <w:rPr>
            <w:noProof/>
          </w:rPr>
          <w:t>13</w:t>
        </w:r>
      </w:fldSimple>
      <w:r w:rsidR="00617CB0" w:rsidRPr="00022D33">
        <w:rPr>
          <w:noProof/>
        </w:rPr>
        <w:t xml:space="preserve"> Supplies and 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 xml:space="preserve">2016 </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 xml:space="preserve">2015 </w:t>
            </w:r>
          </w:p>
          <w:p w:rsidR="00617CB0" w:rsidRPr="00022D33" w:rsidRDefault="00617CB0" w:rsidP="000D7011">
            <w:pPr>
              <w:pStyle w:val="Tableboldedtext"/>
              <w:jc w:val="right"/>
            </w:pPr>
            <w:r w:rsidRPr="00022D33">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Managed contracts </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833,009</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1,003,551</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Communications </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2,260</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2,538</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Consultants and contractors </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35,680</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42,358</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Consumables</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652</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906</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Repairs and maintenance </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766</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250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Travel</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359</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419</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Legal costs</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4,755</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2,339</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Other</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7,592</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8,404</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885,072</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1,060,765</w:t>
            </w:r>
          </w:p>
        </w:tc>
      </w:tr>
    </w:tbl>
    <w:p w:rsidR="00617CB0" w:rsidRPr="00022D33" w:rsidRDefault="00617CB0" w:rsidP="00617CB0">
      <w:pPr>
        <w:pStyle w:val="Heading3"/>
      </w:pPr>
      <w:r w:rsidRPr="00022D33">
        <w:t>Note 9. Depreciation and amortisation expense</w:t>
      </w:r>
    </w:p>
    <w:p w:rsidR="00617CB0" w:rsidRPr="00022D33" w:rsidRDefault="00196F4C" w:rsidP="00617CB0">
      <w:pPr>
        <w:pStyle w:val="Caption"/>
        <w:keepNext/>
        <w:spacing w:after="60"/>
        <w:rPr>
          <w:noProof/>
        </w:rPr>
      </w:pPr>
      <w:fldSimple w:instr=" SEQ Table \* ARABIC ">
        <w:r w:rsidR="00D8778B">
          <w:rPr>
            <w:noProof/>
          </w:rPr>
          <w:t>14</w:t>
        </w:r>
      </w:fldSimple>
      <w:r w:rsidR="00617CB0" w:rsidRPr="00022D33">
        <w:rPr>
          <w:noProof/>
        </w:rPr>
        <w:t xml:space="preserve"> Depreciation and amortisation expense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8577" w:type="dxa"/>
            <w:gridSpan w:val="3"/>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Depreciation</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Office fit-out </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14,118</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14,180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Computer equipment </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729</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952</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Vehicles</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45,662</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50,047</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Buildings</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5,129</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5,796</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Leasehold improvements </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6,057</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5,506</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Office equipment</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47</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56</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b/>
              </w:rPr>
            </w:pPr>
            <w:r w:rsidRPr="00022D33">
              <w:rPr>
                <w:b/>
              </w:rPr>
              <w:t>Total depreciation</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71,742</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76,537</w:t>
            </w:r>
          </w:p>
        </w:tc>
      </w:tr>
      <w:tr w:rsidR="00617CB0" w:rsidRPr="00022D33" w:rsidTr="000D7011">
        <w:tc>
          <w:tcPr>
            <w:tcW w:w="8577" w:type="dxa"/>
            <w:gridSpan w:val="3"/>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Amortisation</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Computer software </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4,444</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3,759</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Licence</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2,845</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2,890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r w:rsidRPr="00022D33">
              <w:t>Total amortisation</w:t>
            </w:r>
          </w:p>
        </w:tc>
        <w:tc>
          <w:tcPr>
            <w:tcW w:w="1474"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7,289</w:t>
            </w:r>
          </w:p>
        </w:tc>
        <w:tc>
          <w:tcPr>
            <w:tcW w:w="1474"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6,649</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r w:rsidRPr="00022D33">
              <w:t>Total depreciation and amortisation</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79,031</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83,187</w:t>
            </w:r>
          </w:p>
        </w:tc>
      </w:tr>
    </w:tbl>
    <w:p w:rsidR="00617CB0" w:rsidRDefault="00617CB0" w:rsidP="00617CB0">
      <w:pPr>
        <w:pStyle w:val="Heading3"/>
        <w:sectPr w:rsidR="00617CB0" w:rsidSect="005F3639">
          <w:pgSz w:w="11906" w:h="16838" w:code="9"/>
          <w:pgMar w:top="1440" w:right="1440" w:bottom="1276" w:left="1440" w:header="0" w:footer="709" w:gutter="0"/>
          <w:cols w:space="708"/>
          <w:docGrid w:linePitch="360"/>
        </w:sectPr>
      </w:pPr>
    </w:p>
    <w:p w:rsidR="00617CB0" w:rsidRPr="00022D33" w:rsidRDefault="00617CB0" w:rsidP="00617CB0">
      <w:pPr>
        <w:pStyle w:val="Heading3"/>
      </w:pPr>
      <w:r w:rsidRPr="00022D33">
        <w:t>Note 10. Finance costs</w:t>
      </w:r>
    </w:p>
    <w:p w:rsidR="00617CB0" w:rsidRPr="00022D33" w:rsidRDefault="00196F4C" w:rsidP="00617CB0">
      <w:pPr>
        <w:pStyle w:val="Caption"/>
        <w:keepNext/>
        <w:spacing w:after="60"/>
        <w:rPr>
          <w:noProof/>
        </w:rPr>
      </w:pPr>
      <w:fldSimple w:instr=" SEQ Table \* ARABIC ">
        <w:r w:rsidR="00D8778B">
          <w:rPr>
            <w:noProof/>
          </w:rPr>
          <w:t>15</w:t>
        </w:r>
      </w:fldSimple>
      <w:r w:rsidR="00617CB0" w:rsidRPr="00022D33">
        <w:rPr>
          <w:noProof/>
        </w:rPr>
        <w:t xml:space="preserve"> Finance costs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Western Australian Treasury Corporation - interest on borrowings</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2,476</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3,752</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Interest on Heritage Maintenance Payments</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6,527</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1,072</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9,003</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4,824</w:t>
            </w:r>
          </w:p>
        </w:tc>
      </w:tr>
    </w:tbl>
    <w:p w:rsidR="00617CB0" w:rsidRPr="00022D33" w:rsidRDefault="00617CB0" w:rsidP="00617CB0">
      <w:pPr>
        <w:pStyle w:val="Heading3"/>
      </w:pPr>
      <w:r w:rsidRPr="00022D33">
        <w:t>Note 11. Accommodation expenses</w:t>
      </w:r>
    </w:p>
    <w:p w:rsidR="00617CB0" w:rsidRPr="00022D33" w:rsidRDefault="00196F4C" w:rsidP="00617CB0">
      <w:pPr>
        <w:pStyle w:val="Caption"/>
        <w:keepNext/>
        <w:spacing w:after="60"/>
        <w:rPr>
          <w:noProof/>
        </w:rPr>
      </w:pPr>
      <w:fldSimple w:instr=" SEQ Table \* ARABIC ">
        <w:r w:rsidR="00D8778B">
          <w:rPr>
            <w:noProof/>
          </w:rPr>
          <w:t>16</w:t>
        </w:r>
      </w:fldSimple>
      <w:r w:rsidR="00617CB0" w:rsidRPr="00022D33">
        <w:rPr>
          <w:noProof/>
        </w:rPr>
        <w:t xml:space="preserve"> Accommodation expenses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Repairs and maintenance buildings</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25,885</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20,636</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Cleaning and security</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2,890</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3,135</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Lease rentals</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10,119</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11,710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38,894</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35,481</w:t>
            </w:r>
          </w:p>
        </w:tc>
      </w:tr>
    </w:tbl>
    <w:p w:rsidR="00617CB0" w:rsidRPr="00022D33" w:rsidRDefault="00617CB0" w:rsidP="00617CB0">
      <w:pPr>
        <w:pStyle w:val="Heading3"/>
      </w:pPr>
      <w:r w:rsidRPr="00022D33">
        <w:t>Note 12. Grants and subsidies</w:t>
      </w:r>
    </w:p>
    <w:p w:rsidR="00617CB0" w:rsidRPr="00022D33" w:rsidRDefault="00196F4C" w:rsidP="00617CB0">
      <w:pPr>
        <w:pStyle w:val="Caption"/>
        <w:keepNext/>
        <w:spacing w:after="60"/>
        <w:rPr>
          <w:noProof/>
        </w:rPr>
      </w:pPr>
      <w:fldSimple w:instr=" SEQ Table \* ARABIC ">
        <w:r w:rsidR="00D8778B">
          <w:rPr>
            <w:noProof/>
          </w:rPr>
          <w:t>17</w:t>
        </w:r>
      </w:fldSimple>
      <w:r w:rsidR="00617CB0">
        <w:rPr>
          <w:noProof/>
        </w:rPr>
        <w:t xml:space="preserve"> </w:t>
      </w:r>
      <w:r w:rsidR="00617CB0" w:rsidRPr="00022D33">
        <w:rPr>
          <w:noProof/>
        </w:rPr>
        <w:t>Grants and subsidies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w:t>
            </w:r>
            <w:r>
              <w:t>6</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Grants - recurrent </w:t>
            </w:r>
            <w:r w:rsidRPr="00022D33">
              <w:rPr>
                <w:vertAlign w:val="superscript"/>
              </w:rPr>
              <w:t>(a)</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110</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52,174</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Grants - capital </w:t>
            </w:r>
            <w:r w:rsidRPr="00022D33">
              <w:rPr>
                <w:vertAlign w:val="superscript"/>
              </w:rPr>
              <w:t>(b)</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3,652</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12,054</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3,761</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64,228</w:t>
            </w:r>
          </w:p>
        </w:tc>
      </w:tr>
    </w:tbl>
    <w:p w:rsidR="00617CB0" w:rsidRPr="00022D33" w:rsidRDefault="00617CB0" w:rsidP="00617CB0">
      <w:pPr>
        <w:pStyle w:val="BodyText"/>
        <w:numPr>
          <w:ilvl w:val="0"/>
          <w:numId w:val="9"/>
        </w:numPr>
        <w:rPr>
          <w:sz w:val="20"/>
          <w:szCs w:val="20"/>
        </w:rPr>
      </w:pPr>
      <w:r w:rsidRPr="00022D33">
        <w:rPr>
          <w:sz w:val="20"/>
          <w:szCs w:val="20"/>
        </w:rPr>
        <w:t>2015 figure includes non-cash impact of $52 million in relation to the State's financial contribution to the redevelopment of the Old Treasury Building Hotel.</w:t>
      </w:r>
    </w:p>
    <w:p w:rsidR="00617CB0" w:rsidRPr="00022D33" w:rsidRDefault="00617CB0" w:rsidP="00617CB0">
      <w:pPr>
        <w:pStyle w:val="BodyText"/>
        <w:numPr>
          <w:ilvl w:val="0"/>
          <w:numId w:val="9"/>
        </w:numPr>
        <w:rPr>
          <w:sz w:val="20"/>
          <w:szCs w:val="20"/>
        </w:rPr>
      </w:pPr>
      <w:r w:rsidRPr="00022D33">
        <w:rPr>
          <w:sz w:val="20"/>
          <w:szCs w:val="20"/>
        </w:rPr>
        <w:t>2015 figure includes non-cash impact of the accounting de-recognition of the Old Treasury Building Hotel.</w:t>
      </w:r>
    </w:p>
    <w:p w:rsidR="00617CB0" w:rsidRDefault="00617CB0" w:rsidP="00617CB0">
      <w:pPr>
        <w:pStyle w:val="Heading3"/>
        <w:sectPr w:rsidR="00617CB0" w:rsidSect="005F3639">
          <w:pgSz w:w="11906" w:h="16838" w:code="9"/>
          <w:pgMar w:top="1440" w:right="1440" w:bottom="1276" w:left="1440" w:header="0" w:footer="709" w:gutter="0"/>
          <w:cols w:space="708"/>
          <w:docGrid w:linePitch="360"/>
        </w:sectPr>
      </w:pPr>
    </w:p>
    <w:p w:rsidR="00617CB0" w:rsidRPr="00022D33" w:rsidRDefault="00617CB0" w:rsidP="00617CB0">
      <w:pPr>
        <w:pStyle w:val="Heading3"/>
      </w:pPr>
      <w:r w:rsidRPr="00022D33">
        <w:t>Note 13. Other expenses</w:t>
      </w:r>
    </w:p>
    <w:p w:rsidR="00617CB0" w:rsidRPr="00022D33" w:rsidRDefault="00196F4C" w:rsidP="00617CB0">
      <w:pPr>
        <w:pStyle w:val="Caption"/>
        <w:keepNext/>
        <w:spacing w:after="60"/>
        <w:rPr>
          <w:noProof/>
        </w:rPr>
      </w:pPr>
      <w:fldSimple w:instr=" SEQ Table \* ARABIC ">
        <w:r w:rsidR="00D8778B">
          <w:rPr>
            <w:noProof/>
          </w:rPr>
          <w:t>18</w:t>
        </w:r>
      </w:fldSimple>
      <w:r w:rsidR="00617CB0" w:rsidRPr="00022D33">
        <w:rPr>
          <w:noProof/>
        </w:rPr>
        <w:t xml:space="preserve"> Other expenses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rPr>
          <w:trHeight w:val="343"/>
        </w:trPr>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Minor equipment </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878</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647</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Employment on-costs </w:t>
            </w:r>
            <w:r w:rsidRPr="00022D33">
              <w:rPr>
                <w:vertAlign w:val="superscript"/>
              </w:rPr>
              <w:t>(a)</w:t>
            </w:r>
            <w:r w:rsidRPr="00022D33">
              <w:t xml:space="preserve"> </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(4)</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25</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Cost of goods sold </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138</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Audit fees</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378</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405</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Refund of revenues from prior years</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4</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Other  </w:t>
            </w:r>
            <w:r w:rsidRPr="00022D33">
              <w:rPr>
                <w:vertAlign w:val="superscript"/>
              </w:rPr>
              <w:t>(b)</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50,531</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319</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51,783</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1,538</w:t>
            </w:r>
          </w:p>
        </w:tc>
      </w:tr>
    </w:tbl>
    <w:p w:rsidR="00617CB0" w:rsidRPr="00022D33" w:rsidRDefault="00617CB0" w:rsidP="00617CB0">
      <w:pPr>
        <w:pStyle w:val="BodyText"/>
        <w:numPr>
          <w:ilvl w:val="0"/>
          <w:numId w:val="10"/>
        </w:numPr>
        <w:rPr>
          <w:sz w:val="20"/>
          <w:szCs w:val="20"/>
        </w:rPr>
      </w:pPr>
      <w:r w:rsidRPr="00022D33">
        <w:rPr>
          <w:sz w:val="20"/>
          <w:szCs w:val="20"/>
        </w:rPr>
        <w:t>Includes workers’ compensation insurance. The on-costs liability associated with the recognition of annual and long service leave liability is included at Note 31 ‘Provisions’. Superannuation contributions accrued as part of the provision for leave are employee benefits and are not included in employment on-costs. Refer also to Note 7 ‘Employee benefits expense’.</w:t>
      </w:r>
    </w:p>
    <w:p w:rsidR="00617CB0" w:rsidRPr="00022D33" w:rsidRDefault="00617CB0" w:rsidP="00617CB0">
      <w:pPr>
        <w:pStyle w:val="BodyText"/>
        <w:numPr>
          <w:ilvl w:val="0"/>
          <w:numId w:val="10"/>
        </w:numPr>
        <w:rPr>
          <w:sz w:val="20"/>
          <w:szCs w:val="20"/>
        </w:rPr>
      </w:pPr>
      <w:r w:rsidRPr="00022D33">
        <w:rPr>
          <w:sz w:val="20"/>
          <w:szCs w:val="20"/>
        </w:rPr>
        <w:t>The increase in other expenses for 2016 is as a result of decreases in the valuation of land and buildings. There were insufficient asset revaluation reserves in the Department’s equity reserves to absorb the value of the reduction for land and buildings.</w:t>
      </w:r>
    </w:p>
    <w:p w:rsidR="00617CB0" w:rsidRPr="00022D33" w:rsidRDefault="00617CB0" w:rsidP="00617CB0">
      <w:pPr>
        <w:pStyle w:val="Heading3"/>
      </w:pPr>
      <w:r w:rsidRPr="00022D33">
        <w:t>Note 14. Income</w:t>
      </w:r>
    </w:p>
    <w:p w:rsidR="00617CB0" w:rsidRPr="00022D33" w:rsidRDefault="00196F4C" w:rsidP="00617CB0">
      <w:pPr>
        <w:pStyle w:val="Caption"/>
        <w:keepNext/>
        <w:spacing w:after="60"/>
        <w:rPr>
          <w:noProof/>
        </w:rPr>
      </w:pPr>
      <w:fldSimple w:instr=" SEQ Table \* ARABIC ">
        <w:r w:rsidR="00D8778B">
          <w:rPr>
            <w:noProof/>
          </w:rPr>
          <w:t>19</w:t>
        </w:r>
      </w:fldSimple>
      <w:r w:rsidR="00617CB0" w:rsidRPr="00022D33">
        <w:rPr>
          <w:noProof/>
        </w:rPr>
        <w:t xml:space="preserve"> Income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rPr>
                <w:b w:val="0"/>
                <w:u w:val="single"/>
              </w:rPr>
            </w:pPr>
            <w:r w:rsidRPr="00022D33">
              <w:rPr>
                <w:b w:val="0"/>
                <w:u w:val="single"/>
              </w:rPr>
              <w:t>User charges and fees</w:t>
            </w:r>
          </w:p>
        </w:tc>
        <w:tc>
          <w:tcPr>
            <w:tcW w:w="1474" w:type="dxa"/>
            <w:tcBorders>
              <w:top w:val="nil"/>
              <w:left w:val="nil"/>
              <w:bottom w:val="nil"/>
              <w:right w:val="nil"/>
            </w:tcBorders>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Sales</w:t>
            </w:r>
          </w:p>
        </w:tc>
        <w:tc>
          <w:tcPr>
            <w:tcW w:w="1474" w:type="dxa"/>
            <w:tcBorders>
              <w:top w:val="nil"/>
              <w:left w:val="nil"/>
              <w:bottom w:val="nil"/>
              <w:right w:val="nil"/>
            </w:tcBorders>
          </w:tcPr>
          <w:p w:rsidR="00617CB0" w:rsidRPr="00022D33" w:rsidRDefault="00617CB0" w:rsidP="000D7011">
            <w:pPr>
              <w:pStyle w:val="Tabletext"/>
              <w:jc w:val="right"/>
            </w:pPr>
            <w:r w:rsidRPr="00022D33">
              <w:t>366</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1,106</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Rents for Government office accommodation</w:t>
            </w:r>
          </w:p>
        </w:tc>
        <w:tc>
          <w:tcPr>
            <w:tcW w:w="1474" w:type="dxa"/>
            <w:tcBorders>
              <w:top w:val="nil"/>
              <w:left w:val="nil"/>
              <w:bottom w:val="nil"/>
              <w:right w:val="nil"/>
            </w:tcBorders>
          </w:tcPr>
          <w:p w:rsidR="00617CB0" w:rsidRPr="00022D33" w:rsidRDefault="00617CB0" w:rsidP="000D7011">
            <w:pPr>
              <w:pStyle w:val="Tabletext"/>
              <w:jc w:val="right"/>
            </w:pPr>
            <w:r w:rsidRPr="00022D33">
              <w:t>259,862</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242,622</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Managed building works </w:t>
            </w:r>
          </w:p>
        </w:tc>
        <w:tc>
          <w:tcPr>
            <w:tcW w:w="1474" w:type="dxa"/>
            <w:tcBorders>
              <w:top w:val="nil"/>
              <w:left w:val="nil"/>
              <w:bottom w:val="nil"/>
              <w:right w:val="nil"/>
            </w:tcBorders>
          </w:tcPr>
          <w:p w:rsidR="00617CB0" w:rsidRPr="00022D33" w:rsidRDefault="00617CB0" w:rsidP="000D7011">
            <w:pPr>
              <w:pStyle w:val="Tabletext"/>
              <w:jc w:val="right"/>
            </w:pPr>
            <w:r w:rsidRPr="00022D33">
              <w:t>620,579</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821,573</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Vehicle fleet lease rental </w:t>
            </w:r>
          </w:p>
        </w:tc>
        <w:tc>
          <w:tcPr>
            <w:tcW w:w="1474" w:type="dxa"/>
            <w:tcBorders>
              <w:top w:val="nil"/>
              <w:left w:val="nil"/>
              <w:bottom w:val="nil"/>
              <w:right w:val="nil"/>
            </w:tcBorders>
          </w:tcPr>
          <w:p w:rsidR="00617CB0" w:rsidRPr="00022D33" w:rsidRDefault="00617CB0" w:rsidP="000D7011">
            <w:pPr>
              <w:pStyle w:val="Tabletext"/>
              <w:jc w:val="right"/>
            </w:pPr>
            <w:r w:rsidRPr="00022D33">
              <w:t>64,657</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64,927</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Other</w:t>
            </w:r>
          </w:p>
        </w:tc>
        <w:tc>
          <w:tcPr>
            <w:tcW w:w="1474" w:type="dxa"/>
            <w:tcBorders>
              <w:top w:val="nil"/>
              <w:left w:val="nil"/>
              <w:bottom w:val="nil"/>
              <w:right w:val="nil"/>
            </w:tcBorders>
          </w:tcPr>
          <w:p w:rsidR="00617CB0" w:rsidRPr="00022D33" w:rsidRDefault="00617CB0" w:rsidP="000D7011">
            <w:pPr>
              <w:pStyle w:val="Tabletext"/>
              <w:jc w:val="right"/>
            </w:pPr>
            <w:r w:rsidRPr="00022D33">
              <w:t>16,454</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19,150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single" w:sz="4" w:space="0" w:color="auto"/>
              <w:left w:val="nil"/>
              <w:bottom w:val="single" w:sz="4" w:space="0" w:color="auto"/>
              <w:right w:val="nil"/>
            </w:tcBorders>
          </w:tcPr>
          <w:p w:rsidR="00617CB0" w:rsidRPr="00022D33" w:rsidRDefault="00617CB0" w:rsidP="000D7011">
            <w:pPr>
              <w:pStyle w:val="Tableboldedtext"/>
              <w:jc w:val="right"/>
            </w:pPr>
            <w:r w:rsidRPr="00022D33">
              <w:t>961,918</w:t>
            </w:r>
          </w:p>
        </w:tc>
        <w:tc>
          <w:tcPr>
            <w:tcW w:w="1474"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1,149,378</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Commonwealth grants and contributions</w:t>
            </w:r>
          </w:p>
        </w:tc>
        <w:tc>
          <w:tcPr>
            <w:tcW w:w="1474" w:type="dxa"/>
            <w:tcBorders>
              <w:top w:val="single" w:sz="4" w:space="0" w:color="auto"/>
              <w:left w:val="nil"/>
              <w:bottom w:val="nil"/>
              <w:right w:val="nil"/>
            </w:tcBorders>
          </w:tcPr>
          <w:p w:rsidR="00617CB0" w:rsidRPr="00022D33" w:rsidRDefault="00617CB0" w:rsidP="000D7011">
            <w:pPr>
              <w:pStyle w:val="Tabletext"/>
              <w:jc w:val="right"/>
            </w:pPr>
          </w:p>
        </w:tc>
        <w:tc>
          <w:tcPr>
            <w:tcW w:w="1474" w:type="dxa"/>
            <w:tcBorders>
              <w:top w:val="single" w:sz="4" w:space="0" w:color="auto"/>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Commonwealth grants and contributions</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1,684</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1,376</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p>
        </w:tc>
        <w:tc>
          <w:tcPr>
            <w:tcW w:w="1474" w:type="dxa"/>
            <w:tcBorders>
              <w:top w:val="single" w:sz="4" w:space="0" w:color="auto"/>
              <w:left w:val="nil"/>
              <w:bottom w:val="single" w:sz="4" w:space="0" w:color="auto"/>
              <w:right w:val="nil"/>
            </w:tcBorders>
          </w:tcPr>
          <w:p w:rsidR="00617CB0" w:rsidRPr="00022D33" w:rsidRDefault="00617CB0" w:rsidP="000D7011">
            <w:pPr>
              <w:pStyle w:val="Tableboldedtext"/>
              <w:jc w:val="right"/>
            </w:pPr>
            <w:r w:rsidRPr="00022D33">
              <w:t>1,684</w:t>
            </w:r>
          </w:p>
        </w:tc>
        <w:tc>
          <w:tcPr>
            <w:tcW w:w="1474"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1,376</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Interest revenue</w:t>
            </w:r>
          </w:p>
        </w:tc>
        <w:tc>
          <w:tcPr>
            <w:tcW w:w="1474" w:type="dxa"/>
            <w:tcBorders>
              <w:top w:val="single" w:sz="4" w:space="0" w:color="auto"/>
              <w:left w:val="nil"/>
              <w:bottom w:val="nil"/>
              <w:right w:val="nil"/>
            </w:tcBorders>
          </w:tcPr>
          <w:p w:rsidR="00617CB0" w:rsidRPr="00022D33" w:rsidRDefault="00617CB0" w:rsidP="000D7011">
            <w:pPr>
              <w:pStyle w:val="Tabletext"/>
              <w:jc w:val="right"/>
            </w:pPr>
          </w:p>
        </w:tc>
        <w:tc>
          <w:tcPr>
            <w:tcW w:w="1474" w:type="dxa"/>
            <w:tcBorders>
              <w:top w:val="single" w:sz="4" w:space="0" w:color="auto"/>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Interest revenue</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219</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262</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p>
        </w:tc>
        <w:tc>
          <w:tcPr>
            <w:tcW w:w="1474" w:type="dxa"/>
            <w:tcBorders>
              <w:top w:val="single" w:sz="4" w:space="0" w:color="auto"/>
              <w:left w:val="nil"/>
              <w:bottom w:val="single" w:sz="4" w:space="0" w:color="auto"/>
              <w:right w:val="nil"/>
            </w:tcBorders>
          </w:tcPr>
          <w:p w:rsidR="00617CB0" w:rsidRPr="00022D33" w:rsidRDefault="00617CB0" w:rsidP="000D7011">
            <w:pPr>
              <w:pStyle w:val="Tableboldedtext"/>
              <w:jc w:val="right"/>
            </w:pPr>
            <w:r w:rsidRPr="00022D33">
              <w:t>219</w:t>
            </w:r>
          </w:p>
        </w:tc>
        <w:tc>
          <w:tcPr>
            <w:tcW w:w="1474"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262</w:t>
            </w:r>
          </w:p>
        </w:tc>
      </w:tr>
    </w:tbl>
    <w:p w:rsidR="00617CB0" w:rsidRDefault="00617CB0" w:rsidP="00617CB0">
      <w:pPr>
        <w:sectPr w:rsidR="00617CB0" w:rsidSect="005F3639">
          <w:pgSz w:w="11906" w:h="16838" w:code="9"/>
          <w:pgMar w:top="1440" w:right="1440" w:bottom="1276" w:left="1440" w:header="0"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8872BC" w:rsidTr="000D7011">
        <w:tc>
          <w:tcPr>
            <w:tcW w:w="5629" w:type="dxa"/>
            <w:tcBorders>
              <w:top w:val="nil"/>
              <w:left w:val="nil"/>
              <w:bottom w:val="nil"/>
              <w:right w:val="nil"/>
            </w:tcBorders>
            <w:shd w:val="clear" w:color="auto" w:fill="auto"/>
          </w:tcPr>
          <w:p w:rsidR="00617CB0" w:rsidRPr="008872BC" w:rsidRDefault="00617CB0" w:rsidP="000D7011">
            <w:pPr>
              <w:pStyle w:val="Tabletext"/>
              <w:jc w:val="right"/>
              <w:rPr>
                <w:b/>
                <w:u w:val="single"/>
              </w:rPr>
            </w:pPr>
          </w:p>
        </w:tc>
        <w:tc>
          <w:tcPr>
            <w:tcW w:w="1474" w:type="dxa"/>
            <w:tcBorders>
              <w:top w:val="nil"/>
              <w:left w:val="nil"/>
              <w:bottom w:val="nil"/>
              <w:right w:val="nil"/>
            </w:tcBorders>
          </w:tcPr>
          <w:p w:rsidR="00617CB0" w:rsidRPr="008872BC" w:rsidRDefault="00617CB0" w:rsidP="000D7011">
            <w:pPr>
              <w:pStyle w:val="Tabletext"/>
              <w:jc w:val="right"/>
              <w:rPr>
                <w:b/>
              </w:rPr>
            </w:pPr>
            <w:r w:rsidRPr="008872BC">
              <w:rPr>
                <w:b/>
              </w:rPr>
              <w:t>2016</w:t>
            </w:r>
          </w:p>
          <w:p w:rsidR="00617CB0" w:rsidRPr="008872BC" w:rsidRDefault="00617CB0" w:rsidP="000D7011">
            <w:pPr>
              <w:pStyle w:val="Tabletext"/>
              <w:jc w:val="right"/>
              <w:rPr>
                <w:b/>
              </w:rPr>
            </w:pPr>
            <w:r w:rsidRPr="008872BC">
              <w:rPr>
                <w:b/>
              </w:rPr>
              <w:t>$000</w:t>
            </w:r>
          </w:p>
        </w:tc>
        <w:tc>
          <w:tcPr>
            <w:tcW w:w="1474" w:type="dxa"/>
            <w:tcBorders>
              <w:top w:val="nil"/>
              <w:left w:val="nil"/>
              <w:bottom w:val="nil"/>
              <w:right w:val="nil"/>
            </w:tcBorders>
            <w:shd w:val="clear" w:color="auto" w:fill="auto"/>
          </w:tcPr>
          <w:p w:rsidR="00617CB0" w:rsidRPr="008872BC" w:rsidRDefault="00617CB0" w:rsidP="000D7011">
            <w:pPr>
              <w:pStyle w:val="Tabletext"/>
              <w:jc w:val="right"/>
              <w:rPr>
                <w:b/>
              </w:rPr>
            </w:pPr>
            <w:r w:rsidRPr="008872BC">
              <w:rPr>
                <w:b/>
              </w:rPr>
              <w:t>2015</w:t>
            </w:r>
          </w:p>
          <w:p w:rsidR="00617CB0" w:rsidRPr="008872BC" w:rsidRDefault="00617CB0" w:rsidP="000D7011">
            <w:pPr>
              <w:pStyle w:val="Tabletext"/>
              <w:jc w:val="right"/>
              <w:rPr>
                <w:b/>
              </w:rPr>
            </w:pPr>
            <w:r w:rsidRPr="008872BC">
              <w:rPr>
                <w:b/>
              </w:rPr>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Other revenue</w:t>
            </w:r>
          </w:p>
        </w:tc>
        <w:tc>
          <w:tcPr>
            <w:tcW w:w="1474" w:type="dxa"/>
            <w:tcBorders>
              <w:top w:val="nil"/>
              <w:left w:val="nil"/>
              <w:bottom w:val="nil"/>
              <w:right w:val="nil"/>
            </w:tcBorders>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Recoups</w:t>
            </w:r>
          </w:p>
        </w:tc>
        <w:tc>
          <w:tcPr>
            <w:tcW w:w="1474" w:type="dxa"/>
            <w:tcBorders>
              <w:top w:val="nil"/>
              <w:left w:val="nil"/>
              <w:bottom w:val="nil"/>
              <w:right w:val="nil"/>
            </w:tcBorders>
          </w:tcPr>
          <w:p w:rsidR="00617CB0" w:rsidRPr="00022D33" w:rsidRDefault="00617CB0" w:rsidP="000D7011">
            <w:pPr>
              <w:pStyle w:val="Tabletext"/>
              <w:jc w:val="right"/>
            </w:pPr>
            <w:r w:rsidRPr="00022D33">
              <w:t>5,874</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6,161</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Government vehicle schemes (GVS-SOVS)</w:t>
            </w:r>
          </w:p>
        </w:tc>
        <w:tc>
          <w:tcPr>
            <w:tcW w:w="1474" w:type="dxa"/>
            <w:tcBorders>
              <w:top w:val="nil"/>
              <w:left w:val="nil"/>
              <w:bottom w:val="nil"/>
              <w:right w:val="nil"/>
            </w:tcBorders>
          </w:tcPr>
          <w:p w:rsidR="00617CB0" w:rsidRPr="00022D33" w:rsidRDefault="00617CB0" w:rsidP="000D7011">
            <w:pPr>
              <w:pStyle w:val="Tabletext"/>
              <w:jc w:val="right"/>
            </w:pPr>
            <w:r w:rsidRPr="00022D33">
              <w:t>113</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91</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Other</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2,456</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1,767</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single" w:sz="4" w:space="0" w:color="auto"/>
              <w:left w:val="nil"/>
              <w:bottom w:val="single" w:sz="4" w:space="0" w:color="auto"/>
              <w:right w:val="nil"/>
            </w:tcBorders>
          </w:tcPr>
          <w:p w:rsidR="00617CB0" w:rsidRPr="00022D33" w:rsidRDefault="00617CB0" w:rsidP="000D7011">
            <w:pPr>
              <w:pStyle w:val="Tableboldedtext"/>
              <w:jc w:val="right"/>
            </w:pPr>
            <w:r w:rsidRPr="00022D33">
              <w:t>8,443</w:t>
            </w:r>
          </w:p>
        </w:tc>
        <w:tc>
          <w:tcPr>
            <w:tcW w:w="1474"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8,018</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single" w:sz="4" w:space="0" w:color="auto"/>
              <w:left w:val="nil"/>
              <w:bottom w:val="double" w:sz="4" w:space="0" w:color="auto"/>
              <w:right w:val="nil"/>
            </w:tcBorders>
          </w:tcPr>
          <w:p w:rsidR="00617CB0" w:rsidRPr="00022D33" w:rsidRDefault="00617CB0" w:rsidP="000D7011">
            <w:pPr>
              <w:pStyle w:val="Tableboldedtext"/>
              <w:jc w:val="right"/>
            </w:pPr>
            <w:r w:rsidRPr="00022D33">
              <w:t>972,264</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1,159,034</w:t>
            </w:r>
          </w:p>
        </w:tc>
      </w:tr>
    </w:tbl>
    <w:p w:rsidR="00617CB0" w:rsidRPr="00022D33" w:rsidRDefault="00617CB0" w:rsidP="00617CB0">
      <w:pPr>
        <w:pStyle w:val="Heading3"/>
      </w:pPr>
      <w:r w:rsidRPr="00022D33">
        <w:t>Note 15. Net gain on disposal of non</w:t>
      </w:r>
      <w:r w:rsidRPr="00022D33">
        <w:rPr>
          <w:rFonts w:ascii="MS Gothic" w:eastAsia="MS Gothic" w:hAnsi="MS Gothic" w:cs="MS Gothic" w:hint="eastAsia"/>
        </w:rPr>
        <w:t>‑</w:t>
      </w:r>
      <w:r w:rsidRPr="00022D33">
        <w:t>current assets</w:t>
      </w:r>
    </w:p>
    <w:p w:rsidR="00617CB0" w:rsidRPr="00022D33" w:rsidRDefault="00196F4C" w:rsidP="00617CB0">
      <w:pPr>
        <w:pStyle w:val="Caption"/>
        <w:keepNext/>
        <w:spacing w:after="60"/>
        <w:rPr>
          <w:noProof/>
        </w:rPr>
      </w:pPr>
      <w:fldSimple w:instr=" SEQ Table \* ARABIC ">
        <w:r w:rsidR="00D8778B">
          <w:rPr>
            <w:noProof/>
          </w:rPr>
          <w:t>20</w:t>
        </w:r>
      </w:fldSimple>
      <w:r w:rsidR="00617CB0" w:rsidRPr="00022D33">
        <w:rPr>
          <w:noProof/>
        </w:rPr>
        <w:t xml:space="preserve"> Net gain on disposal of non</w:t>
      </w:r>
      <w:r w:rsidR="00617CB0" w:rsidRPr="00EA0B8C">
        <w:rPr>
          <w:rFonts w:hint="eastAsia"/>
          <w:noProof/>
        </w:rPr>
        <w:t>‑</w:t>
      </w:r>
      <w:r w:rsidR="00617CB0" w:rsidRPr="00022D33">
        <w:rPr>
          <w:noProof/>
        </w:rPr>
        <w:t>current assets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italics"/>
              <w:rPr>
                <w:b/>
                <w:i w:val="0"/>
              </w:rPr>
            </w:pPr>
            <w:r w:rsidRPr="00022D33">
              <w:rPr>
                <w:b/>
                <w:i w:val="0"/>
              </w:rPr>
              <w:t>Gain on disposal of non-current assets</w:t>
            </w:r>
          </w:p>
        </w:tc>
        <w:tc>
          <w:tcPr>
            <w:tcW w:w="1474" w:type="dxa"/>
            <w:tcBorders>
              <w:top w:val="nil"/>
              <w:left w:val="nil"/>
              <w:bottom w:val="nil"/>
              <w:right w:val="nil"/>
            </w:tcBorders>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italics"/>
              <w:rPr>
                <w:i w:val="0"/>
                <w:u w:val="single"/>
              </w:rPr>
            </w:pPr>
            <w:r w:rsidRPr="00022D33">
              <w:rPr>
                <w:i w:val="0"/>
                <w:u w:val="single"/>
              </w:rPr>
              <w:t>Net proceeds from disposal of non-current assets</w:t>
            </w:r>
          </w:p>
        </w:tc>
        <w:tc>
          <w:tcPr>
            <w:tcW w:w="1474" w:type="dxa"/>
            <w:tcBorders>
              <w:top w:val="nil"/>
              <w:left w:val="nil"/>
              <w:bottom w:val="nil"/>
              <w:right w:val="nil"/>
            </w:tcBorders>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italics"/>
              <w:rPr>
                <w:i w:val="0"/>
              </w:rPr>
            </w:pPr>
            <w:r w:rsidRPr="00022D33">
              <w:rPr>
                <w:i w:val="0"/>
              </w:rPr>
              <w:t>Sunset Hospital - land</w:t>
            </w:r>
          </w:p>
        </w:tc>
        <w:tc>
          <w:tcPr>
            <w:tcW w:w="1474" w:type="dxa"/>
            <w:tcBorders>
              <w:top w:val="nil"/>
              <w:left w:val="nil"/>
              <w:bottom w:val="nil"/>
              <w:right w:val="nil"/>
            </w:tcBorders>
          </w:tcPr>
          <w:p w:rsidR="00617CB0" w:rsidRPr="00022D33" w:rsidRDefault="00617CB0" w:rsidP="000D7011">
            <w:pPr>
              <w:pStyle w:val="Tabletext"/>
              <w:jc w:val="right"/>
            </w:pPr>
            <w:r w:rsidRPr="00022D33">
              <w:t>-</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8,276</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Motor vehicles</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40,212</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39,332</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italics"/>
              <w:rPr>
                <w:i w:val="0"/>
                <w:u w:val="single"/>
              </w:rPr>
            </w:pPr>
            <w:r w:rsidRPr="00022D33">
              <w:rPr>
                <w:i w:val="0"/>
                <w:u w:val="single"/>
              </w:rPr>
              <w:t>Carrying amount of non-current assets disposed</w:t>
            </w:r>
          </w:p>
        </w:tc>
        <w:tc>
          <w:tcPr>
            <w:tcW w:w="1474" w:type="dxa"/>
            <w:tcBorders>
              <w:top w:val="nil"/>
              <w:left w:val="nil"/>
              <w:bottom w:val="nil"/>
              <w:right w:val="nil"/>
            </w:tcBorders>
          </w:tcPr>
          <w:p w:rsidR="00617CB0" w:rsidRPr="00022D33" w:rsidRDefault="00617CB0" w:rsidP="000D7011">
            <w:pPr>
              <w:pStyle w:val="Tabletext"/>
              <w:jc w:val="right"/>
              <w:rPr>
                <w:u w:val="single"/>
              </w:rPr>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rPr>
                <w:u w:val="single"/>
              </w:rPr>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italics"/>
              <w:rPr>
                <w:i w:val="0"/>
              </w:rPr>
            </w:pPr>
            <w:r w:rsidRPr="00022D33">
              <w:rPr>
                <w:i w:val="0"/>
              </w:rPr>
              <w:t>Sunset Hospital – land</w:t>
            </w:r>
          </w:p>
        </w:tc>
        <w:tc>
          <w:tcPr>
            <w:tcW w:w="1474" w:type="dxa"/>
            <w:tcBorders>
              <w:top w:val="nil"/>
              <w:left w:val="nil"/>
              <w:bottom w:val="nil"/>
              <w:right w:val="nil"/>
            </w:tcBorders>
          </w:tcPr>
          <w:p w:rsidR="00617CB0" w:rsidRPr="00022D33" w:rsidRDefault="00617CB0" w:rsidP="000D7011">
            <w:pPr>
              <w:pStyle w:val="Tabletext"/>
              <w:jc w:val="right"/>
            </w:pPr>
            <w:r w:rsidRPr="00022D33">
              <w:t>-</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7,450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Motor vehicles</w:t>
            </w:r>
          </w:p>
        </w:tc>
        <w:tc>
          <w:tcPr>
            <w:tcW w:w="1474" w:type="dxa"/>
            <w:tcBorders>
              <w:top w:val="nil"/>
              <w:left w:val="nil"/>
              <w:bottom w:val="nil"/>
              <w:right w:val="nil"/>
            </w:tcBorders>
          </w:tcPr>
          <w:p w:rsidR="00617CB0" w:rsidRPr="00022D33" w:rsidRDefault="00617CB0" w:rsidP="000D7011">
            <w:pPr>
              <w:pStyle w:val="Tabletext"/>
              <w:jc w:val="right"/>
            </w:pPr>
            <w:r w:rsidRPr="00022D33">
              <w:t>39,546</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38,736</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single" w:sz="4" w:space="0" w:color="auto"/>
              <w:left w:val="nil"/>
              <w:bottom w:val="single" w:sz="4" w:space="0" w:color="auto"/>
              <w:right w:val="nil"/>
            </w:tcBorders>
          </w:tcPr>
          <w:p w:rsidR="00617CB0" w:rsidRPr="00022D33" w:rsidRDefault="00617CB0" w:rsidP="000D7011">
            <w:pPr>
              <w:pStyle w:val="Tableboldedtext"/>
              <w:jc w:val="right"/>
            </w:pPr>
            <w:r w:rsidRPr="00022D33">
              <w:t>666</w:t>
            </w:r>
          </w:p>
        </w:tc>
        <w:tc>
          <w:tcPr>
            <w:tcW w:w="1474"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1,422</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b/>
              </w:rPr>
            </w:pPr>
            <w:r w:rsidRPr="00022D33">
              <w:rPr>
                <w:b/>
              </w:rPr>
              <w:t>Loss on disposal of non-current assets</w:t>
            </w:r>
          </w:p>
        </w:tc>
        <w:tc>
          <w:tcPr>
            <w:tcW w:w="1474" w:type="dxa"/>
            <w:tcBorders>
              <w:top w:val="nil"/>
              <w:left w:val="nil"/>
              <w:bottom w:val="nil"/>
              <w:right w:val="nil"/>
            </w:tcBorders>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Net proceeds from disposal of non-current assets</w:t>
            </w:r>
          </w:p>
        </w:tc>
        <w:tc>
          <w:tcPr>
            <w:tcW w:w="1474" w:type="dxa"/>
            <w:tcBorders>
              <w:top w:val="nil"/>
              <w:left w:val="nil"/>
              <w:bottom w:val="nil"/>
              <w:right w:val="nil"/>
            </w:tcBorders>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Sunset Hospital – building</w:t>
            </w:r>
          </w:p>
        </w:tc>
        <w:tc>
          <w:tcPr>
            <w:tcW w:w="1474" w:type="dxa"/>
            <w:tcBorders>
              <w:top w:val="nil"/>
              <w:left w:val="nil"/>
              <w:bottom w:val="nil"/>
              <w:right w:val="nil"/>
            </w:tcBorders>
          </w:tcPr>
          <w:p w:rsidR="00617CB0" w:rsidRPr="00022D33" w:rsidRDefault="00617CB0" w:rsidP="000D7011">
            <w:pPr>
              <w:pStyle w:val="Tabletext"/>
              <w:jc w:val="right"/>
            </w:pPr>
            <w:r w:rsidRPr="00022D33">
              <w:t>-</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28</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Carrying amount of non-current assets disposed</w:t>
            </w:r>
          </w:p>
        </w:tc>
        <w:tc>
          <w:tcPr>
            <w:tcW w:w="1474" w:type="dxa"/>
            <w:tcBorders>
              <w:top w:val="nil"/>
              <w:left w:val="nil"/>
              <w:bottom w:val="nil"/>
              <w:right w:val="nil"/>
            </w:tcBorders>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Office equipments</w:t>
            </w:r>
          </w:p>
        </w:tc>
        <w:tc>
          <w:tcPr>
            <w:tcW w:w="1474" w:type="dxa"/>
            <w:tcBorders>
              <w:top w:val="nil"/>
              <w:left w:val="nil"/>
              <w:bottom w:val="nil"/>
              <w:right w:val="nil"/>
            </w:tcBorders>
          </w:tcPr>
          <w:p w:rsidR="00617CB0" w:rsidRPr="00022D33" w:rsidRDefault="00617CB0" w:rsidP="000D7011">
            <w:pPr>
              <w:pStyle w:val="Tabletext"/>
              <w:jc w:val="right"/>
            </w:pPr>
            <w:r w:rsidRPr="00022D33">
              <w:t>1</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Sunset Hospital – building</w:t>
            </w:r>
          </w:p>
        </w:tc>
        <w:tc>
          <w:tcPr>
            <w:tcW w:w="1474" w:type="dxa"/>
            <w:tcBorders>
              <w:top w:val="nil"/>
              <w:left w:val="nil"/>
              <w:bottom w:val="nil"/>
              <w:right w:val="nil"/>
            </w:tcBorders>
          </w:tcPr>
          <w:p w:rsidR="00617CB0" w:rsidRPr="00022D33" w:rsidRDefault="00617CB0" w:rsidP="000D7011">
            <w:pPr>
              <w:pStyle w:val="Tabletext"/>
              <w:jc w:val="right"/>
            </w:pPr>
            <w:r w:rsidRPr="00022D33">
              <w:t>-</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30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p>
        </w:tc>
        <w:tc>
          <w:tcPr>
            <w:tcW w:w="1474" w:type="dxa"/>
            <w:tcBorders>
              <w:top w:val="single" w:sz="4" w:space="0" w:color="auto"/>
              <w:left w:val="nil"/>
              <w:bottom w:val="single" w:sz="4" w:space="0" w:color="auto"/>
              <w:right w:val="nil"/>
            </w:tcBorders>
          </w:tcPr>
          <w:p w:rsidR="00617CB0" w:rsidRPr="00022D33" w:rsidRDefault="00617CB0" w:rsidP="000D7011">
            <w:pPr>
              <w:pStyle w:val="Tabletext"/>
              <w:jc w:val="right"/>
            </w:pPr>
            <w:r w:rsidRPr="00022D33">
              <w:t>1</w:t>
            </w:r>
          </w:p>
        </w:tc>
        <w:tc>
          <w:tcPr>
            <w:tcW w:w="1474"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pPr>
            <w:r w:rsidRPr="00022D33">
              <w:t>2</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r w:rsidRPr="00022D33">
              <w:t>Net gain on disposal of non-current assets</w:t>
            </w:r>
          </w:p>
        </w:tc>
        <w:tc>
          <w:tcPr>
            <w:tcW w:w="1474" w:type="dxa"/>
            <w:tcBorders>
              <w:top w:val="single" w:sz="4" w:space="0" w:color="auto"/>
              <w:left w:val="nil"/>
              <w:bottom w:val="double" w:sz="4" w:space="0" w:color="auto"/>
              <w:right w:val="nil"/>
            </w:tcBorders>
          </w:tcPr>
          <w:p w:rsidR="00617CB0" w:rsidRPr="00022D33" w:rsidRDefault="00617CB0" w:rsidP="000D7011">
            <w:pPr>
              <w:pStyle w:val="Tableboldedtext"/>
              <w:jc w:val="right"/>
            </w:pPr>
            <w:r w:rsidRPr="00022D33">
              <w:t>665</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1,420</w:t>
            </w:r>
          </w:p>
        </w:tc>
      </w:tr>
    </w:tbl>
    <w:p w:rsidR="00617CB0" w:rsidRPr="00022D33" w:rsidRDefault="00617CB0" w:rsidP="00617CB0">
      <w:pPr>
        <w:pStyle w:val="Heading3"/>
      </w:pPr>
      <w:r w:rsidRPr="00022D33">
        <w:t>Note 16. Other gains</w:t>
      </w:r>
    </w:p>
    <w:p w:rsidR="00617CB0" w:rsidRPr="00022D33" w:rsidRDefault="00617CB0" w:rsidP="00617CB0">
      <w:pPr>
        <w:pStyle w:val="BodyText"/>
      </w:pPr>
      <w:r w:rsidRPr="00022D33">
        <w:t>There were no gains on the revaluation of buildings for the year.</w:t>
      </w:r>
    </w:p>
    <w:p w:rsidR="00617CB0" w:rsidRDefault="00617CB0" w:rsidP="00617CB0">
      <w:pPr>
        <w:pStyle w:val="Heading3"/>
        <w:sectPr w:rsidR="00617CB0" w:rsidSect="005F3639">
          <w:pgSz w:w="11906" w:h="16838" w:code="9"/>
          <w:pgMar w:top="1440" w:right="1440" w:bottom="1276" w:left="1440" w:header="0" w:footer="709" w:gutter="0"/>
          <w:cols w:space="708"/>
          <w:docGrid w:linePitch="360"/>
        </w:sectPr>
      </w:pPr>
    </w:p>
    <w:p w:rsidR="00617CB0" w:rsidRPr="00022D33" w:rsidRDefault="00617CB0" w:rsidP="00617CB0">
      <w:pPr>
        <w:pStyle w:val="Heading3"/>
      </w:pPr>
      <w:r w:rsidRPr="00022D33">
        <w:t>Note 17. Income from State Government</w:t>
      </w:r>
    </w:p>
    <w:p w:rsidR="00617CB0" w:rsidRPr="00022D33" w:rsidRDefault="00617CB0" w:rsidP="00617CB0">
      <w:pPr>
        <w:pStyle w:val="Caption"/>
        <w:keepNext/>
        <w:spacing w:after="60"/>
        <w:rPr>
          <w:noProof/>
        </w:rPr>
      </w:pPr>
      <w:r w:rsidRPr="00022D33">
        <w:rPr>
          <w:noProof/>
        </w:rPr>
        <w:fldChar w:fldCharType="begin"/>
      </w:r>
      <w:r w:rsidRPr="00022D33">
        <w:rPr>
          <w:noProof/>
        </w:rPr>
        <w:instrText xml:space="preserve"> SEQ Table \* ARABIC </w:instrText>
      </w:r>
      <w:r w:rsidRPr="00022D33">
        <w:rPr>
          <w:noProof/>
        </w:rPr>
        <w:fldChar w:fldCharType="separate"/>
      </w:r>
      <w:r w:rsidR="00D8778B">
        <w:rPr>
          <w:noProof/>
        </w:rPr>
        <w:t>21</w:t>
      </w:r>
      <w:r w:rsidRPr="00022D33">
        <w:rPr>
          <w:noProof/>
        </w:rPr>
        <w:fldChar w:fldCharType="end"/>
      </w:r>
      <w:r w:rsidRPr="00022D33">
        <w:rPr>
          <w:noProof/>
        </w:rPr>
        <w:t xml:space="preserve"> Income from State Government</w:t>
      </w:r>
    </w:p>
    <w:tbl>
      <w:tblPr>
        <w:tblW w:w="0" w:type="auto"/>
        <w:tblLook w:val="04A0" w:firstRow="1" w:lastRow="0" w:firstColumn="1" w:lastColumn="0" w:noHBand="0" w:noVBand="1"/>
      </w:tblPr>
      <w:tblGrid>
        <w:gridCol w:w="5629"/>
        <w:gridCol w:w="1474"/>
        <w:gridCol w:w="1474"/>
      </w:tblGrid>
      <w:tr w:rsidR="00617CB0" w:rsidRPr="00022D33" w:rsidTr="000D7011">
        <w:tc>
          <w:tcPr>
            <w:tcW w:w="5629" w:type="dxa"/>
            <w:shd w:val="clear" w:color="auto" w:fill="auto"/>
          </w:tcPr>
          <w:p w:rsidR="00617CB0" w:rsidRPr="00022D33" w:rsidRDefault="00617CB0" w:rsidP="000D7011">
            <w:pPr>
              <w:pStyle w:val="Tabletext"/>
            </w:pPr>
          </w:p>
        </w:tc>
        <w:tc>
          <w:tcPr>
            <w:tcW w:w="1474" w:type="dxa"/>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shd w:val="clear" w:color="auto" w:fill="auto"/>
          </w:tcPr>
          <w:p w:rsidR="00617CB0" w:rsidRPr="00022D33" w:rsidRDefault="00617CB0" w:rsidP="000D7011">
            <w:pPr>
              <w:pStyle w:val="Tabletext"/>
            </w:pPr>
            <w:r w:rsidRPr="00022D33">
              <w:t>Appropriation received during the period:</w:t>
            </w:r>
          </w:p>
        </w:tc>
        <w:tc>
          <w:tcPr>
            <w:tcW w:w="1474" w:type="dxa"/>
          </w:tcPr>
          <w:p w:rsidR="00617CB0" w:rsidRPr="00022D33" w:rsidRDefault="00617CB0" w:rsidP="000D7011">
            <w:pPr>
              <w:pStyle w:val="Tabletext"/>
              <w:jc w:val="right"/>
            </w:pPr>
          </w:p>
        </w:tc>
        <w:tc>
          <w:tcPr>
            <w:tcW w:w="1474" w:type="dxa"/>
            <w:shd w:val="clear" w:color="auto" w:fill="auto"/>
          </w:tcPr>
          <w:p w:rsidR="00617CB0" w:rsidRPr="00022D33" w:rsidRDefault="00617CB0" w:rsidP="000D7011">
            <w:pPr>
              <w:pStyle w:val="Tabletext"/>
              <w:jc w:val="right"/>
            </w:pPr>
          </w:p>
        </w:tc>
      </w:tr>
      <w:tr w:rsidR="00617CB0" w:rsidRPr="00022D33" w:rsidTr="000D7011">
        <w:tc>
          <w:tcPr>
            <w:tcW w:w="5629" w:type="dxa"/>
            <w:shd w:val="clear" w:color="auto" w:fill="auto"/>
          </w:tcPr>
          <w:p w:rsidR="00617CB0" w:rsidRPr="00022D33" w:rsidRDefault="00617CB0" w:rsidP="000D7011">
            <w:pPr>
              <w:pStyle w:val="Tabletext"/>
            </w:pPr>
            <w:r w:rsidRPr="00022D33">
              <w:t xml:space="preserve">Service appropriations </w:t>
            </w:r>
            <w:r w:rsidRPr="00022D33">
              <w:rPr>
                <w:vertAlign w:val="superscript"/>
              </w:rPr>
              <w:t>(a)</w:t>
            </w:r>
          </w:p>
        </w:tc>
        <w:tc>
          <w:tcPr>
            <w:tcW w:w="1474" w:type="dxa"/>
          </w:tcPr>
          <w:p w:rsidR="00617CB0" w:rsidRPr="00022D33" w:rsidRDefault="00617CB0" w:rsidP="000D7011">
            <w:pPr>
              <w:pStyle w:val="Tabletext"/>
              <w:jc w:val="right"/>
            </w:pPr>
            <w:r w:rsidRPr="00022D33">
              <w:t>188,932</w:t>
            </w:r>
          </w:p>
        </w:tc>
        <w:tc>
          <w:tcPr>
            <w:tcW w:w="1474" w:type="dxa"/>
            <w:shd w:val="clear" w:color="auto" w:fill="auto"/>
          </w:tcPr>
          <w:p w:rsidR="00617CB0" w:rsidRPr="00022D33" w:rsidRDefault="00617CB0" w:rsidP="000D7011">
            <w:pPr>
              <w:pStyle w:val="Tabletext"/>
              <w:jc w:val="right"/>
            </w:pPr>
            <w:r w:rsidRPr="00022D33">
              <w:t>178,026</w:t>
            </w:r>
          </w:p>
        </w:tc>
      </w:tr>
      <w:tr w:rsidR="00617CB0" w:rsidRPr="00022D33" w:rsidTr="000D7011">
        <w:tc>
          <w:tcPr>
            <w:tcW w:w="5629" w:type="dxa"/>
            <w:shd w:val="clear" w:color="auto" w:fill="auto"/>
          </w:tcPr>
          <w:p w:rsidR="00617CB0" w:rsidRPr="00022D33" w:rsidRDefault="00617CB0" w:rsidP="000D7011">
            <w:pPr>
              <w:pStyle w:val="Tabletext"/>
            </w:pPr>
            <w:r w:rsidRPr="00022D33">
              <w:t>Services received free of charge from other State Government agencies during the period:</w:t>
            </w:r>
          </w:p>
        </w:tc>
        <w:tc>
          <w:tcPr>
            <w:tcW w:w="1474" w:type="dxa"/>
          </w:tcPr>
          <w:p w:rsidR="00617CB0" w:rsidRPr="00022D33" w:rsidRDefault="00617CB0" w:rsidP="000D7011">
            <w:pPr>
              <w:pStyle w:val="Tabletext"/>
              <w:jc w:val="right"/>
            </w:pPr>
          </w:p>
        </w:tc>
        <w:tc>
          <w:tcPr>
            <w:tcW w:w="1474" w:type="dxa"/>
            <w:shd w:val="clear" w:color="auto" w:fill="auto"/>
          </w:tcPr>
          <w:p w:rsidR="00617CB0" w:rsidRPr="00022D33" w:rsidRDefault="00617CB0" w:rsidP="000D7011">
            <w:pPr>
              <w:pStyle w:val="Tabletext"/>
              <w:jc w:val="right"/>
            </w:pPr>
          </w:p>
        </w:tc>
      </w:tr>
      <w:tr w:rsidR="00617CB0" w:rsidRPr="00022D33" w:rsidTr="000D7011">
        <w:tc>
          <w:tcPr>
            <w:tcW w:w="5629" w:type="dxa"/>
            <w:shd w:val="clear" w:color="auto" w:fill="auto"/>
          </w:tcPr>
          <w:p w:rsidR="00617CB0" w:rsidRPr="00022D33" w:rsidRDefault="00617CB0" w:rsidP="000D7011">
            <w:pPr>
              <w:pStyle w:val="Tabletext"/>
            </w:pPr>
            <w:r w:rsidRPr="00022D33">
              <w:t>Department of the Attorney General</w:t>
            </w:r>
          </w:p>
        </w:tc>
        <w:tc>
          <w:tcPr>
            <w:tcW w:w="1474" w:type="dxa"/>
          </w:tcPr>
          <w:p w:rsidR="00617CB0" w:rsidRPr="00022D33" w:rsidRDefault="00617CB0" w:rsidP="000D7011">
            <w:pPr>
              <w:pStyle w:val="Tabletext"/>
              <w:jc w:val="right"/>
            </w:pPr>
            <w:r w:rsidRPr="00022D33">
              <w:t>2,171</w:t>
            </w:r>
          </w:p>
        </w:tc>
        <w:tc>
          <w:tcPr>
            <w:tcW w:w="1474" w:type="dxa"/>
            <w:shd w:val="clear" w:color="auto" w:fill="auto"/>
          </w:tcPr>
          <w:p w:rsidR="00617CB0" w:rsidRPr="00022D33" w:rsidRDefault="00617CB0" w:rsidP="000D7011">
            <w:pPr>
              <w:pStyle w:val="Tabletext"/>
              <w:jc w:val="right"/>
            </w:pPr>
            <w:r w:rsidRPr="00022D33">
              <w:t>1,906</w:t>
            </w:r>
          </w:p>
        </w:tc>
      </w:tr>
      <w:tr w:rsidR="00617CB0" w:rsidRPr="00022D33" w:rsidTr="000D7011">
        <w:tc>
          <w:tcPr>
            <w:tcW w:w="5629" w:type="dxa"/>
            <w:shd w:val="clear" w:color="auto" w:fill="auto"/>
          </w:tcPr>
          <w:p w:rsidR="00617CB0" w:rsidRPr="00022D33" w:rsidRDefault="00617CB0" w:rsidP="000D7011">
            <w:pPr>
              <w:pStyle w:val="Tabletext"/>
            </w:pPr>
            <w:r w:rsidRPr="00022D33">
              <w:t>Landgate</w:t>
            </w:r>
          </w:p>
        </w:tc>
        <w:tc>
          <w:tcPr>
            <w:tcW w:w="1474" w:type="dxa"/>
          </w:tcPr>
          <w:p w:rsidR="00617CB0" w:rsidRPr="00022D33" w:rsidRDefault="00617CB0" w:rsidP="000D7011">
            <w:pPr>
              <w:pStyle w:val="Tabletext"/>
              <w:jc w:val="right"/>
            </w:pPr>
            <w:r w:rsidRPr="00022D33">
              <w:t>11,963</w:t>
            </w:r>
          </w:p>
        </w:tc>
        <w:tc>
          <w:tcPr>
            <w:tcW w:w="1474" w:type="dxa"/>
            <w:shd w:val="clear" w:color="auto" w:fill="auto"/>
          </w:tcPr>
          <w:p w:rsidR="00617CB0" w:rsidRPr="00022D33" w:rsidRDefault="00617CB0" w:rsidP="000D7011">
            <w:pPr>
              <w:pStyle w:val="Tabletext"/>
              <w:jc w:val="right"/>
            </w:pPr>
            <w:r w:rsidRPr="00022D33">
              <w:t>11,693</w:t>
            </w:r>
          </w:p>
        </w:tc>
      </w:tr>
      <w:tr w:rsidR="00617CB0" w:rsidRPr="00022D33" w:rsidTr="000D7011">
        <w:tc>
          <w:tcPr>
            <w:tcW w:w="5629" w:type="dxa"/>
            <w:shd w:val="clear" w:color="auto" w:fill="auto"/>
          </w:tcPr>
          <w:p w:rsidR="00617CB0" w:rsidRPr="00022D33" w:rsidRDefault="00617CB0" w:rsidP="000D7011">
            <w:pPr>
              <w:pStyle w:val="Tabletext"/>
            </w:pPr>
            <w:r w:rsidRPr="00022D33">
              <w:t>Department of Treasury</w:t>
            </w:r>
          </w:p>
        </w:tc>
        <w:tc>
          <w:tcPr>
            <w:tcW w:w="1474" w:type="dxa"/>
          </w:tcPr>
          <w:p w:rsidR="00617CB0" w:rsidRPr="00022D33" w:rsidRDefault="00617CB0" w:rsidP="000D7011">
            <w:pPr>
              <w:pStyle w:val="Tabletext"/>
              <w:jc w:val="right"/>
            </w:pPr>
            <w:r w:rsidRPr="00022D33">
              <w:t>298</w:t>
            </w:r>
          </w:p>
        </w:tc>
        <w:tc>
          <w:tcPr>
            <w:tcW w:w="1474" w:type="dxa"/>
            <w:shd w:val="clear" w:color="auto" w:fill="auto"/>
          </w:tcPr>
          <w:p w:rsidR="00617CB0" w:rsidRPr="00022D33" w:rsidRDefault="00617CB0" w:rsidP="000D7011">
            <w:pPr>
              <w:pStyle w:val="Tabletext"/>
              <w:jc w:val="right"/>
            </w:pPr>
            <w:r w:rsidRPr="00022D33">
              <w:t>334</w:t>
            </w:r>
          </w:p>
        </w:tc>
      </w:tr>
      <w:tr w:rsidR="00617CB0" w:rsidRPr="00022D33" w:rsidTr="000D7011">
        <w:tc>
          <w:tcPr>
            <w:tcW w:w="5629" w:type="dxa"/>
            <w:shd w:val="clear" w:color="auto" w:fill="auto"/>
          </w:tcPr>
          <w:p w:rsidR="00617CB0" w:rsidRPr="00022D33" w:rsidRDefault="00617CB0" w:rsidP="000D7011">
            <w:pPr>
              <w:pStyle w:val="Tabletext"/>
            </w:pPr>
            <w:r w:rsidRPr="00022D33">
              <w:t xml:space="preserve">Department of the Premier and Cabinet </w:t>
            </w:r>
          </w:p>
        </w:tc>
        <w:tc>
          <w:tcPr>
            <w:tcW w:w="1474" w:type="dxa"/>
          </w:tcPr>
          <w:p w:rsidR="00617CB0" w:rsidRPr="00022D33" w:rsidRDefault="00617CB0" w:rsidP="000D7011">
            <w:pPr>
              <w:pStyle w:val="Tabletext"/>
              <w:jc w:val="right"/>
            </w:pPr>
            <w:r w:rsidRPr="00022D33">
              <w:t>67</w:t>
            </w:r>
          </w:p>
        </w:tc>
        <w:tc>
          <w:tcPr>
            <w:tcW w:w="1474" w:type="dxa"/>
            <w:shd w:val="clear" w:color="auto" w:fill="auto"/>
          </w:tcPr>
          <w:p w:rsidR="00617CB0" w:rsidRPr="00022D33" w:rsidRDefault="00617CB0" w:rsidP="000D7011">
            <w:pPr>
              <w:pStyle w:val="Tabletext"/>
              <w:jc w:val="right"/>
            </w:pPr>
            <w:r w:rsidRPr="00022D33">
              <w:t>131</w:t>
            </w:r>
          </w:p>
        </w:tc>
      </w:tr>
      <w:tr w:rsidR="00617CB0" w:rsidRPr="00022D33" w:rsidTr="000D7011">
        <w:tc>
          <w:tcPr>
            <w:tcW w:w="5629" w:type="dxa"/>
            <w:shd w:val="clear" w:color="auto" w:fill="auto"/>
          </w:tcPr>
          <w:p w:rsidR="00617CB0" w:rsidRPr="00022D33" w:rsidRDefault="00617CB0" w:rsidP="000D7011">
            <w:pPr>
              <w:pStyle w:val="Tabletext"/>
            </w:pPr>
            <w:r w:rsidRPr="00022D33">
              <w:t>Department of Water</w:t>
            </w:r>
          </w:p>
        </w:tc>
        <w:tc>
          <w:tcPr>
            <w:tcW w:w="1474" w:type="dxa"/>
            <w:tcBorders>
              <w:bottom w:val="single" w:sz="4" w:space="0" w:color="auto"/>
            </w:tcBorders>
          </w:tcPr>
          <w:p w:rsidR="00617CB0" w:rsidRPr="00022D33" w:rsidRDefault="00617CB0" w:rsidP="000D7011">
            <w:pPr>
              <w:pStyle w:val="Tabletext"/>
              <w:jc w:val="right"/>
            </w:pPr>
            <w:r w:rsidRPr="00022D33">
              <w:t>19</w:t>
            </w:r>
          </w:p>
        </w:tc>
        <w:tc>
          <w:tcPr>
            <w:tcW w:w="1474" w:type="dxa"/>
            <w:tcBorders>
              <w:bottom w:val="single" w:sz="4" w:space="0" w:color="auto"/>
            </w:tcBorders>
            <w:shd w:val="clear" w:color="auto" w:fill="auto"/>
          </w:tcPr>
          <w:p w:rsidR="00617CB0" w:rsidRPr="00022D33" w:rsidRDefault="00617CB0" w:rsidP="000D7011">
            <w:pPr>
              <w:pStyle w:val="Tabletext"/>
              <w:jc w:val="right"/>
            </w:pPr>
            <w:r w:rsidRPr="00022D33">
              <w:t>-</w:t>
            </w:r>
          </w:p>
        </w:tc>
      </w:tr>
      <w:tr w:rsidR="00617CB0" w:rsidRPr="00022D33" w:rsidTr="000D7011">
        <w:tc>
          <w:tcPr>
            <w:tcW w:w="5629" w:type="dxa"/>
            <w:shd w:val="clear" w:color="auto" w:fill="auto"/>
          </w:tcPr>
          <w:p w:rsidR="00617CB0" w:rsidRPr="00022D33" w:rsidRDefault="00617CB0" w:rsidP="000D7011">
            <w:pPr>
              <w:pStyle w:val="Tabletext"/>
            </w:pPr>
          </w:p>
        </w:tc>
        <w:tc>
          <w:tcPr>
            <w:tcW w:w="1474" w:type="dxa"/>
            <w:tcBorders>
              <w:top w:val="single" w:sz="4" w:space="0" w:color="auto"/>
              <w:bottom w:val="single" w:sz="4" w:space="0" w:color="auto"/>
            </w:tcBorders>
          </w:tcPr>
          <w:p w:rsidR="00617CB0" w:rsidRPr="00022D33" w:rsidRDefault="00617CB0" w:rsidP="000D7011">
            <w:pPr>
              <w:pStyle w:val="Tabletext"/>
              <w:jc w:val="right"/>
            </w:pPr>
            <w:r w:rsidRPr="00022D33">
              <w:t>14,518</w:t>
            </w:r>
          </w:p>
        </w:tc>
        <w:tc>
          <w:tcPr>
            <w:tcW w:w="1474" w:type="dxa"/>
            <w:tcBorders>
              <w:top w:val="single" w:sz="4" w:space="0" w:color="auto"/>
              <w:bottom w:val="single" w:sz="4" w:space="0" w:color="auto"/>
            </w:tcBorders>
            <w:shd w:val="clear" w:color="auto" w:fill="auto"/>
          </w:tcPr>
          <w:p w:rsidR="00617CB0" w:rsidRPr="00022D33" w:rsidRDefault="00617CB0" w:rsidP="000D7011">
            <w:pPr>
              <w:pStyle w:val="Tabletext"/>
              <w:jc w:val="right"/>
            </w:pPr>
            <w:r w:rsidRPr="00022D33">
              <w:t>14,065</w:t>
            </w:r>
          </w:p>
        </w:tc>
      </w:tr>
      <w:tr w:rsidR="00617CB0" w:rsidRPr="00022D33" w:rsidTr="000D7011">
        <w:tc>
          <w:tcPr>
            <w:tcW w:w="5629" w:type="dxa"/>
            <w:shd w:val="clear" w:color="auto" w:fill="auto"/>
          </w:tcPr>
          <w:p w:rsidR="00617CB0" w:rsidRPr="00022D33" w:rsidRDefault="00617CB0" w:rsidP="000D7011">
            <w:pPr>
              <w:pStyle w:val="Tabletext"/>
            </w:pPr>
            <w:r w:rsidRPr="00022D33">
              <w:t>Royalties for Regions Fund:</w:t>
            </w:r>
          </w:p>
        </w:tc>
        <w:tc>
          <w:tcPr>
            <w:tcW w:w="1474" w:type="dxa"/>
            <w:tcBorders>
              <w:top w:val="single" w:sz="4" w:space="0" w:color="auto"/>
            </w:tcBorders>
          </w:tcPr>
          <w:p w:rsidR="00617CB0" w:rsidRPr="00022D33" w:rsidRDefault="00617CB0" w:rsidP="000D7011">
            <w:pPr>
              <w:pStyle w:val="Tabletext"/>
              <w:jc w:val="right"/>
            </w:pPr>
            <w:r w:rsidRPr="00022D33">
              <w:t>127</w:t>
            </w:r>
          </w:p>
        </w:tc>
        <w:tc>
          <w:tcPr>
            <w:tcW w:w="1474" w:type="dxa"/>
            <w:tcBorders>
              <w:top w:val="single" w:sz="4" w:space="0" w:color="auto"/>
            </w:tcBorders>
            <w:shd w:val="clear" w:color="auto" w:fill="auto"/>
          </w:tcPr>
          <w:p w:rsidR="00617CB0" w:rsidRPr="00022D33" w:rsidRDefault="00617CB0" w:rsidP="000D7011">
            <w:pPr>
              <w:pStyle w:val="Tabletext"/>
              <w:jc w:val="right"/>
            </w:pPr>
            <w:r w:rsidRPr="00022D33">
              <w:t>189</w:t>
            </w:r>
          </w:p>
        </w:tc>
      </w:tr>
      <w:tr w:rsidR="00617CB0" w:rsidRPr="00022D33" w:rsidTr="000D7011">
        <w:tc>
          <w:tcPr>
            <w:tcW w:w="5629" w:type="dxa"/>
            <w:shd w:val="clear" w:color="auto" w:fill="auto"/>
          </w:tcPr>
          <w:p w:rsidR="00617CB0" w:rsidRPr="00022D33" w:rsidRDefault="00617CB0" w:rsidP="000D7011">
            <w:pPr>
              <w:pStyle w:val="Tabletext"/>
            </w:pPr>
            <w:r w:rsidRPr="00022D33">
              <w:t xml:space="preserve">Regional Infrastructure and Headworks Account </w:t>
            </w:r>
            <w:r w:rsidRPr="00022D33">
              <w:rPr>
                <w:vertAlign w:val="superscript"/>
              </w:rPr>
              <w:t>(b)</w:t>
            </w:r>
          </w:p>
        </w:tc>
        <w:tc>
          <w:tcPr>
            <w:tcW w:w="1474" w:type="dxa"/>
            <w:tcBorders>
              <w:bottom w:val="single" w:sz="4" w:space="0" w:color="auto"/>
            </w:tcBorders>
          </w:tcPr>
          <w:p w:rsidR="00617CB0" w:rsidRPr="00022D33" w:rsidRDefault="00617CB0" w:rsidP="000D7011">
            <w:pPr>
              <w:pStyle w:val="Tabletext"/>
              <w:jc w:val="right"/>
            </w:pPr>
          </w:p>
        </w:tc>
        <w:tc>
          <w:tcPr>
            <w:tcW w:w="1474" w:type="dxa"/>
            <w:tcBorders>
              <w:bottom w:val="single" w:sz="4" w:space="0" w:color="auto"/>
            </w:tcBorders>
            <w:shd w:val="clear" w:color="auto" w:fill="auto"/>
          </w:tcPr>
          <w:p w:rsidR="00617CB0" w:rsidRPr="00022D33" w:rsidRDefault="00617CB0" w:rsidP="000D7011">
            <w:pPr>
              <w:pStyle w:val="Tabletext"/>
              <w:jc w:val="right"/>
            </w:pPr>
          </w:p>
        </w:tc>
      </w:tr>
      <w:tr w:rsidR="00617CB0" w:rsidRPr="00022D33" w:rsidTr="000D7011">
        <w:tc>
          <w:tcPr>
            <w:tcW w:w="5629" w:type="dxa"/>
            <w:shd w:val="clear" w:color="auto" w:fill="auto"/>
          </w:tcPr>
          <w:p w:rsidR="00617CB0" w:rsidRPr="00022D33" w:rsidRDefault="00617CB0" w:rsidP="000D7011">
            <w:pPr>
              <w:pStyle w:val="Tabletext"/>
            </w:pPr>
          </w:p>
        </w:tc>
        <w:tc>
          <w:tcPr>
            <w:tcW w:w="1474" w:type="dxa"/>
            <w:tcBorders>
              <w:top w:val="single" w:sz="4" w:space="0" w:color="auto"/>
              <w:bottom w:val="single" w:sz="4" w:space="0" w:color="auto"/>
            </w:tcBorders>
          </w:tcPr>
          <w:p w:rsidR="00617CB0" w:rsidRPr="00022D33" w:rsidRDefault="00617CB0" w:rsidP="000D7011">
            <w:pPr>
              <w:pStyle w:val="Tabletext"/>
              <w:jc w:val="right"/>
            </w:pPr>
            <w:r w:rsidRPr="00022D33">
              <w:t>127</w:t>
            </w:r>
          </w:p>
        </w:tc>
        <w:tc>
          <w:tcPr>
            <w:tcW w:w="1474" w:type="dxa"/>
            <w:tcBorders>
              <w:top w:val="single" w:sz="4" w:space="0" w:color="auto"/>
              <w:bottom w:val="single" w:sz="4" w:space="0" w:color="auto"/>
            </w:tcBorders>
            <w:shd w:val="clear" w:color="auto" w:fill="auto"/>
          </w:tcPr>
          <w:p w:rsidR="00617CB0" w:rsidRPr="00022D33" w:rsidRDefault="00617CB0" w:rsidP="000D7011">
            <w:pPr>
              <w:pStyle w:val="Tabletext"/>
              <w:jc w:val="right"/>
            </w:pPr>
            <w:r w:rsidRPr="00022D33">
              <w:t>189</w:t>
            </w:r>
          </w:p>
        </w:tc>
      </w:tr>
      <w:tr w:rsidR="00617CB0" w:rsidRPr="00022D33" w:rsidTr="000D7011">
        <w:tc>
          <w:tcPr>
            <w:tcW w:w="5629" w:type="dxa"/>
            <w:shd w:val="clear" w:color="auto" w:fill="auto"/>
          </w:tcPr>
          <w:p w:rsidR="00617CB0" w:rsidRPr="00022D33" w:rsidRDefault="00617CB0" w:rsidP="000D7011">
            <w:pPr>
              <w:pStyle w:val="Tabletext"/>
            </w:pPr>
          </w:p>
        </w:tc>
        <w:tc>
          <w:tcPr>
            <w:tcW w:w="1474" w:type="dxa"/>
            <w:tcBorders>
              <w:top w:val="single" w:sz="4" w:space="0" w:color="auto"/>
              <w:bottom w:val="double" w:sz="4" w:space="0" w:color="auto"/>
            </w:tcBorders>
          </w:tcPr>
          <w:p w:rsidR="00617CB0" w:rsidRPr="00022D33" w:rsidRDefault="00617CB0" w:rsidP="000D7011">
            <w:pPr>
              <w:pStyle w:val="Tableboldedtext"/>
              <w:jc w:val="right"/>
            </w:pPr>
            <w:r w:rsidRPr="00022D33">
              <w:t>203,577</w:t>
            </w:r>
          </w:p>
        </w:tc>
        <w:tc>
          <w:tcPr>
            <w:tcW w:w="1474"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192,280</w:t>
            </w:r>
          </w:p>
        </w:tc>
      </w:tr>
    </w:tbl>
    <w:p w:rsidR="00617CB0" w:rsidRPr="00022D33" w:rsidRDefault="00617CB0" w:rsidP="00617CB0">
      <w:pPr>
        <w:pStyle w:val="BodyText"/>
        <w:numPr>
          <w:ilvl w:val="0"/>
          <w:numId w:val="11"/>
        </w:numPr>
        <w:rPr>
          <w:sz w:val="20"/>
          <w:szCs w:val="20"/>
        </w:rPr>
      </w:pPr>
      <w:r w:rsidRPr="00022D33">
        <w:rPr>
          <w:sz w:val="20"/>
          <w:szCs w:val="20"/>
        </w:rPr>
        <w:t>Service appropriations fund the net cost of services delivered. Appropriation revenue comprises a cash component and a receivable (asset). The receivable (holding account) comprises the budgeted depreciation expense for the year and any agreed increase in leave liabilities during the year.</w:t>
      </w:r>
    </w:p>
    <w:p w:rsidR="00617CB0" w:rsidRPr="00022D33" w:rsidRDefault="00617CB0" w:rsidP="00617CB0">
      <w:pPr>
        <w:pStyle w:val="BodyText"/>
        <w:numPr>
          <w:ilvl w:val="0"/>
          <w:numId w:val="11"/>
        </w:numPr>
        <w:rPr>
          <w:sz w:val="20"/>
          <w:szCs w:val="20"/>
        </w:rPr>
      </w:pPr>
      <w:r w:rsidRPr="00022D33">
        <w:rPr>
          <w:sz w:val="20"/>
          <w:szCs w:val="20"/>
        </w:rPr>
        <w:t>State Government Royalties for Regions funds are used to fund district allowance payments for eligible regional public sector employees.</w:t>
      </w:r>
    </w:p>
    <w:p w:rsidR="00617CB0" w:rsidRPr="00022D33" w:rsidRDefault="00617CB0" w:rsidP="00617CB0">
      <w:pPr>
        <w:pStyle w:val="Heading3"/>
      </w:pPr>
      <w:r w:rsidRPr="00022D33">
        <w:t>Note 18. Cash and cash equivalents</w:t>
      </w:r>
    </w:p>
    <w:p w:rsidR="00617CB0" w:rsidRPr="00022D33" w:rsidRDefault="00196F4C" w:rsidP="00617CB0">
      <w:pPr>
        <w:pStyle w:val="Caption"/>
        <w:keepNext/>
        <w:spacing w:after="60"/>
        <w:rPr>
          <w:noProof/>
        </w:rPr>
      </w:pPr>
      <w:fldSimple w:instr=" SEQ Table \* ARABIC ">
        <w:r w:rsidR="00D8778B">
          <w:rPr>
            <w:noProof/>
          </w:rPr>
          <w:t>22</w:t>
        </w:r>
      </w:fldSimple>
      <w:r w:rsidR="00617CB0" w:rsidRPr="00022D33">
        <w:rPr>
          <w:noProof/>
        </w:rPr>
        <w:t xml:space="preserve"> Cash and cash equivalents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8577" w:type="dxa"/>
            <w:gridSpan w:val="3"/>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Current</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Cash at bank</w:t>
            </w:r>
            <w:r w:rsidRPr="00022D33">
              <w:rPr>
                <w:spacing w:val="23"/>
              </w:rPr>
              <w:t xml:space="preserve"> </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85,245</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58,896</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Cash on hand</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2</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9</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85,247</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58,905</w:t>
            </w:r>
          </w:p>
        </w:tc>
      </w:tr>
    </w:tbl>
    <w:p w:rsidR="00617CB0" w:rsidRDefault="00617CB0" w:rsidP="00617CB0">
      <w:pPr>
        <w:pStyle w:val="Heading3"/>
        <w:sectPr w:rsidR="00617CB0" w:rsidSect="005F3639">
          <w:pgSz w:w="11906" w:h="16838" w:code="9"/>
          <w:pgMar w:top="1440" w:right="1440" w:bottom="1276" w:left="1440" w:header="0" w:footer="709" w:gutter="0"/>
          <w:cols w:space="708"/>
          <w:docGrid w:linePitch="360"/>
        </w:sectPr>
      </w:pPr>
    </w:p>
    <w:p w:rsidR="00617CB0" w:rsidRPr="00022D33" w:rsidRDefault="00617CB0" w:rsidP="00617CB0">
      <w:pPr>
        <w:pStyle w:val="Heading3"/>
      </w:pPr>
      <w:r w:rsidRPr="00022D33">
        <w:t>Note 19. Restricted cash and cash equivalents</w:t>
      </w:r>
    </w:p>
    <w:p w:rsidR="00617CB0" w:rsidRPr="00022D33" w:rsidRDefault="00196F4C" w:rsidP="00617CB0">
      <w:pPr>
        <w:pStyle w:val="Caption"/>
        <w:keepNext/>
        <w:spacing w:after="60"/>
        <w:rPr>
          <w:noProof/>
        </w:rPr>
      </w:pPr>
      <w:fldSimple w:instr=" SEQ Table \* ARABIC ">
        <w:r w:rsidR="00D8778B">
          <w:rPr>
            <w:noProof/>
          </w:rPr>
          <w:t>23</w:t>
        </w:r>
      </w:fldSimple>
      <w:r w:rsidR="00617CB0" w:rsidRPr="00022D33">
        <w:rPr>
          <w:noProof/>
        </w:rPr>
        <w:t xml:space="preserve"> Restricted cash and cash equivalents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Current</w:t>
            </w:r>
          </w:p>
        </w:tc>
        <w:tc>
          <w:tcPr>
            <w:tcW w:w="1474" w:type="dxa"/>
            <w:tcBorders>
              <w:top w:val="nil"/>
              <w:left w:val="nil"/>
              <w:bottom w:val="nil"/>
              <w:right w:val="nil"/>
            </w:tcBorders>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Indian Ocean Territories Trust Fund</w:t>
            </w:r>
          </w:p>
        </w:tc>
        <w:tc>
          <w:tcPr>
            <w:tcW w:w="1474" w:type="dxa"/>
            <w:tcBorders>
              <w:top w:val="nil"/>
              <w:left w:val="nil"/>
              <w:bottom w:val="nil"/>
              <w:right w:val="nil"/>
            </w:tcBorders>
          </w:tcPr>
          <w:p w:rsidR="00617CB0" w:rsidRPr="00022D33" w:rsidRDefault="00617CB0" w:rsidP="000D7011">
            <w:pPr>
              <w:pStyle w:val="Tabletext"/>
              <w:jc w:val="right"/>
            </w:pPr>
            <w:r w:rsidRPr="00022D33">
              <w:t>10</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344</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Royalties for Regions </w:t>
            </w:r>
            <w:r w:rsidRPr="00022D33">
              <w:rPr>
                <w:vertAlign w:val="superscript"/>
              </w:rPr>
              <w:t>(a)</w:t>
            </w:r>
          </w:p>
        </w:tc>
        <w:tc>
          <w:tcPr>
            <w:tcW w:w="1474" w:type="dxa"/>
            <w:tcBorders>
              <w:top w:val="nil"/>
              <w:left w:val="nil"/>
              <w:bottom w:val="nil"/>
              <w:right w:val="nil"/>
            </w:tcBorders>
          </w:tcPr>
          <w:p w:rsidR="00617CB0" w:rsidRPr="00022D33" w:rsidRDefault="00617CB0" w:rsidP="000D7011">
            <w:pPr>
              <w:pStyle w:val="Tabletext"/>
              <w:jc w:val="right"/>
              <w:rPr>
                <w:w w:val="95"/>
              </w:rPr>
            </w:pPr>
            <w:r w:rsidRPr="00022D33">
              <w:rPr>
                <w:w w:val="95"/>
              </w:rPr>
              <w:t>5,174</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rPr>
                <w:w w:val="95"/>
              </w:rPr>
            </w:pPr>
            <w:r w:rsidRPr="00022D33">
              <w:rPr>
                <w:w w:val="95"/>
              </w:rPr>
              <w:t>415</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Anzac Interpretive Centre projects </w:t>
            </w:r>
            <w:r w:rsidRPr="00022D33">
              <w:rPr>
                <w:vertAlign w:val="superscript"/>
              </w:rPr>
              <w:t>(b)</w:t>
            </w:r>
          </w:p>
        </w:tc>
        <w:tc>
          <w:tcPr>
            <w:tcW w:w="1474" w:type="dxa"/>
            <w:tcBorders>
              <w:top w:val="nil"/>
              <w:left w:val="nil"/>
              <w:bottom w:val="nil"/>
              <w:right w:val="nil"/>
            </w:tcBorders>
          </w:tcPr>
          <w:p w:rsidR="00617CB0" w:rsidRPr="00022D33" w:rsidRDefault="00617CB0" w:rsidP="000D7011">
            <w:pPr>
              <w:pStyle w:val="Tabletext"/>
              <w:jc w:val="right"/>
            </w:pPr>
            <w:r w:rsidRPr="00022D33">
              <w:t>581</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815</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Sunset Reserve Account </w:t>
            </w:r>
            <w:r w:rsidRPr="00022D33">
              <w:rPr>
                <w:vertAlign w:val="superscript"/>
              </w:rPr>
              <w:t>(c)</w:t>
            </w:r>
          </w:p>
        </w:tc>
        <w:tc>
          <w:tcPr>
            <w:tcW w:w="1474" w:type="dxa"/>
            <w:tcBorders>
              <w:top w:val="nil"/>
              <w:left w:val="nil"/>
              <w:bottom w:val="nil"/>
              <w:right w:val="nil"/>
            </w:tcBorders>
          </w:tcPr>
          <w:p w:rsidR="00617CB0" w:rsidRPr="00022D33" w:rsidRDefault="00617CB0" w:rsidP="000D7011">
            <w:pPr>
              <w:pStyle w:val="Tabletext"/>
              <w:jc w:val="right"/>
              <w:rPr>
                <w:w w:val="95"/>
              </w:rPr>
            </w:pPr>
            <w:r w:rsidRPr="00022D33">
              <w:rPr>
                <w:w w:val="95"/>
              </w:rPr>
              <w:t>7,218</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rPr>
                <w:w w:val="95"/>
              </w:rPr>
            </w:pPr>
            <w:r w:rsidRPr="00022D33">
              <w:rPr>
                <w:w w:val="95"/>
              </w:rPr>
              <w:t>8,512</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Accrued salaries suspense account </w:t>
            </w:r>
            <w:r w:rsidRPr="00022D33">
              <w:rPr>
                <w:vertAlign w:val="superscript"/>
              </w:rPr>
              <w:t>(d)</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4,801</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b/>
              </w:rPr>
            </w:pPr>
          </w:p>
        </w:tc>
        <w:tc>
          <w:tcPr>
            <w:tcW w:w="1474" w:type="dxa"/>
            <w:tcBorders>
              <w:top w:val="single" w:sz="4" w:space="0" w:color="auto"/>
              <w:left w:val="nil"/>
              <w:bottom w:val="double" w:sz="4" w:space="0" w:color="auto"/>
              <w:right w:val="nil"/>
            </w:tcBorders>
          </w:tcPr>
          <w:p w:rsidR="00617CB0" w:rsidRPr="00022D33" w:rsidRDefault="00617CB0" w:rsidP="000D7011">
            <w:pPr>
              <w:pStyle w:val="Tabletext"/>
              <w:jc w:val="right"/>
              <w:rPr>
                <w:b/>
              </w:rPr>
            </w:pPr>
            <w:r w:rsidRPr="00022D33">
              <w:rPr>
                <w:b/>
              </w:rPr>
              <w:t>12,983</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text"/>
              <w:jc w:val="right"/>
              <w:rPr>
                <w:b/>
              </w:rPr>
            </w:pPr>
            <w:r w:rsidRPr="00022D33">
              <w:rPr>
                <w:b/>
              </w:rPr>
              <w:t>14,887</w:t>
            </w:r>
          </w:p>
        </w:tc>
      </w:tr>
    </w:tbl>
    <w:p w:rsidR="00617CB0" w:rsidRPr="00022D33" w:rsidRDefault="00617CB0" w:rsidP="00617CB0">
      <w:pPr>
        <w:pStyle w:val="BodyText"/>
        <w:numPr>
          <w:ilvl w:val="0"/>
          <w:numId w:val="12"/>
        </w:numPr>
        <w:rPr>
          <w:sz w:val="20"/>
          <w:szCs w:val="20"/>
        </w:rPr>
      </w:pPr>
      <w:r w:rsidRPr="00022D33">
        <w:rPr>
          <w:sz w:val="20"/>
          <w:szCs w:val="20"/>
        </w:rPr>
        <w:t>Unspent funding provided from Royalties for Regions relating to the Karratha Government Office Co-Location Project (The Quarter).</w:t>
      </w:r>
    </w:p>
    <w:p w:rsidR="00617CB0" w:rsidRPr="00022D33" w:rsidRDefault="00617CB0" w:rsidP="00617CB0">
      <w:pPr>
        <w:pStyle w:val="BodyText"/>
        <w:numPr>
          <w:ilvl w:val="0"/>
          <w:numId w:val="12"/>
        </w:numPr>
        <w:rPr>
          <w:sz w:val="20"/>
          <w:szCs w:val="20"/>
        </w:rPr>
      </w:pPr>
      <w:r w:rsidRPr="00022D33">
        <w:rPr>
          <w:sz w:val="20"/>
          <w:szCs w:val="20"/>
        </w:rPr>
        <w:t>Commonwealth Government funded Program.</w:t>
      </w:r>
    </w:p>
    <w:p w:rsidR="00617CB0" w:rsidRPr="00022D33" w:rsidRDefault="00617CB0" w:rsidP="00617CB0">
      <w:pPr>
        <w:pStyle w:val="BodyText"/>
        <w:numPr>
          <w:ilvl w:val="0"/>
          <w:numId w:val="12"/>
        </w:numPr>
        <w:rPr>
          <w:sz w:val="20"/>
          <w:szCs w:val="20"/>
        </w:rPr>
      </w:pPr>
      <w:r w:rsidRPr="00022D33">
        <w:rPr>
          <w:sz w:val="20"/>
          <w:szCs w:val="20"/>
        </w:rPr>
        <w:t>Refer to Note 44 Special Purpose Account.</w:t>
      </w:r>
    </w:p>
    <w:p w:rsidR="00617CB0" w:rsidRPr="00022D33" w:rsidRDefault="00617CB0" w:rsidP="00617CB0">
      <w:pPr>
        <w:pStyle w:val="BodyText"/>
        <w:numPr>
          <w:ilvl w:val="0"/>
          <w:numId w:val="12"/>
        </w:numPr>
        <w:rPr>
          <w:sz w:val="20"/>
          <w:szCs w:val="20"/>
        </w:rPr>
      </w:pPr>
      <w:r w:rsidRPr="00022D33">
        <w:rPr>
          <w:sz w:val="20"/>
          <w:szCs w:val="20"/>
        </w:rPr>
        <w:t>Funds held in the suspense account for the purpose of meeting the 27th pay in financial year that occurs every 11th year.</w:t>
      </w:r>
    </w:p>
    <w:p w:rsidR="00617CB0" w:rsidRPr="00022D33" w:rsidRDefault="00617CB0" w:rsidP="00617CB0">
      <w:pPr>
        <w:pStyle w:val="Heading3"/>
      </w:pPr>
      <w:r w:rsidRPr="00022D33">
        <w:t>Note 20. Receivables</w:t>
      </w:r>
    </w:p>
    <w:p w:rsidR="00617CB0" w:rsidRPr="00022D33" w:rsidRDefault="00196F4C" w:rsidP="00617CB0">
      <w:pPr>
        <w:pStyle w:val="Caption"/>
        <w:keepNext/>
        <w:spacing w:after="60"/>
        <w:rPr>
          <w:noProof/>
        </w:rPr>
      </w:pPr>
      <w:fldSimple w:instr=" SEQ Table \* ARABIC ">
        <w:r w:rsidR="00D8778B">
          <w:rPr>
            <w:noProof/>
          </w:rPr>
          <w:t>24</w:t>
        </w:r>
      </w:fldSimple>
      <w:r w:rsidR="00617CB0" w:rsidRPr="00022D33">
        <w:rPr>
          <w:noProof/>
        </w:rPr>
        <w:t xml:space="preserve"> Receivables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Current</w:t>
            </w:r>
          </w:p>
        </w:tc>
        <w:tc>
          <w:tcPr>
            <w:tcW w:w="1474" w:type="dxa"/>
            <w:tcBorders>
              <w:top w:val="nil"/>
              <w:left w:val="nil"/>
              <w:bottom w:val="nil"/>
              <w:right w:val="nil"/>
            </w:tcBorders>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Receivables </w:t>
            </w:r>
          </w:p>
        </w:tc>
        <w:tc>
          <w:tcPr>
            <w:tcW w:w="1474" w:type="dxa"/>
            <w:tcBorders>
              <w:top w:val="nil"/>
              <w:left w:val="nil"/>
              <w:bottom w:val="nil"/>
              <w:right w:val="nil"/>
            </w:tcBorders>
          </w:tcPr>
          <w:p w:rsidR="00617CB0" w:rsidRPr="00022D33" w:rsidRDefault="00617CB0" w:rsidP="000D7011">
            <w:pPr>
              <w:pStyle w:val="Tabletext"/>
              <w:jc w:val="right"/>
            </w:pPr>
            <w:r w:rsidRPr="00022D33">
              <w:t>61,130</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50,963</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Accrued revenue </w:t>
            </w:r>
          </w:p>
        </w:tc>
        <w:tc>
          <w:tcPr>
            <w:tcW w:w="1474" w:type="dxa"/>
            <w:tcBorders>
              <w:top w:val="nil"/>
              <w:left w:val="nil"/>
              <w:bottom w:val="nil"/>
              <w:right w:val="nil"/>
            </w:tcBorders>
          </w:tcPr>
          <w:p w:rsidR="00617CB0" w:rsidRPr="00022D33" w:rsidRDefault="00617CB0" w:rsidP="000D7011">
            <w:pPr>
              <w:pStyle w:val="Tabletext"/>
              <w:jc w:val="right"/>
            </w:pPr>
            <w:r w:rsidRPr="00022D33">
              <w:t>12,995</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16,235</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GST receivable</w:t>
            </w:r>
          </w:p>
        </w:tc>
        <w:tc>
          <w:tcPr>
            <w:tcW w:w="1474" w:type="dxa"/>
            <w:tcBorders>
              <w:top w:val="nil"/>
              <w:left w:val="nil"/>
              <w:bottom w:val="nil"/>
              <w:right w:val="nil"/>
            </w:tcBorders>
          </w:tcPr>
          <w:p w:rsidR="00617CB0" w:rsidRPr="00022D33" w:rsidRDefault="00617CB0" w:rsidP="000D7011">
            <w:pPr>
              <w:pStyle w:val="Tabletext"/>
              <w:jc w:val="right"/>
            </w:pPr>
            <w:r w:rsidRPr="00022D33">
              <w:t>-</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1,515</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Interest receivable </w:t>
            </w:r>
          </w:p>
        </w:tc>
        <w:tc>
          <w:tcPr>
            <w:tcW w:w="1474" w:type="dxa"/>
            <w:tcBorders>
              <w:top w:val="nil"/>
              <w:left w:val="nil"/>
              <w:bottom w:val="nil"/>
              <w:right w:val="nil"/>
            </w:tcBorders>
          </w:tcPr>
          <w:p w:rsidR="00617CB0" w:rsidRPr="00022D33" w:rsidRDefault="00617CB0" w:rsidP="000D7011">
            <w:pPr>
              <w:pStyle w:val="Tabletext"/>
              <w:jc w:val="right"/>
            </w:pPr>
            <w:r w:rsidRPr="00022D33">
              <w:t>31</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31</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Trust account </w:t>
            </w:r>
            <w:r w:rsidRPr="00022D33">
              <w:rPr>
                <w:vertAlign w:val="superscript"/>
              </w:rPr>
              <w:t>(a)</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4,253</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5,734</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single" w:sz="4" w:space="0" w:color="auto"/>
              <w:left w:val="nil"/>
              <w:bottom w:val="single" w:sz="4" w:space="0" w:color="auto"/>
              <w:right w:val="nil"/>
            </w:tcBorders>
          </w:tcPr>
          <w:p w:rsidR="00617CB0" w:rsidRPr="00022D33" w:rsidRDefault="00617CB0" w:rsidP="000D7011">
            <w:pPr>
              <w:pStyle w:val="Tableboldedtext"/>
              <w:jc w:val="right"/>
            </w:pPr>
            <w:r w:rsidRPr="00022D33">
              <w:t>78,409</w:t>
            </w:r>
          </w:p>
        </w:tc>
        <w:tc>
          <w:tcPr>
            <w:tcW w:w="1474"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74,478</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Underbillings </w:t>
            </w:r>
            <w:r w:rsidRPr="00022D33">
              <w:rPr>
                <w:vertAlign w:val="superscript"/>
              </w:rPr>
              <w:t>(b)</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230,627</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231,033</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r w:rsidRPr="00022D33">
              <w:t>Total current</w:t>
            </w:r>
          </w:p>
        </w:tc>
        <w:tc>
          <w:tcPr>
            <w:tcW w:w="1474" w:type="dxa"/>
            <w:tcBorders>
              <w:top w:val="single" w:sz="4" w:space="0" w:color="auto"/>
              <w:left w:val="nil"/>
              <w:bottom w:val="double" w:sz="4" w:space="0" w:color="auto"/>
              <w:right w:val="nil"/>
            </w:tcBorders>
          </w:tcPr>
          <w:p w:rsidR="00617CB0" w:rsidRPr="00022D33" w:rsidRDefault="00617CB0" w:rsidP="000D7011">
            <w:pPr>
              <w:pStyle w:val="Tableboldedtext"/>
              <w:jc w:val="right"/>
            </w:pPr>
            <w:r w:rsidRPr="00022D33">
              <w:t>309,036</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305,511</w:t>
            </w:r>
          </w:p>
        </w:tc>
      </w:tr>
    </w:tbl>
    <w:p w:rsidR="00617CB0" w:rsidRPr="00022D33" w:rsidRDefault="00617CB0" w:rsidP="00617CB0">
      <w:pPr>
        <w:pStyle w:val="BodyText"/>
        <w:rPr>
          <w:sz w:val="20"/>
          <w:szCs w:val="20"/>
        </w:rPr>
      </w:pPr>
      <w:r w:rsidRPr="00022D33">
        <w:rPr>
          <w:sz w:val="20"/>
          <w:szCs w:val="20"/>
        </w:rPr>
        <w:t>(a) Relates to funds held in trust by the Department's corporate property manager for management of rental services, management of Fremantle Prison Café (2015 only), and consumables and incidental costs relating to Western Australia Government’s occupation of Gordon Stephenson House.</w:t>
      </w:r>
    </w:p>
    <w:p w:rsidR="00617CB0" w:rsidRPr="00022D33" w:rsidRDefault="00617CB0" w:rsidP="00617CB0">
      <w:pPr>
        <w:pStyle w:val="BodyText"/>
        <w:rPr>
          <w:sz w:val="20"/>
          <w:szCs w:val="20"/>
        </w:rPr>
      </w:pPr>
      <w:r w:rsidRPr="00022D33">
        <w:rPr>
          <w:sz w:val="20"/>
          <w:szCs w:val="20"/>
        </w:rPr>
        <w:t>(b) Contract costs incurred but not yet billed to clients.</w:t>
      </w:r>
    </w:p>
    <w:p w:rsidR="00617CB0" w:rsidRPr="00022D33" w:rsidRDefault="00617CB0" w:rsidP="00617CB0">
      <w:pPr>
        <w:pStyle w:val="BodyText"/>
      </w:pPr>
      <w:r w:rsidRPr="00022D33">
        <w:t>The Department does not hold any collateral as security or other credit enhancements relating to receivables.</w:t>
      </w:r>
    </w:p>
    <w:p w:rsidR="00617CB0" w:rsidRDefault="00617CB0" w:rsidP="00617CB0">
      <w:pPr>
        <w:pStyle w:val="Heading3"/>
        <w:sectPr w:rsidR="00617CB0" w:rsidSect="005F3639">
          <w:pgSz w:w="11906" w:h="16838" w:code="9"/>
          <w:pgMar w:top="1440" w:right="1440" w:bottom="1276" w:left="1440" w:header="0" w:footer="709" w:gutter="0"/>
          <w:cols w:space="708"/>
          <w:docGrid w:linePitch="360"/>
        </w:sectPr>
      </w:pPr>
    </w:p>
    <w:p w:rsidR="00617CB0" w:rsidRPr="00022D33" w:rsidRDefault="00617CB0" w:rsidP="00617CB0">
      <w:pPr>
        <w:pStyle w:val="Heading3"/>
      </w:pPr>
      <w:r w:rsidRPr="00022D33">
        <w:t xml:space="preserve">Note 21. </w:t>
      </w:r>
      <w:r w:rsidRPr="00022D33">
        <w:rPr>
          <w:spacing w:val="-2"/>
        </w:rPr>
        <w:t>Finance</w:t>
      </w:r>
      <w:r w:rsidRPr="00022D33">
        <w:t xml:space="preserve"> lease receivables</w:t>
      </w:r>
    </w:p>
    <w:p w:rsidR="00617CB0" w:rsidRPr="00022D33" w:rsidRDefault="00617CB0" w:rsidP="00617CB0">
      <w:pPr>
        <w:pStyle w:val="BodyText"/>
      </w:pPr>
      <w:r w:rsidRPr="00022D33">
        <w:t>The Department leases vehicles to Western Australian State Government agencies and entities. The majority of leases are operating leases, the balance are finance leases.</w:t>
      </w:r>
    </w:p>
    <w:p w:rsidR="00617CB0" w:rsidRPr="00022D33" w:rsidRDefault="00617CB0" w:rsidP="00617CB0">
      <w:pPr>
        <w:pStyle w:val="Heading5"/>
      </w:pPr>
      <w:r w:rsidRPr="00022D33">
        <w:t>Finance lease receivables</w:t>
      </w:r>
    </w:p>
    <w:p w:rsidR="00617CB0" w:rsidRPr="00022D33" w:rsidRDefault="00617CB0" w:rsidP="00617CB0">
      <w:pPr>
        <w:pStyle w:val="BodyText"/>
        <w:rPr>
          <w:spacing w:val="-2"/>
        </w:rPr>
      </w:pPr>
      <w:r w:rsidRPr="00022D33">
        <w:t>At balance date, the term of existing finance lease contracts varies between four and five years. A contract is subject to a fixed market rate of interest set at the time the contract is established. All contracts contain a renewal option and are secured by the underlying vehicle. Residual values are guaranteed by the relevant contracting agency or the entity</w:t>
      </w:r>
      <w:r w:rsidRPr="00022D33">
        <w:rPr>
          <w:spacing w:val="-2"/>
        </w:rPr>
        <w:t>.</w:t>
      </w:r>
    </w:p>
    <w:p w:rsidR="00617CB0" w:rsidRPr="00022D33" w:rsidRDefault="00617CB0" w:rsidP="00617CB0">
      <w:pPr>
        <w:pStyle w:val="Caption"/>
        <w:keepNext/>
        <w:spacing w:after="60"/>
        <w:rPr>
          <w:noProof/>
        </w:rPr>
      </w:pPr>
      <w:r>
        <w:rPr>
          <w:noProof/>
        </w:rPr>
        <w:br/>
      </w:r>
      <w:fldSimple w:instr=" SEQ Table \* ARABIC ">
        <w:r w:rsidR="00D8778B">
          <w:rPr>
            <w:noProof/>
          </w:rPr>
          <w:t>25</w:t>
        </w:r>
      </w:fldSimple>
      <w:r>
        <w:t xml:space="preserve"> </w:t>
      </w:r>
      <w:r w:rsidRPr="00022D33">
        <w:rPr>
          <w:noProof/>
        </w:rPr>
        <w:t>Finance lease receivables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tcPr>
          <w:p w:rsidR="00617CB0" w:rsidRPr="00022D33" w:rsidRDefault="00617CB0" w:rsidP="000D7011">
            <w:pPr>
              <w:pStyle w:val="Tableboldedtext"/>
              <w:jc w:val="right"/>
            </w:pPr>
            <w:r w:rsidRPr="00022D33">
              <w:t>201</w:t>
            </w:r>
            <w:r>
              <w:t>6</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Gross investment in finance lease contracts</w:t>
            </w:r>
          </w:p>
        </w:tc>
        <w:tc>
          <w:tcPr>
            <w:tcW w:w="1474" w:type="dxa"/>
            <w:tcBorders>
              <w:top w:val="nil"/>
              <w:left w:val="nil"/>
              <w:bottom w:val="nil"/>
              <w:right w:val="nil"/>
            </w:tcBorders>
          </w:tcPr>
          <w:p w:rsidR="00617CB0" w:rsidRPr="00022D33" w:rsidRDefault="00617CB0" w:rsidP="000D7011">
            <w:pPr>
              <w:pStyle w:val="Tabletext"/>
              <w:jc w:val="right"/>
            </w:pPr>
            <w:r w:rsidRPr="00022D33">
              <w:t>1,938</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2,366</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Less: Unearned finance income</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(141)</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(218)</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Net investment in finance lease contracts</w:t>
            </w:r>
          </w:p>
        </w:tc>
        <w:tc>
          <w:tcPr>
            <w:tcW w:w="1474" w:type="dxa"/>
            <w:tcBorders>
              <w:top w:val="single" w:sz="4" w:space="0" w:color="auto"/>
              <w:left w:val="nil"/>
              <w:bottom w:val="single" w:sz="4" w:space="0" w:color="auto"/>
              <w:right w:val="nil"/>
            </w:tcBorders>
          </w:tcPr>
          <w:p w:rsidR="00617CB0" w:rsidRPr="00022D33" w:rsidRDefault="00617CB0" w:rsidP="000D7011">
            <w:pPr>
              <w:pStyle w:val="Tabletext"/>
              <w:jc w:val="right"/>
            </w:pPr>
            <w:r w:rsidRPr="00022D33">
              <w:t>1,797</w:t>
            </w:r>
          </w:p>
        </w:tc>
        <w:tc>
          <w:tcPr>
            <w:tcW w:w="1474"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pPr>
            <w:r w:rsidRPr="00022D33">
              <w:t>2,148</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Less: Unguaranteed residual values of the finance leases at the balance date</w:t>
            </w:r>
          </w:p>
        </w:tc>
        <w:tc>
          <w:tcPr>
            <w:tcW w:w="1474" w:type="dxa"/>
            <w:tcBorders>
              <w:top w:val="single" w:sz="4" w:space="0" w:color="auto"/>
              <w:left w:val="nil"/>
              <w:bottom w:val="single" w:sz="4" w:space="0" w:color="auto"/>
              <w:right w:val="nil"/>
            </w:tcBorders>
          </w:tcPr>
          <w:p w:rsidR="00617CB0" w:rsidRPr="00022D33" w:rsidRDefault="00617CB0" w:rsidP="000D7011">
            <w:pPr>
              <w:pStyle w:val="Tabletext"/>
              <w:jc w:val="right"/>
            </w:pPr>
            <w:r w:rsidRPr="00022D33">
              <w:t>-</w:t>
            </w:r>
          </w:p>
        </w:tc>
        <w:tc>
          <w:tcPr>
            <w:tcW w:w="1474"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pPr>
            <w:r w:rsidRPr="00022D33">
              <w:t>-</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Present value of the future minimum lease payment receivables</w:t>
            </w:r>
          </w:p>
        </w:tc>
        <w:tc>
          <w:tcPr>
            <w:tcW w:w="1474" w:type="dxa"/>
            <w:tcBorders>
              <w:top w:val="single" w:sz="4" w:space="0" w:color="auto"/>
              <w:left w:val="nil"/>
              <w:bottom w:val="single" w:sz="4" w:space="0" w:color="auto"/>
              <w:right w:val="nil"/>
            </w:tcBorders>
          </w:tcPr>
          <w:p w:rsidR="00617CB0" w:rsidRPr="00022D33" w:rsidRDefault="00617CB0" w:rsidP="000D7011">
            <w:pPr>
              <w:pStyle w:val="Tableboldedtext"/>
              <w:jc w:val="right"/>
            </w:pPr>
            <w:r w:rsidRPr="00022D33">
              <w:t>1,797</w:t>
            </w:r>
          </w:p>
        </w:tc>
        <w:tc>
          <w:tcPr>
            <w:tcW w:w="1474"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2,148</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Accumulated allowances for unallocated minimum lease payment receivables</w:t>
            </w:r>
          </w:p>
        </w:tc>
        <w:tc>
          <w:tcPr>
            <w:tcW w:w="1474" w:type="dxa"/>
            <w:tcBorders>
              <w:top w:val="single" w:sz="4" w:space="0" w:color="auto"/>
              <w:left w:val="nil"/>
              <w:bottom w:val="nil"/>
              <w:right w:val="nil"/>
            </w:tcBorders>
          </w:tcPr>
          <w:p w:rsidR="00617CB0" w:rsidRPr="00022D33" w:rsidRDefault="00617CB0" w:rsidP="000D7011">
            <w:pPr>
              <w:pStyle w:val="Tabletext"/>
              <w:jc w:val="right"/>
            </w:pPr>
            <w:r w:rsidRPr="00022D33">
              <w:t>-</w:t>
            </w:r>
          </w:p>
        </w:tc>
        <w:tc>
          <w:tcPr>
            <w:tcW w:w="1474" w:type="dxa"/>
            <w:tcBorders>
              <w:top w:val="single" w:sz="4" w:space="0" w:color="auto"/>
              <w:left w:val="nil"/>
              <w:bottom w:val="nil"/>
              <w:right w:val="nil"/>
            </w:tcBorders>
            <w:shd w:val="clear" w:color="auto" w:fill="auto"/>
          </w:tcPr>
          <w:p w:rsidR="00617CB0" w:rsidRPr="00022D33" w:rsidRDefault="00617CB0" w:rsidP="000D7011">
            <w:pPr>
              <w:pStyle w:val="Tabletext"/>
              <w:jc w:val="right"/>
            </w:pPr>
            <w:r w:rsidRPr="00022D33">
              <w:t>-</w:t>
            </w:r>
          </w:p>
        </w:tc>
      </w:tr>
      <w:tr w:rsidR="00617CB0" w:rsidRPr="00022D33" w:rsidTr="000D7011">
        <w:tc>
          <w:tcPr>
            <w:tcW w:w="8577" w:type="dxa"/>
            <w:gridSpan w:val="3"/>
            <w:tcBorders>
              <w:top w:val="nil"/>
              <w:left w:val="nil"/>
              <w:bottom w:val="nil"/>
              <w:right w:val="nil"/>
            </w:tcBorders>
            <w:shd w:val="clear" w:color="auto" w:fill="auto"/>
          </w:tcPr>
          <w:p w:rsidR="00617CB0" w:rsidRPr="00022D33" w:rsidRDefault="00617CB0" w:rsidP="000D7011">
            <w:pPr>
              <w:autoSpaceDE w:val="0"/>
              <w:autoSpaceDN w:val="0"/>
              <w:adjustRightInd w:val="0"/>
              <w:spacing w:after="0" w:line="240" w:lineRule="auto"/>
            </w:pPr>
            <w:r w:rsidRPr="00022D33">
              <w:rPr>
                <w:rFonts w:ascii="HelveticaNeueLT-Light" w:hAnsi="HelveticaNeueLT-Light" w:cs="HelveticaNeueLT-Light"/>
                <w:sz w:val="20"/>
                <w:szCs w:val="20"/>
                <w:lang w:eastAsia="en-AU"/>
              </w:rPr>
              <w:t>As at balance date, the gross investment and present value of receivables relating to the future minimum lease payments under non-cancellable finance lease arrangements were distributed as follows:</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Current</w:t>
            </w:r>
          </w:p>
        </w:tc>
        <w:tc>
          <w:tcPr>
            <w:tcW w:w="1474" w:type="dxa"/>
            <w:tcBorders>
              <w:top w:val="nil"/>
              <w:left w:val="nil"/>
              <w:bottom w:val="nil"/>
              <w:right w:val="nil"/>
            </w:tcBorders>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Not later than 1 year</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583</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560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Non-current</w:t>
            </w:r>
          </w:p>
        </w:tc>
        <w:tc>
          <w:tcPr>
            <w:tcW w:w="1474" w:type="dxa"/>
            <w:tcBorders>
              <w:top w:val="nil"/>
              <w:left w:val="nil"/>
              <w:bottom w:val="nil"/>
              <w:right w:val="nil"/>
            </w:tcBorders>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Later than 1 year and not later than 5 years</w:t>
            </w:r>
          </w:p>
        </w:tc>
        <w:tc>
          <w:tcPr>
            <w:tcW w:w="1474" w:type="dxa"/>
            <w:tcBorders>
              <w:top w:val="nil"/>
              <w:left w:val="nil"/>
              <w:bottom w:val="nil"/>
              <w:right w:val="nil"/>
            </w:tcBorders>
          </w:tcPr>
          <w:p w:rsidR="00617CB0" w:rsidRPr="00022D33" w:rsidRDefault="00617CB0" w:rsidP="000D7011">
            <w:pPr>
              <w:pStyle w:val="Tabletext"/>
              <w:jc w:val="right"/>
            </w:pPr>
            <w:r w:rsidRPr="00022D33">
              <w:t>1,214</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1,583</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Later than 5 years</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4</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single" w:sz="4" w:space="0" w:color="auto"/>
              <w:left w:val="nil"/>
              <w:bottom w:val="single" w:sz="4" w:space="0" w:color="auto"/>
              <w:right w:val="nil"/>
            </w:tcBorders>
          </w:tcPr>
          <w:p w:rsidR="00617CB0" w:rsidRPr="00022D33" w:rsidRDefault="00617CB0" w:rsidP="000D7011">
            <w:pPr>
              <w:pStyle w:val="Tabletext"/>
              <w:jc w:val="right"/>
            </w:pPr>
            <w:r w:rsidRPr="00022D33">
              <w:t>1,214</w:t>
            </w:r>
          </w:p>
        </w:tc>
        <w:tc>
          <w:tcPr>
            <w:tcW w:w="1474"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pPr>
            <w:r w:rsidRPr="00022D33">
              <w:t>1,588</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single" w:sz="4" w:space="0" w:color="auto"/>
              <w:left w:val="nil"/>
              <w:bottom w:val="double" w:sz="4" w:space="0" w:color="auto"/>
              <w:right w:val="nil"/>
            </w:tcBorders>
          </w:tcPr>
          <w:p w:rsidR="00617CB0" w:rsidRPr="00022D33" w:rsidRDefault="00617CB0" w:rsidP="000D7011">
            <w:pPr>
              <w:pStyle w:val="Tableboldedtext"/>
              <w:jc w:val="right"/>
            </w:pPr>
            <w:r w:rsidRPr="00022D33">
              <w:t>1,797</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2,148</w:t>
            </w:r>
          </w:p>
        </w:tc>
      </w:tr>
    </w:tbl>
    <w:p w:rsidR="00617CB0" w:rsidRDefault="00617CB0" w:rsidP="00617CB0">
      <w:pPr>
        <w:pStyle w:val="Heading3"/>
        <w:rPr>
          <w:spacing w:val="-1"/>
        </w:rPr>
        <w:sectPr w:rsidR="00617CB0" w:rsidSect="005F3639">
          <w:pgSz w:w="11906" w:h="16838" w:code="9"/>
          <w:pgMar w:top="1440" w:right="1440" w:bottom="1276" w:left="1440" w:header="0" w:footer="709" w:gutter="0"/>
          <w:cols w:space="708"/>
          <w:docGrid w:linePitch="360"/>
        </w:sectPr>
      </w:pPr>
    </w:p>
    <w:p w:rsidR="00617CB0" w:rsidRPr="00022D33" w:rsidRDefault="00617CB0" w:rsidP="00617CB0">
      <w:pPr>
        <w:pStyle w:val="Heading3"/>
      </w:pPr>
      <w:r w:rsidRPr="00022D33">
        <w:rPr>
          <w:spacing w:val="-1"/>
        </w:rPr>
        <w:t>Note</w:t>
      </w:r>
      <w:r w:rsidRPr="00022D33">
        <w:t xml:space="preserve"> 22. Inventories</w:t>
      </w:r>
    </w:p>
    <w:p w:rsidR="00617CB0" w:rsidRPr="00022D33" w:rsidRDefault="00196F4C" w:rsidP="00617CB0">
      <w:pPr>
        <w:pStyle w:val="Caption"/>
        <w:keepNext/>
        <w:spacing w:after="60"/>
        <w:rPr>
          <w:noProof/>
        </w:rPr>
      </w:pPr>
      <w:fldSimple w:instr=" SEQ Table \* ARABIC ">
        <w:r w:rsidR="00D8778B">
          <w:rPr>
            <w:noProof/>
          </w:rPr>
          <w:t>26</w:t>
        </w:r>
      </w:fldSimple>
      <w:r w:rsidR="00617CB0" w:rsidRPr="00022D33">
        <w:rPr>
          <w:noProof/>
        </w:rPr>
        <w:t xml:space="preserve"> Inventories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BodyText"/>
              <w:spacing w:line="228" w:lineRule="exact"/>
              <w:rPr>
                <w:spacing w:val="-1"/>
                <w:sz w:val="20"/>
                <w:szCs w:val="20"/>
                <w:u w:val="single"/>
              </w:rPr>
            </w:pPr>
            <w:r w:rsidRPr="00022D33">
              <w:rPr>
                <w:spacing w:val="-1"/>
                <w:sz w:val="20"/>
                <w:szCs w:val="20"/>
                <w:u w:val="single"/>
              </w:rPr>
              <w:t>Current</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BodyText"/>
              <w:spacing w:line="228" w:lineRule="exact"/>
              <w:rPr>
                <w:spacing w:val="-1"/>
                <w:sz w:val="20"/>
                <w:szCs w:val="20"/>
              </w:rPr>
            </w:pPr>
            <w:r w:rsidRPr="00022D33">
              <w:rPr>
                <w:spacing w:val="-1"/>
                <w:sz w:val="20"/>
                <w:szCs w:val="20"/>
              </w:rPr>
              <w:t>Inventories</w:t>
            </w:r>
            <w:r w:rsidRPr="00022D33">
              <w:rPr>
                <w:sz w:val="20"/>
                <w:szCs w:val="20"/>
              </w:rPr>
              <w:t xml:space="preserve"> held </w:t>
            </w:r>
            <w:r w:rsidRPr="00022D33">
              <w:rPr>
                <w:spacing w:val="-1"/>
                <w:sz w:val="20"/>
                <w:szCs w:val="20"/>
              </w:rPr>
              <w:t>for</w:t>
            </w:r>
            <w:r w:rsidRPr="00022D33">
              <w:rPr>
                <w:sz w:val="20"/>
                <w:szCs w:val="20"/>
              </w:rPr>
              <w:t xml:space="preserve"> </w:t>
            </w:r>
            <w:r w:rsidRPr="00022D33">
              <w:rPr>
                <w:spacing w:val="-1"/>
                <w:sz w:val="20"/>
                <w:szCs w:val="20"/>
              </w:rPr>
              <w:t>resale</w:t>
            </w:r>
            <w:r w:rsidRPr="00022D33">
              <w:rPr>
                <w:spacing w:val="-1"/>
                <w:sz w:val="20"/>
                <w:szCs w:val="20"/>
                <w:vertAlign w:val="superscript"/>
              </w:rPr>
              <w:t>(a)</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88</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88</w:t>
            </w:r>
          </w:p>
        </w:tc>
      </w:tr>
    </w:tbl>
    <w:p w:rsidR="00617CB0" w:rsidRPr="00022D33" w:rsidRDefault="00617CB0" w:rsidP="00617CB0">
      <w:pPr>
        <w:pStyle w:val="BodyText"/>
        <w:rPr>
          <w:sz w:val="20"/>
          <w:szCs w:val="20"/>
        </w:rPr>
      </w:pPr>
      <w:r w:rsidRPr="00022D33">
        <w:rPr>
          <w:sz w:val="20"/>
          <w:szCs w:val="20"/>
        </w:rPr>
        <w:t>(a) Inventories were part of the Fremantle Prison operations transferred to State Heritage Office effective 1 July 2015</w:t>
      </w:r>
    </w:p>
    <w:p w:rsidR="00617CB0" w:rsidRPr="00022D33" w:rsidRDefault="00617CB0" w:rsidP="00617CB0">
      <w:pPr>
        <w:pStyle w:val="Heading3"/>
      </w:pPr>
      <w:r w:rsidRPr="00022D33">
        <w:rPr>
          <w:spacing w:val="-1"/>
        </w:rPr>
        <w:t>Note</w:t>
      </w:r>
      <w:r w:rsidRPr="00022D33">
        <w:t xml:space="preserve"> 23. </w:t>
      </w:r>
      <w:r w:rsidRPr="00022D33">
        <w:rPr>
          <w:spacing w:val="-1"/>
        </w:rPr>
        <w:t>Amounts</w:t>
      </w:r>
      <w:r w:rsidRPr="00022D33">
        <w:t xml:space="preserve"> </w:t>
      </w:r>
      <w:r w:rsidRPr="00022D33">
        <w:rPr>
          <w:spacing w:val="-1"/>
        </w:rPr>
        <w:t>receivable</w:t>
      </w:r>
      <w:r w:rsidRPr="00022D33">
        <w:t xml:space="preserve"> </w:t>
      </w:r>
      <w:r w:rsidRPr="00022D33">
        <w:rPr>
          <w:spacing w:val="-2"/>
        </w:rPr>
        <w:t>for</w:t>
      </w:r>
      <w:r w:rsidRPr="00022D33">
        <w:rPr>
          <w:spacing w:val="30"/>
        </w:rPr>
        <w:t xml:space="preserve"> </w:t>
      </w:r>
      <w:r w:rsidRPr="00022D33">
        <w:t xml:space="preserve">services (Holding </w:t>
      </w:r>
      <w:r w:rsidRPr="00022D33">
        <w:rPr>
          <w:spacing w:val="-2"/>
        </w:rPr>
        <w:t>Account)</w:t>
      </w:r>
    </w:p>
    <w:p w:rsidR="00617CB0" w:rsidRPr="00022D33" w:rsidRDefault="00196F4C" w:rsidP="00617CB0">
      <w:pPr>
        <w:pStyle w:val="Caption"/>
        <w:keepNext/>
        <w:spacing w:after="60"/>
        <w:rPr>
          <w:noProof/>
        </w:rPr>
      </w:pPr>
      <w:fldSimple w:instr=" SEQ Table \* ARABIC ">
        <w:r w:rsidR="00D8778B">
          <w:rPr>
            <w:noProof/>
          </w:rPr>
          <w:t>27</w:t>
        </w:r>
      </w:fldSimple>
      <w:r w:rsidR="00617CB0" w:rsidRPr="00022D33">
        <w:rPr>
          <w:noProof/>
        </w:rPr>
        <w:t xml:space="preserve"> Amounts receivable for services (Holding Account)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Current </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1,531</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1,469</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Non-current</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410,183</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380,682</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r w:rsidRPr="00022D33">
              <w:t>Total</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411,714</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382,151</w:t>
            </w:r>
          </w:p>
        </w:tc>
      </w:tr>
    </w:tbl>
    <w:p w:rsidR="00617CB0" w:rsidRPr="00022D33" w:rsidRDefault="00617CB0" w:rsidP="00617CB0">
      <w:pPr>
        <w:pStyle w:val="BodyText"/>
      </w:pPr>
      <w:r w:rsidRPr="00022D33">
        <w:t>Represents the non-cash component of service appropriations. It is restricted in that it can only be used for asset replacement or payment of leave liability.</w:t>
      </w:r>
    </w:p>
    <w:p w:rsidR="00617CB0" w:rsidRPr="00022D33" w:rsidRDefault="00617CB0" w:rsidP="00617CB0">
      <w:pPr>
        <w:pStyle w:val="Heading3"/>
      </w:pPr>
      <w:r w:rsidRPr="00022D33">
        <w:rPr>
          <w:spacing w:val="-1"/>
        </w:rPr>
        <w:t>Note</w:t>
      </w:r>
      <w:r w:rsidRPr="00022D33">
        <w:t xml:space="preserve"> 24. Other assets</w:t>
      </w:r>
    </w:p>
    <w:p w:rsidR="00617CB0" w:rsidRPr="00022D33" w:rsidRDefault="00196F4C" w:rsidP="00617CB0">
      <w:pPr>
        <w:pStyle w:val="Caption"/>
        <w:keepNext/>
        <w:spacing w:after="60"/>
        <w:rPr>
          <w:noProof/>
        </w:rPr>
      </w:pPr>
      <w:fldSimple w:instr=" SEQ Table \* ARABIC ">
        <w:r w:rsidR="00D8778B">
          <w:rPr>
            <w:noProof/>
          </w:rPr>
          <w:t>28</w:t>
        </w:r>
      </w:fldSimple>
      <w:r w:rsidR="00617CB0">
        <w:rPr>
          <w:noProof/>
        </w:rPr>
        <w:t xml:space="preserve"> </w:t>
      </w:r>
      <w:r w:rsidR="00617CB0" w:rsidRPr="00022D33">
        <w:rPr>
          <w:noProof/>
        </w:rPr>
        <w:t>Other assets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Current</w:t>
            </w:r>
          </w:p>
        </w:tc>
        <w:tc>
          <w:tcPr>
            <w:tcW w:w="1474" w:type="dxa"/>
            <w:tcBorders>
              <w:top w:val="nil"/>
              <w:left w:val="nil"/>
              <w:bottom w:val="nil"/>
              <w:right w:val="nil"/>
            </w:tcBorders>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Prepayments</w:t>
            </w:r>
          </w:p>
        </w:tc>
        <w:tc>
          <w:tcPr>
            <w:tcW w:w="1474" w:type="dxa"/>
            <w:tcBorders>
              <w:top w:val="nil"/>
              <w:left w:val="nil"/>
              <w:bottom w:val="nil"/>
              <w:right w:val="nil"/>
            </w:tcBorders>
          </w:tcPr>
          <w:p w:rsidR="00617CB0" w:rsidRPr="00022D33" w:rsidRDefault="00617CB0" w:rsidP="000D7011">
            <w:pPr>
              <w:pStyle w:val="Tabletext"/>
              <w:jc w:val="right"/>
            </w:pPr>
            <w:r w:rsidRPr="00022D33">
              <w:t>25,245</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25,565</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rPr>
                <w:b w:val="0"/>
              </w:rPr>
            </w:pPr>
            <w:r w:rsidRPr="00022D33">
              <w:rPr>
                <w:b w:val="0"/>
              </w:rPr>
              <w:t>Other</w:t>
            </w:r>
          </w:p>
        </w:tc>
        <w:tc>
          <w:tcPr>
            <w:tcW w:w="1474" w:type="dxa"/>
            <w:tcBorders>
              <w:top w:val="nil"/>
              <w:left w:val="nil"/>
              <w:bottom w:val="single" w:sz="4" w:space="0" w:color="auto"/>
              <w:right w:val="nil"/>
            </w:tcBorders>
          </w:tcPr>
          <w:p w:rsidR="00617CB0" w:rsidRPr="00022D33" w:rsidRDefault="00617CB0" w:rsidP="000D7011">
            <w:pPr>
              <w:pStyle w:val="Tableboldedtext"/>
              <w:jc w:val="right"/>
              <w:rPr>
                <w:b w:val="0"/>
              </w:rPr>
            </w:pPr>
            <w:r w:rsidRPr="00022D33">
              <w:rPr>
                <w:b w:val="0"/>
              </w:rPr>
              <w:t>3,607</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boldedtext"/>
              <w:jc w:val="right"/>
              <w:rPr>
                <w:b w:val="0"/>
              </w:rPr>
            </w:pPr>
            <w:r w:rsidRPr="00022D33">
              <w:rPr>
                <w:b w:val="0"/>
              </w:rPr>
              <w:t>-</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b/>
                <w:u w:val="single"/>
              </w:rPr>
            </w:pPr>
          </w:p>
        </w:tc>
        <w:tc>
          <w:tcPr>
            <w:tcW w:w="1474" w:type="dxa"/>
            <w:tcBorders>
              <w:top w:val="single" w:sz="4" w:space="0" w:color="auto"/>
              <w:left w:val="nil"/>
              <w:bottom w:val="single" w:sz="4" w:space="0" w:color="auto"/>
              <w:right w:val="nil"/>
            </w:tcBorders>
          </w:tcPr>
          <w:p w:rsidR="00617CB0" w:rsidRPr="00022D33" w:rsidRDefault="00617CB0" w:rsidP="000D7011">
            <w:pPr>
              <w:pStyle w:val="Tabletext"/>
              <w:jc w:val="right"/>
              <w:rPr>
                <w:b/>
              </w:rPr>
            </w:pPr>
            <w:r w:rsidRPr="00022D33">
              <w:rPr>
                <w:b/>
              </w:rPr>
              <w:t>28,852</w:t>
            </w:r>
          </w:p>
        </w:tc>
        <w:tc>
          <w:tcPr>
            <w:tcW w:w="1474"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rPr>
                <w:b/>
              </w:rPr>
            </w:pPr>
            <w:r w:rsidRPr="00022D33">
              <w:rPr>
                <w:b/>
              </w:rPr>
              <w:t>25,565</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Non-current</w:t>
            </w:r>
          </w:p>
        </w:tc>
        <w:tc>
          <w:tcPr>
            <w:tcW w:w="1474" w:type="dxa"/>
            <w:tcBorders>
              <w:top w:val="single" w:sz="4" w:space="0" w:color="auto"/>
              <w:left w:val="nil"/>
              <w:bottom w:val="nil"/>
              <w:right w:val="nil"/>
            </w:tcBorders>
          </w:tcPr>
          <w:p w:rsidR="00617CB0" w:rsidRPr="00022D33" w:rsidRDefault="00617CB0" w:rsidP="000D7011">
            <w:pPr>
              <w:pStyle w:val="Tabletext"/>
              <w:jc w:val="right"/>
            </w:pPr>
          </w:p>
        </w:tc>
        <w:tc>
          <w:tcPr>
            <w:tcW w:w="1474" w:type="dxa"/>
            <w:tcBorders>
              <w:top w:val="single" w:sz="4" w:space="0" w:color="auto"/>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Prepayments</w:t>
            </w:r>
          </w:p>
        </w:tc>
        <w:tc>
          <w:tcPr>
            <w:tcW w:w="1474" w:type="dxa"/>
            <w:tcBorders>
              <w:top w:val="nil"/>
              <w:left w:val="nil"/>
              <w:bottom w:val="nil"/>
              <w:right w:val="nil"/>
            </w:tcBorders>
          </w:tcPr>
          <w:p w:rsidR="00617CB0" w:rsidRPr="00022D33" w:rsidRDefault="00617CB0" w:rsidP="000D7011">
            <w:pPr>
              <w:pStyle w:val="Tabletext"/>
              <w:jc w:val="right"/>
            </w:pPr>
            <w:r w:rsidRPr="00022D33">
              <w:t>517</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1,170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Other</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1,612</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b/>
              </w:rPr>
            </w:pPr>
          </w:p>
        </w:tc>
        <w:tc>
          <w:tcPr>
            <w:tcW w:w="1474" w:type="dxa"/>
            <w:tcBorders>
              <w:top w:val="single" w:sz="4" w:space="0" w:color="auto"/>
              <w:left w:val="nil"/>
              <w:bottom w:val="double" w:sz="4" w:space="0" w:color="auto"/>
              <w:right w:val="nil"/>
            </w:tcBorders>
          </w:tcPr>
          <w:p w:rsidR="00617CB0" w:rsidRPr="00022D33" w:rsidRDefault="00617CB0" w:rsidP="000D7011">
            <w:pPr>
              <w:pStyle w:val="Tabletext"/>
              <w:jc w:val="right"/>
              <w:rPr>
                <w:b/>
              </w:rPr>
            </w:pPr>
            <w:r w:rsidRPr="00022D33">
              <w:rPr>
                <w:b/>
              </w:rPr>
              <w:t>2,129</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text"/>
              <w:jc w:val="right"/>
              <w:rPr>
                <w:b/>
              </w:rPr>
            </w:pPr>
            <w:r w:rsidRPr="00022D33">
              <w:rPr>
                <w:b/>
              </w:rPr>
              <w:t>1,170</w:t>
            </w:r>
          </w:p>
        </w:tc>
      </w:tr>
    </w:tbl>
    <w:p w:rsidR="00617CB0" w:rsidRDefault="00617CB0" w:rsidP="00617CB0">
      <w:pPr>
        <w:pStyle w:val="Heading3"/>
        <w:sectPr w:rsidR="00617CB0" w:rsidSect="005F3639">
          <w:pgSz w:w="11906" w:h="16838" w:code="9"/>
          <w:pgMar w:top="1440" w:right="1440" w:bottom="1276" w:left="1440" w:header="0" w:footer="709" w:gutter="0"/>
          <w:cols w:space="708"/>
          <w:docGrid w:linePitch="360"/>
        </w:sectPr>
      </w:pPr>
    </w:p>
    <w:p w:rsidR="00617CB0" w:rsidRPr="00022D33" w:rsidRDefault="00617CB0" w:rsidP="00617CB0">
      <w:pPr>
        <w:pStyle w:val="Heading3"/>
      </w:pPr>
      <w:r w:rsidRPr="00022D33">
        <w:t>Note 25. Property, plant, equipment and vehicles</w:t>
      </w:r>
    </w:p>
    <w:p w:rsidR="00617CB0" w:rsidRPr="00022D33" w:rsidRDefault="00196F4C" w:rsidP="00617CB0">
      <w:pPr>
        <w:pStyle w:val="Caption"/>
        <w:keepNext/>
        <w:spacing w:after="60"/>
        <w:rPr>
          <w:noProof/>
        </w:rPr>
      </w:pPr>
      <w:fldSimple w:instr=" SEQ Table \* ARABIC ">
        <w:r w:rsidR="00D8778B">
          <w:rPr>
            <w:noProof/>
          </w:rPr>
          <w:t>29</w:t>
        </w:r>
      </w:fldSimple>
      <w:r w:rsidR="00617CB0" w:rsidRPr="00022D33">
        <w:rPr>
          <w:noProof/>
        </w:rPr>
        <w:t xml:space="preserve"> Property, plant, equipment and vehicles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Land</w:t>
            </w:r>
          </w:p>
        </w:tc>
        <w:tc>
          <w:tcPr>
            <w:tcW w:w="1474" w:type="dxa"/>
            <w:tcBorders>
              <w:top w:val="nil"/>
              <w:left w:val="nil"/>
              <w:bottom w:val="nil"/>
              <w:right w:val="nil"/>
            </w:tcBorders>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At fair value </w:t>
            </w:r>
            <w:r w:rsidRPr="00022D33">
              <w:rPr>
                <w:vertAlign w:val="superscript"/>
              </w:rPr>
              <w:t>(a)</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151,512</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174,665</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p>
        </w:tc>
        <w:tc>
          <w:tcPr>
            <w:tcW w:w="1474" w:type="dxa"/>
            <w:tcBorders>
              <w:top w:val="single" w:sz="4" w:space="0" w:color="auto"/>
              <w:left w:val="nil"/>
              <w:bottom w:val="single" w:sz="4" w:space="0" w:color="auto"/>
              <w:right w:val="nil"/>
            </w:tcBorders>
          </w:tcPr>
          <w:p w:rsidR="00617CB0" w:rsidRPr="00022D33" w:rsidRDefault="00617CB0" w:rsidP="000D7011">
            <w:pPr>
              <w:pStyle w:val="Tabletext"/>
              <w:jc w:val="right"/>
            </w:pPr>
            <w:r w:rsidRPr="00022D33">
              <w:t>151,512</w:t>
            </w:r>
          </w:p>
        </w:tc>
        <w:tc>
          <w:tcPr>
            <w:tcW w:w="1474"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pPr>
            <w:r w:rsidRPr="00022D33">
              <w:t>174,655</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Buildings</w:t>
            </w:r>
          </w:p>
        </w:tc>
        <w:tc>
          <w:tcPr>
            <w:tcW w:w="1474" w:type="dxa"/>
            <w:tcBorders>
              <w:top w:val="nil"/>
              <w:left w:val="nil"/>
              <w:bottom w:val="nil"/>
              <w:right w:val="nil"/>
            </w:tcBorders>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At fair value </w:t>
            </w:r>
            <w:r w:rsidRPr="00022D33">
              <w:rPr>
                <w:vertAlign w:val="superscript"/>
              </w:rPr>
              <w:t>(a)</w:t>
            </w:r>
          </w:p>
        </w:tc>
        <w:tc>
          <w:tcPr>
            <w:tcW w:w="1474" w:type="dxa"/>
            <w:tcBorders>
              <w:top w:val="nil"/>
              <w:left w:val="nil"/>
              <w:bottom w:val="nil"/>
              <w:right w:val="nil"/>
            </w:tcBorders>
          </w:tcPr>
          <w:p w:rsidR="00617CB0" w:rsidRPr="00022D33" w:rsidRDefault="00617CB0" w:rsidP="000D7011">
            <w:pPr>
              <w:pStyle w:val="Tabletext"/>
              <w:jc w:val="right"/>
            </w:pPr>
            <w:r w:rsidRPr="00022D33">
              <w:t>166,391</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247,379</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Accumulated depreciation</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(3,649)</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(4,581)</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p>
        </w:tc>
        <w:tc>
          <w:tcPr>
            <w:tcW w:w="1474" w:type="dxa"/>
            <w:tcBorders>
              <w:top w:val="single" w:sz="4" w:space="0" w:color="auto"/>
              <w:left w:val="nil"/>
              <w:bottom w:val="single" w:sz="4" w:space="0" w:color="auto"/>
              <w:right w:val="nil"/>
            </w:tcBorders>
          </w:tcPr>
          <w:p w:rsidR="00617CB0" w:rsidRPr="00022D33" w:rsidRDefault="00617CB0" w:rsidP="000D7011">
            <w:pPr>
              <w:pStyle w:val="Tabletext"/>
              <w:jc w:val="right"/>
            </w:pPr>
            <w:r w:rsidRPr="00022D33">
              <w:t>162,742</w:t>
            </w:r>
          </w:p>
        </w:tc>
        <w:tc>
          <w:tcPr>
            <w:tcW w:w="1474"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pPr>
            <w:r w:rsidRPr="00022D33">
              <w:t>242,798</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Leasehold improvements</w:t>
            </w:r>
          </w:p>
        </w:tc>
        <w:tc>
          <w:tcPr>
            <w:tcW w:w="1474" w:type="dxa"/>
            <w:tcBorders>
              <w:top w:val="nil"/>
              <w:left w:val="nil"/>
              <w:bottom w:val="nil"/>
              <w:right w:val="nil"/>
            </w:tcBorders>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At cost</w:t>
            </w:r>
          </w:p>
        </w:tc>
        <w:tc>
          <w:tcPr>
            <w:tcW w:w="1474" w:type="dxa"/>
            <w:tcBorders>
              <w:top w:val="nil"/>
              <w:left w:val="nil"/>
              <w:bottom w:val="nil"/>
              <w:right w:val="nil"/>
            </w:tcBorders>
          </w:tcPr>
          <w:p w:rsidR="00617CB0" w:rsidRPr="00022D33" w:rsidRDefault="00617CB0" w:rsidP="000D7011">
            <w:pPr>
              <w:pStyle w:val="Tabletext"/>
              <w:jc w:val="right"/>
            </w:pPr>
            <w:r w:rsidRPr="00022D33">
              <w:t>47,367</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43,119</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Accumulated depreciation</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(21,583)</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(15,526)</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p>
        </w:tc>
        <w:tc>
          <w:tcPr>
            <w:tcW w:w="1474" w:type="dxa"/>
            <w:tcBorders>
              <w:top w:val="single" w:sz="4" w:space="0" w:color="auto"/>
              <w:left w:val="nil"/>
              <w:bottom w:val="single" w:sz="4" w:space="0" w:color="auto"/>
              <w:right w:val="nil"/>
            </w:tcBorders>
          </w:tcPr>
          <w:p w:rsidR="00617CB0" w:rsidRPr="00022D33" w:rsidRDefault="00617CB0" w:rsidP="000D7011">
            <w:pPr>
              <w:pStyle w:val="Tabletext"/>
              <w:jc w:val="right"/>
            </w:pPr>
            <w:r w:rsidRPr="00022D33">
              <w:t>25,784</w:t>
            </w:r>
          </w:p>
        </w:tc>
        <w:tc>
          <w:tcPr>
            <w:tcW w:w="1474"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pPr>
            <w:r w:rsidRPr="00022D33">
              <w:t>27,593</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Office equipment</w:t>
            </w:r>
          </w:p>
        </w:tc>
        <w:tc>
          <w:tcPr>
            <w:tcW w:w="1474" w:type="dxa"/>
            <w:tcBorders>
              <w:top w:val="nil"/>
              <w:left w:val="nil"/>
              <w:bottom w:val="nil"/>
              <w:right w:val="nil"/>
            </w:tcBorders>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At cost</w:t>
            </w:r>
          </w:p>
        </w:tc>
        <w:tc>
          <w:tcPr>
            <w:tcW w:w="1474" w:type="dxa"/>
            <w:tcBorders>
              <w:top w:val="nil"/>
              <w:left w:val="nil"/>
              <w:bottom w:val="nil"/>
              <w:right w:val="nil"/>
            </w:tcBorders>
          </w:tcPr>
          <w:p w:rsidR="00617CB0" w:rsidRPr="00022D33" w:rsidRDefault="00617CB0" w:rsidP="000D7011">
            <w:pPr>
              <w:pStyle w:val="Tabletext"/>
              <w:jc w:val="right"/>
            </w:pPr>
            <w:r w:rsidRPr="00022D33">
              <w:t>293</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315</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Accumulated depreciation</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(169)</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(186)</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single" w:sz="4" w:space="0" w:color="auto"/>
              <w:left w:val="nil"/>
              <w:bottom w:val="single" w:sz="4" w:space="0" w:color="auto"/>
              <w:right w:val="nil"/>
            </w:tcBorders>
          </w:tcPr>
          <w:p w:rsidR="00617CB0" w:rsidRPr="00022D33" w:rsidRDefault="00617CB0" w:rsidP="000D7011">
            <w:pPr>
              <w:pStyle w:val="Tabletext"/>
              <w:jc w:val="right"/>
            </w:pPr>
            <w:r w:rsidRPr="00022D33">
              <w:t>124</w:t>
            </w:r>
          </w:p>
        </w:tc>
        <w:tc>
          <w:tcPr>
            <w:tcW w:w="1474"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pPr>
            <w:r w:rsidRPr="00022D33">
              <w:t>129</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Computer equipment</w:t>
            </w:r>
          </w:p>
        </w:tc>
        <w:tc>
          <w:tcPr>
            <w:tcW w:w="1474" w:type="dxa"/>
            <w:tcBorders>
              <w:top w:val="nil"/>
              <w:left w:val="nil"/>
              <w:bottom w:val="nil"/>
              <w:right w:val="nil"/>
            </w:tcBorders>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At cost</w:t>
            </w:r>
          </w:p>
        </w:tc>
        <w:tc>
          <w:tcPr>
            <w:tcW w:w="1474" w:type="dxa"/>
            <w:tcBorders>
              <w:top w:val="nil"/>
              <w:left w:val="nil"/>
              <w:bottom w:val="nil"/>
              <w:right w:val="nil"/>
            </w:tcBorders>
          </w:tcPr>
          <w:p w:rsidR="00617CB0" w:rsidRPr="00022D33" w:rsidRDefault="00617CB0" w:rsidP="000D7011">
            <w:pPr>
              <w:pStyle w:val="Tabletext"/>
              <w:jc w:val="right"/>
            </w:pPr>
            <w:r w:rsidRPr="00022D33">
              <w:t>5,895</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5,687</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Accumulated depreciation</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(4,615)</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(4,303)</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single" w:sz="4" w:space="0" w:color="auto"/>
              <w:left w:val="nil"/>
              <w:bottom w:val="single" w:sz="4" w:space="0" w:color="auto"/>
              <w:right w:val="nil"/>
            </w:tcBorders>
          </w:tcPr>
          <w:p w:rsidR="00617CB0" w:rsidRPr="00022D33" w:rsidRDefault="00617CB0" w:rsidP="000D7011">
            <w:pPr>
              <w:pStyle w:val="Tabletext"/>
              <w:jc w:val="right"/>
            </w:pPr>
            <w:r w:rsidRPr="00022D33">
              <w:t>1,280</w:t>
            </w:r>
          </w:p>
        </w:tc>
        <w:tc>
          <w:tcPr>
            <w:tcW w:w="1474"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pPr>
            <w:r w:rsidRPr="00022D33">
              <w:t>1,384</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Office fit-out</w:t>
            </w:r>
          </w:p>
        </w:tc>
        <w:tc>
          <w:tcPr>
            <w:tcW w:w="1474" w:type="dxa"/>
            <w:tcBorders>
              <w:top w:val="nil"/>
              <w:left w:val="nil"/>
              <w:bottom w:val="nil"/>
              <w:right w:val="nil"/>
            </w:tcBorders>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At cost</w:t>
            </w:r>
          </w:p>
        </w:tc>
        <w:tc>
          <w:tcPr>
            <w:tcW w:w="1474" w:type="dxa"/>
            <w:tcBorders>
              <w:top w:val="nil"/>
              <w:left w:val="nil"/>
              <w:bottom w:val="nil"/>
              <w:right w:val="nil"/>
            </w:tcBorders>
          </w:tcPr>
          <w:p w:rsidR="00617CB0" w:rsidRPr="00022D33" w:rsidRDefault="00617CB0" w:rsidP="000D7011">
            <w:pPr>
              <w:pStyle w:val="Tabletext"/>
              <w:jc w:val="right"/>
            </w:pPr>
            <w:r w:rsidRPr="00022D33">
              <w:t>115,918</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123,444</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Accumulated depreciation</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(55,190)</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(48,680)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p>
        </w:tc>
        <w:tc>
          <w:tcPr>
            <w:tcW w:w="1474" w:type="dxa"/>
            <w:tcBorders>
              <w:top w:val="single" w:sz="4" w:space="0" w:color="auto"/>
              <w:left w:val="nil"/>
              <w:bottom w:val="single" w:sz="4" w:space="0" w:color="auto"/>
              <w:right w:val="nil"/>
            </w:tcBorders>
          </w:tcPr>
          <w:p w:rsidR="00617CB0" w:rsidRPr="00022D33" w:rsidRDefault="00617CB0" w:rsidP="000D7011">
            <w:pPr>
              <w:pStyle w:val="Tabletext"/>
              <w:jc w:val="right"/>
            </w:pPr>
            <w:r w:rsidRPr="00022D33">
              <w:t>60,728</w:t>
            </w:r>
          </w:p>
        </w:tc>
        <w:tc>
          <w:tcPr>
            <w:tcW w:w="1474"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pPr>
            <w:r w:rsidRPr="00022D33">
              <w:t>74,764</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Motor vehicles</w:t>
            </w:r>
          </w:p>
        </w:tc>
        <w:tc>
          <w:tcPr>
            <w:tcW w:w="1474" w:type="dxa"/>
            <w:tcBorders>
              <w:top w:val="nil"/>
              <w:left w:val="nil"/>
              <w:bottom w:val="nil"/>
              <w:right w:val="nil"/>
            </w:tcBorders>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At cost</w:t>
            </w:r>
          </w:p>
        </w:tc>
        <w:tc>
          <w:tcPr>
            <w:tcW w:w="1474" w:type="dxa"/>
            <w:tcBorders>
              <w:top w:val="nil"/>
              <w:left w:val="nil"/>
              <w:bottom w:val="nil"/>
              <w:right w:val="nil"/>
            </w:tcBorders>
          </w:tcPr>
          <w:p w:rsidR="00617CB0" w:rsidRPr="00022D33" w:rsidRDefault="00617CB0" w:rsidP="000D7011">
            <w:pPr>
              <w:pStyle w:val="Tabletext"/>
              <w:jc w:val="right"/>
            </w:pPr>
            <w:r w:rsidRPr="00022D33">
              <w:t>394,969</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392,028</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Accumulated depreciation</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(133,365)</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(133,913)</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p>
        </w:tc>
        <w:tc>
          <w:tcPr>
            <w:tcW w:w="1474" w:type="dxa"/>
            <w:tcBorders>
              <w:top w:val="single" w:sz="4" w:space="0" w:color="auto"/>
              <w:left w:val="nil"/>
              <w:bottom w:val="single" w:sz="4" w:space="0" w:color="auto"/>
              <w:right w:val="nil"/>
            </w:tcBorders>
          </w:tcPr>
          <w:p w:rsidR="00617CB0" w:rsidRPr="00022D33" w:rsidRDefault="00617CB0" w:rsidP="000D7011">
            <w:pPr>
              <w:pStyle w:val="Tabletext"/>
              <w:jc w:val="right"/>
            </w:pPr>
            <w:r w:rsidRPr="00022D33">
              <w:t>261,604</w:t>
            </w:r>
          </w:p>
        </w:tc>
        <w:tc>
          <w:tcPr>
            <w:tcW w:w="1474"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pPr>
            <w:r w:rsidRPr="00022D33">
              <w:t>258,115</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Works in progress</w:t>
            </w:r>
          </w:p>
        </w:tc>
        <w:tc>
          <w:tcPr>
            <w:tcW w:w="1474" w:type="dxa"/>
            <w:tcBorders>
              <w:top w:val="nil"/>
              <w:left w:val="nil"/>
              <w:bottom w:val="nil"/>
              <w:right w:val="nil"/>
            </w:tcBorders>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At cost</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90,060</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25,254</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p>
        </w:tc>
        <w:tc>
          <w:tcPr>
            <w:tcW w:w="1474" w:type="dxa"/>
            <w:tcBorders>
              <w:top w:val="single" w:sz="4" w:space="0" w:color="auto"/>
              <w:left w:val="nil"/>
              <w:bottom w:val="single" w:sz="4" w:space="0" w:color="auto"/>
              <w:right w:val="nil"/>
            </w:tcBorders>
          </w:tcPr>
          <w:p w:rsidR="00617CB0" w:rsidRPr="00022D33" w:rsidRDefault="00617CB0" w:rsidP="000D7011">
            <w:pPr>
              <w:pStyle w:val="Tabletext"/>
              <w:jc w:val="right"/>
            </w:pPr>
            <w:r w:rsidRPr="00022D33">
              <w:t>90,060</w:t>
            </w:r>
          </w:p>
        </w:tc>
        <w:tc>
          <w:tcPr>
            <w:tcW w:w="1474"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pPr>
            <w:r w:rsidRPr="00022D33">
              <w:t>25,254</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b/>
              </w:rPr>
            </w:pPr>
            <w:r w:rsidRPr="00022D33">
              <w:rPr>
                <w:b/>
              </w:rPr>
              <w:t>Total</w:t>
            </w:r>
          </w:p>
        </w:tc>
        <w:tc>
          <w:tcPr>
            <w:tcW w:w="1474" w:type="dxa"/>
            <w:tcBorders>
              <w:top w:val="nil"/>
              <w:left w:val="nil"/>
              <w:bottom w:val="nil"/>
              <w:right w:val="nil"/>
            </w:tcBorders>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At fair value/cost </w:t>
            </w:r>
          </w:p>
        </w:tc>
        <w:tc>
          <w:tcPr>
            <w:tcW w:w="1474" w:type="dxa"/>
            <w:tcBorders>
              <w:top w:val="nil"/>
              <w:left w:val="nil"/>
              <w:bottom w:val="nil"/>
              <w:right w:val="nil"/>
            </w:tcBorders>
          </w:tcPr>
          <w:p w:rsidR="00617CB0" w:rsidRPr="00022D33" w:rsidRDefault="00617CB0" w:rsidP="000D7011">
            <w:pPr>
              <w:pStyle w:val="Tabletext"/>
              <w:jc w:val="right"/>
            </w:pPr>
            <w:r w:rsidRPr="00022D33">
              <w:t>972,405</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1,011,891</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Accumulated depreciation</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(218,571)</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(207,189)</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r w:rsidRPr="00022D33">
              <w:t>Total</w:t>
            </w:r>
          </w:p>
        </w:tc>
        <w:tc>
          <w:tcPr>
            <w:tcW w:w="1474" w:type="dxa"/>
            <w:tcBorders>
              <w:top w:val="single" w:sz="4" w:space="0" w:color="auto"/>
              <w:left w:val="nil"/>
              <w:bottom w:val="double" w:sz="4" w:space="0" w:color="auto"/>
              <w:right w:val="nil"/>
            </w:tcBorders>
          </w:tcPr>
          <w:p w:rsidR="00617CB0" w:rsidRPr="00022D33" w:rsidRDefault="00617CB0" w:rsidP="000D7011">
            <w:pPr>
              <w:pStyle w:val="Tableboldedtext"/>
              <w:jc w:val="right"/>
            </w:pPr>
            <w:r w:rsidRPr="00022D33">
              <w:t>753,834</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804,702</w:t>
            </w:r>
          </w:p>
        </w:tc>
      </w:tr>
    </w:tbl>
    <w:p w:rsidR="00617CB0" w:rsidRPr="00022D33" w:rsidRDefault="00617CB0" w:rsidP="00617CB0">
      <w:pPr>
        <w:pStyle w:val="BodyText"/>
        <w:numPr>
          <w:ilvl w:val="0"/>
          <w:numId w:val="13"/>
        </w:numPr>
        <w:spacing w:after="141"/>
        <w:rPr>
          <w:sz w:val="20"/>
          <w:szCs w:val="20"/>
        </w:rPr>
      </w:pPr>
      <w:r w:rsidRPr="00022D33">
        <w:rPr>
          <w:sz w:val="20"/>
          <w:szCs w:val="20"/>
        </w:rPr>
        <w:t xml:space="preserve">Land and buildings were revalued as at 1 July 2015 by the Western Australian Land Information Authority (Valuation Services). The valuations were performed during the year ended 30 June 2016 and recognised at 30 June 2016. In undertaking the revaluation, fair value was determined by reference to market values for land: $59,595,000 (2015: $62,840,000) and buildings: $107,440,000 (2015: $161,710,000). For the remaining balance, fair value of buildings was determined on the basis of depreciated replacement cost and fair value of land was determined on the basis of comparison with market evidence for land with low level utility (high restricted use land). Information on fair value measurement is provided in Note 26 'Fair value measurement'. </w:t>
      </w:r>
    </w:p>
    <w:p w:rsidR="00617CB0" w:rsidRPr="00022D33" w:rsidRDefault="00617CB0" w:rsidP="00617CB0">
      <w:pPr>
        <w:pStyle w:val="BodyText"/>
        <w:spacing w:after="141"/>
      </w:pPr>
      <w:r w:rsidRPr="00022D33">
        <w:t>Reconciliations of the carrying amounts of property, plant and equipment and vehicles at the beginning and end of the reporting period are set out in the table below.</w:t>
      </w:r>
    </w:p>
    <w:p w:rsidR="00617CB0" w:rsidRPr="00022D33" w:rsidRDefault="00196F4C" w:rsidP="00617CB0">
      <w:pPr>
        <w:pStyle w:val="Caption"/>
        <w:keepNext/>
        <w:spacing w:after="60"/>
        <w:rPr>
          <w:noProof/>
        </w:rPr>
      </w:pPr>
      <w:fldSimple w:instr=" SEQ Table \* ARABIC ">
        <w:r w:rsidR="00D8778B">
          <w:rPr>
            <w:noProof/>
          </w:rPr>
          <w:t>30</w:t>
        </w:r>
      </w:fldSimple>
      <w:r w:rsidR="00617CB0" w:rsidRPr="00022D33">
        <w:rPr>
          <w:noProof/>
        </w:rPr>
        <w:t xml:space="preserve"> Reconciliations of property, plant, equipment and vehicles</w:t>
      </w:r>
    </w:p>
    <w:tbl>
      <w:tblPr>
        <w:tblW w:w="11452" w:type="dxa"/>
        <w:tblInd w:w="-1057" w:type="dxa"/>
        <w:tblLook w:val="04A0" w:firstRow="1" w:lastRow="0" w:firstColumn="1" w:lastColumn="0" w:noHBand="0" w:noVBand="1"/>
      </w:tblPr>
      <w:tblGrid>
        <w:gridCol w:w="1361"/>
        <w:gridCol w:w="953"/>
        <w:gridCol w:w="1128"/>
        <w:gridCol w:w="1584"/>
        <w:gridCol w:w="1228"/>
        <w:gridCol w:w="1228"/>
        <w:gridCol w:w="953"/>
        <w:gridCol w:w="984"/>
        <w:gridCol w:w="1072"/>
        <w:gridCol w:w="961"/>
      </w:tblGrid>
      <w:tr w:rsidR="00617CB0" w:rsidRPr="00022D33" w:rsidTr="000D7011">
        <w:trPr>
          <w:trHeight w:val="925"/>
        </w:trPr>
        <w:tc>
          <w:tcPr>
            <w:tcW w:w="1361" w:type="dxa"/>
            <w:shd w:val="clear" w:color="auto" w:fill="auto"/>
          </w:tcPr>
          <w:p w:rsidR="00617CB0" w:rsidRPr="00022D33" w:rsidRDefault="00617CB0" w:rsidP="000D7011">
            <w:pPr>
              <w:pStyle w:val="BodyText"/>
            </w:pPr>
          </w:p>
        </w:tc>
        <w:tc>
          <w:tcPr>
            <w:tcW w:w="953" w:type="dxa"/>
            <w:shd w:val="clear" w:color="auto" w:fill="auto"/>
          </w:tcPr>
          <w:p w:rsidR="00617CB0" w:rsidRPr="00022D33" w:rsidRDefault="00617CB0" w:rsidP="000D7011">
            <w:pPr>
              <w:pStyle w:val="Tableboldedtext"/>
              <w:jc w:val="right"/>
            </w:pPr>
            <w:r w:rsidRPr="00022D33">
              <w:t>Land $000</w:t>
            </w:r>
          </w:p>
        </w:tc>
        <w:tc>
          <w:tcPr>
            <w:tcW w:w="1128" w:type="dxa"/>
            <w:shd w:val="clear" w:color="auto" w:fill="auto"/>
          </w:tcPr>
          <w:p w:rsidR="00617CB0" w:rsidRPr="00022D33" w:rsidRDefault="00617CB0" w:rsidP="000D7011">
            <w:pPr>
              <w:pStyle w:val="Tableboldedtext"/>
              <w:jc w:val="right"/>
            </w:pPr>
            <w:r w:rsidRPr="00022D33">
              <w:t>Buildings $000</w:t>
            </w:r>
          </w:p>
        </w:tc>
        <w:tc>
          <w:tcPr>
            <w:tcW w:w="1584" w:type="dxa"/>
            <w:shd w:val="clear" w:color="auto" w:fill="auto"/>
          </w:tcPr>
          <w:p w:rsidR="00617CB0" w:rsidRPr="00022D33" w:rsidRDefault="00617CB0" w:rsidP="000D7011">
            <w:pPr>
              <w:pStyle w:val="Tableboldedtext"/>
              <w:jc w:val="right"/>
            </w:pPr>
            <w:r w:rsidRPr="00022D33">
              <w:t>Leasehold improvements $000</w:t>
            </w:r>
          </w:p>
        </w:tc>
        <w:tc>
          <w:tcPr>
            <w:tcW w:w="1228" w:type="dxa"/>
            <w:shd w:val="clear" w:color="auto" w:fill="auto"/>
          </w:tcPr>
          <w:p w:rsidR="00617CB0" w:rsidRPr="00022D33" w:rsidRDefault="00617CB0" w:rsidP="000D7011">
            <w:pPr>
              <w:pStyle w:val="Tableboldedtext"/>
              <w:jc w:val="right"/>
            </w:pPr>
            <w:r w:rsidRPr="00022D33">
              <w:t>Office equipment $000</w:t>
            </w:r>
          </w:p>
          <w:p w:rsidR="00617CB0" w:rsidRPr="00022D33" w:rsidRDefault="00617CB0" w:rsidP="000D7011">
            <w:pPr>
              <w:pStyle w:val="Tableboldedtext"/>
              <w:jc w:val="right"/>
            </w:pPr>
          </w:p>
        </w:tc>
        <w:tc>
          <w:tcPr>
            <w:tcW w:w="1228" w:type="dxa"/>
            <w:shd w:val="clear" w:color="auto" w:fill="auto"/>
          </w:tcPr>
          <w:p w:rsidR="00617CB0" w:rsidRPr="00022D33" w:rsidRDefault="00617CB0" w:rsidP="000D7011">
            <w:pPr>
              <w:pStyle w:val="Tableboldedtext"/>
              <w:jc w:val="right"/>
            </w:pPr>
            <w:r w:rsidRPr="00022D33">
              <w:t>Computer equipment $000</w:t>
            </w:r>
          </w:p>
          <w:p w:rsidR="00617CB0" w:rsidRPr="00022D33" w:rsidRDefault="00617CB0" w:rsidP="000D7011">
            <w:pPr>
              <w:pStyle w:val="Tableboldedtext"/>
              <w:jc w:val="right"/>
            </w:pPr>
          </w:p>
        </w:tc>
        <w:tc>
          <w:tcPr>
            <w:tcW w:w="953" w:type="dxa"/>
            <w:shd w:val="clear" w:color="auto" w:fill="auto"/>
          </w:tcPr>
          <w:p w:rsidR="00617CB0" w:rsidRPr="00022D33" w:rsidRDefault="00617CB0" w:rsidP="000D7011">
            <w:pPr>
              <w:pStyle w:val="Tableboldedtext"/>
              <w:jc w:val="right"/>
            </w:pPr>
            <w:r w:rsidRPr="00022D33">
              <w:t>Office fit-out $000</w:t>
            </w:r>
          </w:p>
          <w:p w:rsidR="00617CB0" w:rsidRPr="00022D33" w:rsidRDefault="00617CB0" w:rsidP="000D7011">
            <w:pPr>
              <w:pStyle w:val="Tableboldedtext"/>
              <w:jc w:val="right"/>
            </w:pPr>
          </w:p>
        </w:tc>
        <w:tc>
          <w:tcPr>
            <w:tcW w:w="984" w:type="dxa"/>
            <w:shd w:val="clear" w:color="auto" w:fill="auto"/>
          </w:tcPr>
          <w:p w:rsidR="00617CB0" w:rsidRPr="00022D33" w:rsidRDefault="00617CB0" w:rsidP="000D7011">
            <w:pPr>
              <w:pStyle w:val="Tableboldedtext"/>
              <w:jc w:val="right"/>
            </w:pPr>
            <w:r w:rsidRPr="00022D33">
              <w:t>Motor vehicle $000</w:t>
            </w:r>
          </w:p>
          <w:p w:rsidR="00617CB0" w:rsidRPr="00022D33" w:rsidRDefault="00617CB0" w:rsidP="000D7011">
            <w:pPr>
              <w:pStyle w:val="Tableboldedtext"/>
              <w:jc w:val="right"/>
            </w:pPr>
          </w:p>
        </w:tc>
        <w:tc>
          <w:tcPr>
            <w:tcW w:w="1072" w:type="dxa"/>
            <w:shd w:val="clear" w:color="auto" w:fill="auto"/>
          </w:tcPr>
          <w:p w:rsidR="00617CB0" w:rsidRPr="00022D33" w:rsidRDefault="00617CB0" w:rsidP="000D7011">
            <w:pPr>
              <w:pStyle w:val="Tableboldedtext"/>
              <w:jc w:val="right"/>
            </w:pPr>
            <w:r w:rsidRPr="00022D33">
              <w:t>Work in progress $000</w:t>
            </w:r>
          </w:p>
          <w:p w:rsidR="00617CB0" w:rsidRPr="00022D33" w:rsidRDefault="00617CB0" w:rsidP="000D7011">
            <w:pPr>
              <w:pStyle w:val="Tableboldedtext"/>
              <w:jc w:val="right"/>
            </w:pPr>
          </w:p>
        </w:tc>
        <w:tc>
          <w:tcPr>
            <w:tcW w:w="961" w:type="dxa"/>
            <w:shd w:val="clear" w:color="auto" w:fill="auto"/>
          </w:tcPr>
          <w:p w:rsidR="00617CB0" w:rsidRPr="00022D33" w:rsidRDefault="00617CB0" w:rsidP="000D7011">
            <w:pPr>
              <w:pStyle w:val="Tableboldedtext"/>
              <w:jc w:val="right"/>
            </w:pPr>
            <w:r w:rsidRPr="00022D33">
              <w:t>Total $000</w:t>
            </w:r>
          </w:p>
          <w:p w:rsidR="00617CB0" w:rsidRPr="00022D33" w:rsidRDefault="00617CB0" w:rsidP="000D7011">
            <w:pPr>
              <w:pStyle w:val="Tableboldedtext"/>
              <w:jc w:val="right"/>
            </w:pPr>
          </w:p>
        </w:tc>
      </w:tr>
      <w:tr w:rsidR="00617CB0" w:rsidRPr="00022D33" w:rsidTr="000D7011">
        <w:tc>
          <w:tcPr>
            <w:tcW w:w="11452" w:type="dxa"/>
            <w:gridSpan w:val="10"/>
            <w:shd w:val="clear" w:color="auto" w:fill="auto"/>
          </w:tcPr>
          <w:p w:rsidR="00617CB0" w:rsidRPr="00022D33" w:rsidRDefault="00617CB0" w:rsidP="000D7011">
            <w:pPr>
              <w:pStyle w:val="Tabletext"/>
              <w:rPr>
                <w:b/>
              </w:rPr>
            </w:pPr>
            <w:r w:rsidRPr="00022D33">
              <w:rPr>
                <w:b/>
              </w:rPr>
              <w:t>2016</w:t>
            </w:r>
          </w:p>
        </w:tc>
      </w:tr>
      <w:tr w:rsidR="00617CB0" w:rsidRPr="00022D33" w:rsidTr="000D7011">
        <w:tc>
          <w:tcPr>
            <w:tcW w:w="1361" w:type="dxa"/>
            <w:shd w:val="clear" w:color="auto" w:fill="auto"/>
          </w:tcPr>
          <w:p w:rsidR="00617CB0" w:rsidRPr="00022D33" w:rsidRDefault="00617CB0" w:rsidP="000D7011">
            <w:pPr>
              <w:pStyle w:val="Tabletext"/>
            </w:pPr>
            <w:r w:rsidRPr="00022D33">
              <w:t>Carrying amount at start of period</w:t>
            </w:r>
          </w:p>
        </w:tc>
        <w:tc>
          <w:tcPr>
            <w:tcW w:w="953" w:type="dxa"/>
            <w:shd w:val="clear" w:color="auto" w:fill="auto"/>
          </w:tcPr>
          <w:p w:rsidR="00617CB0" w:rsidRPr="00022D33" w:rsidRDefault="00617CB0" w:rsidP="000D7011">
            <w:pPr>
              <w:pStyle w:val="Tabletext"/>
              <w:jc w:val="right"/>
            </w:pPr>
            <w:r w:rsidRPr="00022D33">
              <w:t>174,665</w:t>
            </w:r>
          </w:p>
        </w:tc>
        <w:tc>
          <w:tcPr>
            <w:tcW w:w="1128" w:type="dxa"/>
            <w:shd w:val="clear" w:color="auto" w:fill="auto"/>
          </w:tcPr>
          <w:p w:rsidR="00617CB0" w:rsidRPr="00022D33" w:rsidRDefault="00617CB0" w:rsidP="000D7011">
            <w:pPr>
              <w:pStyle w:val="Tabletext"/>
              <w:jc w:val="right"/>
            </w:pPr>
            <w:r w:rsidRPr="00022D33">
              <w:t>242,798</w:t>
            </w:r>
          </w:p>
        </w:tc>
        <w:tc>
          <w:tcPr>
            <w:tcW w:w="1584" w:type="dxa"/>
            <w:shd w:val="clear" w:color="auto" w:fill="auto"/>
          </w:tcPr>
          <w:p w:rsidR="00617CB0" w:rsidRPr="00022D33" w:rsidRDefault="00617CB0" w:rsidP="000D7011">
            <w:pPr>
              <w:pStyle w:val="Tabletext"/>
              <w:jc w:val="right"/>
            </w:pPr>
            <w:r w:rsidRPr="00022D33">
              <w:t>27,593</w:t>
            </w:r>
          </w:p>
        </w:tc>
        <w:tc>
          <w:tcPr>
            <w:tcW w:w="1228" w:type="dxa"/>
            <w:shd w:val="clear" w:color="auto" w:fill="auto"/>
          </w:tcPr>
          <w:p w:rsidR="00617CB0" w:rsidRPr="00022D33" w:rsidRDefault="00617CB0" w:rsidP="000D7011">
            <w:pPr>
              <w:pStyle w:val="Tabletext"/>
              <w:jc w:val="right"/>
            </w:pPr>
            <w:r w:rsidRPr="00022D33">
              <w:t>129</w:t>
            </w:r>
          </w:p>
        </w:tc>
        <w:tc>
          <w:tcPr>
            <w:tcW w:w="1228" w:type="dxa"/>
            <w:shd w:val="clear" w:color="auto" w:fill="auto"/>
          </w:tcPr>
          <w:p w:rsidR="00617CB0" w:rsidRPr="00022D33" w:rsidRDefault="00617CB0" w:rsidP="000D7011">
            <w:pPr>
              <w:pStyle w:val="Tabletext"/>
              <w:jc w:val="right"/>
            </w:pPr>
            <w:r w:rsidRPr="00022D33">
              <w:t>1,384</w:t>
            </w:r>
          </w:p>
        </w:tc>
        <w:tc>
          <w:tcPr>
            <w:tcW w:w="953" w:type="dxa"/>
            <w:shd w:val="clear" w:color="auto" w:fill="auto"/>
          </w:tcPr>
          <w:p w:rsidR="00617CB0" w:rsidRPr="00022D33" w:rsidRDefault="00617CB0" w:rsidP="000D7011">
            <w:pPr>
              <w:pStyle w:val="Tabletext"/>
              <w:jc w:val="right"/>
            </w:pPr>
            <w:r w:rsidRPr="00022D33">
              <w:t>74,764</w:t>
            </w:r>
          </w:p>
        </w:tc>
        <w:tc>
          <w:tcPr>
            <w:tcW w:w="984" w:type="dxa"/>
            <w:shd w:val="clear" w:color="auto" w:fill="auto"/>
          </w:tcPr>
          <w:p w:rsidR="00617CB0" w:rsidRPr="00022D33" w:rsidRDefault="00617CB0" w:rsidP="000D7011">
            <w:pPr>
              <w:pStyle w:val="Tabletext"/>
              <w:jc w:val="right"/>
            </w:pPr>
            <w:r w:rsidRPr="00022D33">
              <w:t>258,114</w:t>
            </w:r>
          </w:p>
        </w:tc>
        <w:tc>
          <w:tcPr>
            <w:tcW w:w="1072" w:type="dxa"/>
            <w:shd w:val="clear" w:color="auto" w:fill="auto"/>
          </w:tcPr>
          <w:p w:rsidR="00617CB0" w:rsidRPr="00022D33" w:rsidRDefault="00617CB0" w:rsidP="000D7011">
            <w:pPr>
              <w:pStyle w:val="Tabletext"/>
              <w:jc w:val="right"/>
            </w:pPr>
            <w:r w:rsidRPr="00022D33">
              <w:t>25,254</w:t>
            </w:r>
          </w:p>
        </w:tc>
        <w:tc>
          <w:tcPr>
            <w:tcW w:w="961" w:type="dxa"/>
            <w:shd w:val="clear" w:color="auto" w:fill="auto"/>
          </w:tcPr>
          <w:p w:rsidR="00617CB0" w:rsidRPr="00022D33" w:rsidRDefault="00617CB0" w:rsidP="000D7011">
            <w:pPr>
              <w:pStyle w:val="Tableboldedtext"/>
              <w:jc w:val="right"/>
            </w:pPr>
            <w:r w:rsidRPr="00022D33">
              <w:t>804,702</w:t>
            </w:r>
          </w:p>
        </w:tc>
      </w:tr>
      <w:tr w:rsidR="00617CB0" w:rsidRPr="00022D33" w:rsidTr="000D7011">
        <w:tc>
          <w:tcPr>
            <w:tcW w:w="1361" w:type="dxa"/>
            <w:shd w:val="clear" w:color="auto" w:fill="auto"/>
          </w:tcPr>
          <w:p w:rsidR="00617CB0" w:rsidRPr="00022D33" w:rsidRDefault="00617CB0" w:rsidP="000D7011">
            <w:pPr>
              <w:pStyle w:val="Tabletext"/>
            </w:pPr>
            <w:r w:rsidRPr="00022D33">
              <w:t xml:space="preserve">Additions </w:t>
            </w:r>
          </w:p>
        </w:tc>
        <w:tc>
          <w:tcPr>
            <w:tcW w:w="953" w:type="dxa"/>
            <w:shd w:val="clear" w:color="auto" w:fill="auto"/>
          </w:tcPr>
          <w:p w:rsidR="00617CB0" w:rsidRPr="00022D33" w:rsidRDefault="00617CB0" w:rsidP="000D7011">
            <w:pPr>
              <w:pStyle w:val="Tabletext"/>
              <w:jc w:val="right"/>
            </w:pPr>
            <w:r w:rsidRPr="00022D33">
              <w:t>-</w:t>
            </w:r>
          </w:p>
        </w:tc>
        <w:tc>
          <w:tcPr>
            <w:tcW w:w="1128" w:type="dxa"/>
            <w:shd w:val="clear" w:color="auto" w:fill="auto"/>
          </w:tcPr>
          <w:p w:rsidR="00617CB0" w:rsidRPr="00022D33" w:rsidRDefault="00617CB0" w:rsidP="000D7011">
            <w:pPr>
              <w:pStyle w:val="Tabletext"/>
              <w:jc w:val="right"/>
            </w:pPr>
            <w:r w:rsidRPr="00022D33">
              <w:t>-</w:t>
            </w:r>
          </w:p>
        </w:tc>
        <w:tc>
          <w:tcPr>
            <w:tcW w:w="1584" w:type="dxa"/>
            <w:shd w:val="clear" w:color="auto" w:fill="auto"/>
          </w:tcPr>
          <w:p w:rsidR="00617CB0" w:rsidRPr="00022D33" w:rsidRDefault="00617CB0" w:rsidP="000D7011">
            <w:pPr>
              <w:pStyle w:val="Tabletext"/>
              <w:jc w:val="right"/>
            </w:pPr>
            <w:r w:rsidRPr="00022D33">
              <w:t>-</w:t>
            </w:r>
          </w:p>
        </w:tc>
        <w:tc>
          <w:tcPr>
            <w:tcW w:w="1228" w:type="dxa"/>
            <w:shd w:val="clear" w:color="auto" w:fill="auto"/>
          </w:tcPr>
          <w:p w:rsidR="00617CB0" w:rsidRPr="00022D33" w:rsidRDefault="00617CB0" w:rsidP="000D7011">
            <w:pPr>
              <w:pStyle w:val="Tabletext"/>
              <w:jc w:val="right"/>
            </w:pPr>
            <w:r w:rsidRPr="00022D33">
              <w:t>48</w:t>
            </w:r>
          </w:p>
        </w:tc>
        <w:tc>
          <w:tcPr>
            <w:tcW w:w="1228" w:type="dxa"/>
            <w:shd w:val="clear" w:color="auto" w:fill="auto"/>
          </w:tcPr>
          <w:p w:rsidR="00617CB0" w:rsidRPr="00022D33" w:rsidRDefault="00617CB0" w:rsidP="000D7011">
            <w:pPr>
              <w:pStyle w:val="Tabletext"/>
              <w:jc w:val="right"/>
            </w:pPr>
            <w:r w:rsidRPr="00022D33">
              <w:t>626</w:t>
            </w:r>
          </w:p>
        </w:tc>
        <w:tc>
          <w:tcPr>
            <w:tcW w:w="953" w:type="dxa"/>
            <w:shd w:val="clear" w:color="auto" w:fill="auto"/>
          </w:tcPr>
          <w:p w:rsidR="00617CB0" w:rsidRPr="00022D33" w:rsidRDefault="00617CB0" w:rsidP="000D7011">
            <w:pPr>
              <w:pStyle w:val="Tabletext"/>
              <w:jc w:val="right"/>
            </w:pPr>
            <w:r w:rsidRPr="00022D33">
              <w:t>-</w:t>
            </w:r>
          </w:p>
        </w:tc>
        <w:tc>
          <w:tcPr>
            <w:tcW w:w="984" w:type="dxa"/>
            <w:shd w:val="clear" w:color="auto" w:fill="auto"/>
          </w:tcPr>
          <w:p w:rsidR="00617CB0" w:rsidRPr="00022D33" w:rsidRDefault="00617CB0" w:rsidP="000D7011">
            <w:pPr>
              <w:pStyle w:val="Tabletext"/>
              <w:jc w:val="right"/>
            </w:pPr>
            <w:r w:rsidRPr="00022D33">
              <w:t>88,959</w:t>
            </w:r>
          </w:p>
        </w:tc>
        <w:tc>
          <w:tcPr>
            <w:tcW w:w="1072" w:type="dxa"/>
            <w:shd w:val="clear" w:color="auto" w:fill="auto"/>
          </w:tcPr>
          <w:p w:rsidR="00617CB0" w:rsidRPr="00022D33" w:rsidRDefault="00617CB0" w:rsidP="000D7011">
            <w:pPr>
              <w:pStyle w:val="Tabletext"/>
              <w:jc w:val="right"/>
            </w:pPr>
            <w:r w:rsidRPr="00022D33">
              <w:t>92,503</w:t>
            </w:r>
          </w:p>
        </w:tc>
        <w:tc>
          <w:tcPr>
            <w:tcW w:w="961" w:type="dxa"/>
            <w:shd w:val="clear" w:color="auto" w:fill="auto"/>
          </w:tcPr>
          <w:p w:rsidR="00617CB0" w:rsidRPr="00022D33" w:rsidRDefault="00617CB0" w:rsidP="000D7011">
            <w:pPr>
              <w:pStyle w:val="Tableboldedtext"/>
              <w:jc w:val="right"/>
            </w:pPr>
            <w:r w:rsidRPr="00022D33">
              <w:t>182,136</w:t>
            </w:r>
          </w:p>
        </w:tc>
      </w:tr>
      <w:tr w:rsidR="00617CB0" w:rsidRPr="00022D33" w:rsidTr="000D7011">
        <w:tc>
          <w:tcPr>
            <w:tcW w:w="1361" w:type="dxa"/>
            <w:shd w:val="clear" w:color="auto" w:fill="auto"/>
          </w:tcPr>
          <w:p w:rsidR="00617CB0" w:rsidRPr="00022D33" w:rsidRDefault="00617CB0" w:rsidP="000D7011">
            <w:pPr>
              <w:pStyle w:val="Tabletext"/>
            </w:pPr>
            <w:r w:rsidRPr="00022D33">
              <w:t xml:space="preserve">Transfers </w:t>
            </w:r>
            <w:r w:rsidRPr="00022D33">
              <w:rPr>
                <w:vertAlign w:val="superscript"/>
              </w:rPr>
              <w:t>(a)</w:t>
            </w:r>
          </w:p>
        </w:tc>
        <w:tc>
          <w:tcPr>
            <w:tcW w:w="953" w:type="dxa"/>
            <w:shd w:val="clear" w:color="auto" w:fill="auto"/>
          </w:tcPr>
          <w:p w:rsidR="00617CB0" w:rsidRPr="00022D33" w:rsidRDefault="00617CB0" w:rsidP="000D7011">
            <w:pPr>
              <w:pStyle w:val="Tabletext"/>
              <w:jc w:val="right"/>
            </w:pPr>
            <w:r w:rsidRPr="00022D33">
              <w:t>(265)</w:t>
            </w:r>
          </w:p>
        </w:tc>
        <w:tc>
          <w:tcPr>
            <w:tcW w:w="1128" w:type="dxa"/>
            <w:shd w:val="clear" w:color="auto" w:fill="auto"/>
          </w:tcPr>
          <w:p w:rsidR="00617CB0" w:rsidRPr="00022D33" w:rsidRDefault="00617CB0" w:rsidP="000D7011">
            <w:pPr>
              <w:pStyle w:val="Tabletext"/>
              <w:jc w:val="right"/>
            </w:pPr>
            <w:r w:rsidRPr="00022D33">
              <w:t>(29,302)</w:t>
            </w:r>
          </w:p>
        </w:tc>
        <w:tc>
          <w:tcPr>
            <w:tcW w:w="1584" w:type="dxa"/>
            <w:shd w:val="clear" w:color="auto" w:fill="auto"/>
          </w:tcPr>
          <w:p w:rsidR="00617CB0" w:rsidRPr="00022D33" w:rsidRDefault="00617CB0" w:rsidP="000D7011">
            <w:pPr>
              <w:pStyle w:val="Tabletext"/>
              <w:jc w:val="right"/>
            </w:pPr>
            <w:r w:rsidRPr="00022D33">
              <w:t>4,248</w:t>
            </w:r>
          </w:p>
        </w:tc>
        <w:tc>
          <w:tcPr>
            <w:tcW w:w="1228" w:type="dxa"/>
            <w:shd w:val="clear" w:color="auto" w:fill="auto"/>
          </w:tcPr>
          <w:p w:rsidR="00617CB0" w:rsidRPr="00022D33" w:rsidRDefault="00617CB0" w:rsidP="000D7011">
            <w:pPr>
              <w:pStyle w:val="Tabletext"/>
              <w:jc w:val="right"/>
            </w:pPr>
            <w:r w:rsidRPr="00022D33">
              <w:t>(5)</w:t>
            </w:r>
          </w:p>
        </w:tc>
        <w:tc>
          <w:tcPr>
            <w:tcW w:w="1228" w:type="dxa"/>
            <w:shd w:val="clear" w:color="auto" w:fill="auto"/>
          </w:tcPr>
          <w:p w:rsidR="00617CB0" w:rsidRPr="00022D33" w:rsidRDefault="00617CB0" w:rsidP="000D7011">
            <w:pPr>
              <w:pStyle w:val="Tabletext"/>
              <w:jc w:val="right"/>
            </w:pPr>
            <w:r w:rsidRPr="00022D33">
              <w:t>-</w:t>
            </w:r>
          </w:p>
        </w:tc>
        <w:tc>
          <w:tcPr>
            <w:tcW w:w="953" w:type="dxa"/>
            <w:shd w:val="clear" w:color="auto" w:fill="auto"/>
          </w:tcPr>
          <w:p w:rsidR="00617CB0" w:rsidRPr="00022D33" w:rsidRDefault="00617CB0" w:rsidP="000D7011">
            <w:pPr>
              <w:pStyle w:val="Tabletext"/>
              <w:jc w:val="right"/>
            </w:pPr>
            <w:r w:rsidRPr="00022D33">
              <w:t>82</w:t>
            </w:r>
          </w:p>
        </w:tc>
        <w:tc>
          <w:tcPr>
            <w:tcW w:w="984" w:type="dxa"/>
            <w:shd w:val="clear" w:color="auto" w:fill="auto"/>
          </w:tcPr>
          <w:p w:rsidR="00617CB0" w:rsidRPr="00022D33" w:rsidRDefault="00617CB0" w:rsidP="000D7011">
            <w:pPr>
              <w:pStyle w:val="Tabletext"/>
              <w:jc w:val="right"/>
            </w:pPr>
            <w:r w:rsidRPr="00022D33">
              <w:t>(261)</w:t>
            </w:r>
          </w:p>
        </w:tc>
        <w:tc>
          <w:tcPr>
            <w:tcW w:w="1072" w:type="dxa"/>
            <w:shd w:val="clear" w:color="auto" w:fill="auto"/>
          </w:tcPr>
          <w:p w:rsidR="00617CB0" w:rsidRPr="00022D33" w:rsidRDefault="00617CB0" w:rsidP="000D7011">
            <w:pPr>
              <w:pStyle w:val="Tabletext"/>
              <w:jc w:val="right"/>
            </w:pPr>
            <w:r w:rsidRPr="00022D33">
              <w:t>(27,697)</w:t>
            </w:r>
          </w:p>
        </w:tc>
        <w:tc>
          <w:tcPr>
            <w:tcW w:w="961" w:type="dxa"/>
            <w:shd w:val="clear" w:color="auto" w:fill="auto"/>
          </w:tcPr>
          <w:p w:rsidR="00617CB0" w:rsidRPr="00022D33" w:rsidRDefault="00617CB0" w:rsidP="000D7011">
            <w:pPr>
              <w:pStyle w:val="Tableboldedtext"/>
              <w:jc w:val="right"/>
            </w:pPr>
            <w:r w:rsidRPr="00022D33">
              <w:t>(53,201)</w:t>
            </w:r>
          </w:p>
        </w:tc>
      </w:tr>
      <w:tr w:rsidR="00617CB0" w:rsidRPr="00022D33" w:rsidTr="000D7011">
        <w:tc>
          <w:tcPr>
            <w:tcW w:w="1361" w:type="dxa"/>
            <w:shd w:val="clear" w:color="auto" w:fill="auto"/>
          </w:tcPr>
          <w:p w:rsidR="00617CB0" w:rsidRPr="00022D33" w:rsidRDefault="00617CB0" w:rsidP="000D7011">
            <w:pPr>
              <w:pStyle w:val="Tabletext"/>
            </w:pPr>
            <w:r w:rsidRPr="00022D33">
              <w:t xml:space="preserve">Other disposals </w:t>
            </w:r>
          </w:p>
        </w:tc>
        <w:tc>
          <w:tcPr>
            <w:tcW w:w="953" w:type="dxa"/>
            <w:shd w:val="clear" w:color="auto" w:fill="auto"/>
          </w:tcPr>
          <w:p w:rsidR="00617CB0" w:rsidRPr="00022D33" w:rsidRDefault="00617CB0" w:rsidP="000D7011">
            <w:pPr>
              <w:pStyle w:val="Tabletext"/>
              <w:jc w:val="right"/>
            </w:pPr>
            <w:r w:rsidRPr="00022D33">
              <w:t>-</w:t>
            </w:r>
          </w:p>
        </w:tc>
        <w:tc>
          <w:tcPr>
            <w:tcW w:w="1128" w:type="dxa"/>
            <w:shd w:val="clear" w:color="auto" w:fill="auto"/>
          </w:tcPr>
          <w:p w:rsidR="00617CB0" w:rsidRPr="00022D33" w:rsidRDefault="00617CB0" w:rsidP="000D7011">
            <w:pPr>
              <w:pStyle w:val="Tabletext"/>
              <w:jc w:val="right"/>
            </w:pPr>
            <w:r w:rsidRPr="00022D33">
              <w:t>-</w:t>
            </w:r>
          </w:p>
        </w:tc>
        <w:tc>
          <w:tcPr>
            <w:tcW w:w="1584" w:type="dxa"/>
            <w:shd w:val="clear" w:color="auto" w:fill="auto"/>
          </w:tcPr>
          <w:p w:rsidR="00617CB0" w:rsidRPr="00022D33" w:rsidRDefault="00617CB0" w:rsidP="000D7011">
            <w:pPr>
              <w:pStyle w:val="Tabletext"/>
              <w:jc w:val="right"/>
            </w:pPr>
            <w:r w:rsidRPr="00022D33">
              <w:t>-</w:t>
            </w:r>
          </w:p>
        </w:tc>
        <w:tc>
          <w:tcPr>
            <w:tcW w:w="1228" w:type="dxa"/>
            <w:shd w:val="clear" w:color="auto" w:fill="auto"/>
          </w:tcPr>
          <w:p w:rsidR="00617CB0" w:rsidRPr="00022D33" w:rsidRDefault="00617CB0" w:rsidP="000D7011">
            <w:pPr>
              <w:pStyle w:val="Tabletext"/>
              <w:jc w:val="right"/>
            </w:pPr>
            <w:r w:rsidRPr="00022D33">
              <w:t>(1)</w:t>
            </w:r>
          </w:p>
        </w:tc>
        <w:tc>
          <w:tcPr>
            <w:tcW w:w="1228" w:type="dxa"/>
            <w:shd w:val="clear" w:color="auto" w:fill="auto"/>
          </w:tcPr>
          <w:p w:rsidR="00617CB0" w:rsidRPr="00022D33" w:rsidRDefault="00617CB0" w:rsidP="000D7011">
            <w:pPr>
              <w:pStyle w:val="Tabletext"/>
              <w:jc w:val="right"/>
            </w:pPr>
            <w:r w:rsidRPr="00022D33">
              <w:t>-</w:t>
            </w:r>
          </w:p>
        </w:tc>
        <w:tc>
          <w:tcPr>
            <w:tcW w:w="953" w:type="dxa"/>
            <w:shd w:val="clear" w:color="auto" w:fill="auto"/>
          </w:tcPr>
          <w:p w:rsidR="00617CB0" w:rsidRPr="00022D33" w:rsidRDefault="00617CB0" w:rsidP="000D7011">
            <w:pPr>
              <w:pStyle w:val="Tabletext"/>
              <w:jc w:val="right"/>
            </w:pPr>
            <w:r w:rsidRPr="00022D33">
              <w:t>-</w:t>
            </w:r>
          </w:p>
        </w:tc>
        <w:tc>
          <w:tcPr>
            <w:tcW w:w="984" w:type="dxa"/>
            <w:shd w:val="clear" w:color="auto" w:fill="auto"/>
          </w:tcPr>
          <w:p w:rsidR="00617CB0" w:rsidRPr="00022D33" w:rsidRDefault="00617CB0" w:rsidP="000D7011">
            <w:pPr>
              <w:pStyle w:val="Tabletext"/>
              <w:jc w:val="right"/>
            </w:pPr>
            <w:r w:rsidRPr="00022D33">
              <w:t>(39,546)</w:t>
            </w:r>
          </w:p>
        </w:tc>
        <w:tc>
          <w:tcPr>
            <w:tcW w:w="1072" w:type="dxa"/>
            <w:shd w:val="clear" w:color="auto" w:fill="auto"/>
          </w:tcPr>
          <w:p w:rsidR="00617CB0" w:rsidRPr="00022D33" w:rsidRDefault="00617CB0" w:rsidP="000D7011">
            <w:pPr>
              <w:pStyle w:val="Tabletext"/>
              <w:jc w:val="right"/>
            </w:pPr>
            <w:r w:rsidRPr="00022D33">
              <w:t>-</w:t>
            </w:r>
          </w:p>
        </w:tc>
        <w:tc>
          <w:tcPr>
            <w:tcW w:w="961" w:type="dxa"/>
            <w:shd w:val="clear" w:color="auto" w:fill="auto"/>
          </w:tcPr>
          <w:p w:rsidR="00617CB0" w:rsidRPr="00022D33" w:rsidRDefault="00617CB0" w:rsidP="000D7011">
            <w:pPr>
              <w:pStyle w:val="Tableboldedtext"/>
              <w:jc w:val="right"/>
            </w:pPr>
            <w:r w:rsidRPr="00022D33">
              <w:t>(39,547)</w:t>
            </w:r>
          </w:p>
        </w:tc>
      </w:tr>
      <w:tr w:rsidR="00617CB0" w:rsidRPr="00022D33" w:rsidTr="000D7011">
        <w:tc>
          <w:tcPr>
            <w:tcW w:w="1361" w:type="dxa"/>
            <w:shd w:val="clear" w:color="auto" w:fill="auto"/>
          </w:tcPr>
          <w:p w:rsidR="00617CB0" w:rsidRPr="00022D33" w:rsidRDefault="00617CB0" w:rsidP="000D7011">
            <w:pPr>
              <w:pStyle w:val="Tabletext"/>
            </w:pPr>
            <w:r w:rsidRPr="00022D33">
              <w:t xml:space="preserve">Revaluations </w:t>
            </w:r>
          </w:p>
        </w:tc>
        <w:tc>
          <w:tcPr>
            <w:tcW w:w="953" w:type="dxa"/>
            <w:shd w:val="clear" w:color="auto" w:fill="auto"/>
          </w:tcPr>
          <w:p w:rsidR="00617CB0" w:rsidRPr="00022D33" w:rsidRDefault="00617CB0" w:rsidP="000D7011">
            <w:pPr>
              <w:pStyle w:val="Tabletext"/>
              <w:jc w:val="right"/>
            </w:pPr>
            <w:r w:rsidRPr="00022D33">
              <w:t>(22,888)</w:t>
            </w:r>
          </w:p>
        </w:tc>
        <w:tc>
          <w:tcPr>
            <w:tcW w:w="1128" w:type="dxa"/>
            <w:shd w:val="clear" w:color="auto" w:fill="auto"/>
          </w:tcPr>
          <w:p w:rsidR="00617CB0" w:rsidRPr="00022D33" w:rsidRDefault="00617CB0" w:rsidP="000D7011">
            <w:pPr>
              <w:pStyle w:val="Tabletext"/>
              <w:jc w:val="right"/>
            </w:pPr>
            <w:r w:rsidRPr="00022D33">
              <w:t>(45,625)</w:t>
            </w:r>
          </w:p>
        </w:tc>
        <w:tc>
          <w:tcPr>
            <w:tcW w:w="1584" w:type="dxa"/>
            <w:shd w:val="clear" w:color="auto" w:fill="auto"/>
          </w:tcPr>
          <w:p w:rsidR="00617CB0" w:rsidRPr="00022D33" w:rsidRDefault="00617CB0" w:rsidP="000D7011">
            <w:pPr>
              <w:pStyle w:val="Tabletext"/>
              <w:jc w:val="right"/>
            </w:pPr>
            <w:r w:rsidRPr="00022D33">
              <w:t>-</w:t>
            </w:r>
          </w:p>
        </w:tc>
        <w:tc>
          <w:tcPr>
            <w:tcW w:w="1228" w:type="dxa"/>
            <w:shd w:val="clear" w:color="auto" w:fill="auto"/>
          </w:tcPr>
          <w:p w:rsidR="00617CB0" w:rsidRPr="00022D33" w:rsidRDefault="00617CB0" w:rsidP="000D7011">
            <w:pPr>
              <w:pStyle w:val="Tabletext"/>
              <w:jc w:val="right"/>
            </w:pPr>
            <w:r w:rsidRPr="00022D33">
              <w:t>-</w:t>
            </w:r>
          </w:p>
        </w:tc>
        <w:tc>
          <w:tcPr>
            <w:tcW w:w="1228" w:type="dxa"/>
            <w:shd w:val="clear" w:color="auto" w:fill="auto"/>
          </w:tcPr>
          <w:p w:rsidR="00617CB0" w:rsidRPr="00022D33" w:rsidRDefault="00617CB0" w:rsidP="000D7011">
            <w:pPr>
              <w:pStyle w:val="Tabletext"/>
              <w:jc w:val="right"/>
            </w:pPr>
            <w:r w:rsidRPr="00022D33">
              <w:t>-</w:t>
            </w:r>
          </w:p>
        </w:tc>
        <w:tc>
          <w:tcPr>
            <w:tcW w:w="953" w:type="dxa"/>
            <w:shd w:val="clear" w:color="auto" w:fill="auto"/>
          </w:tcPr>
          <w:p w:rsidR="00617CB0" w:rsidRPr="00022D33" w:rsidRDefault="00617CB0" w:rsidP="000D7011">
            <w:pPr>
              <w:pStyle w:val="Tabletext"/>
              <w:jc w:val="right"/>
            </w:pPr>
            <w:r w:rsidRPr="00022D33">
              <w:t>-</w:t>
            </w:r>
          </w:p>
        </w:tc>
        <w:tc>
          <w:tcPr>
            <w:tcW w:w="984" w:type="dxa"/>
            <w:shd w:val="clear" w:color="auto" w:fill="auto"/>
          </w:tcPr>
          <w:p w:rsidR="00617CB0" w:rsidRPr="00022D33" w:rsidRDefault="00617CB0" w:rsidP="000D7011">
            <w:pPr>
              <w:pStyle w:val="Tabletext"/>
              <w:jc w:val="right"/>
            </w:pPr>
            <w:r w:rsidRPr="00022D33">
              <w:t>-</w:t>
            </w:r>
          </w:p>
        </w:tc>
        <w:tc>
          <w:tcPr>
            <w:tcW w:w="1072" w:type="dxa"/>
            <w:shd w:val="clear" w:color="auto" w:fill="auto"/>
          </w:tcPr>
          <w:p w:rsidR="00617CB0" w:rsidRPr="00022D33" w:rsidRDefault="00617CB0" w:rsidP="000D7011">
            <w:pPr>
              <w:pStyle w:val="Tabletext"/>
              <w:jc w:val="right"/>
            </w:pPr>
            <w:r w:rsidRPr="00022D33">
              <w:t>-</w:t>
            </w:r>
          </w:p>
        </w:tc>
        <w:tc>
          <w:tcPr>
            <w:tcW w:w="961" w:type="dxa"/>
            <w:shd w:val="clear" w:color="auto" w:fill="auto"/>
          </w:tcPr>
          <w:p w:rsidR="00617CB0" w:rsidRPr="00022D33" w:rsidRDefault="00617CB0" w:rsidP="000D7011">
            <w:pPr>
              <w:pStyle w:val="Tableboldedtext"/>
              <w:jc w:val="right"/>
            </w:pPr>
            <w:r w:rsidRPr="00022D33">
              <w:t>(68,513)</w:t>
            </w:r>
          </w:p>
        </w:tc>
      </w:tr>
      <w:tr w:rsidR="00617CB0" w:rsidRPr="00022D33" w:rsidTr="000D7011">
        <w:tc>
          <w:tcPr>
            <w:tcW w:w="1361" w:type="dxa"/>
            <w:shd w:val="clear" w:color="auto" w:fill="auto"/>
          </w:tcPr>
          <w:p w:rsidR="00617CB0" w:rsidRPr="00022D33" w:rsidRDefault="00617CB0" w:rsidP="000D7011">
            <w:pPr>
              <w:pStyle w:val="Tabletext"/>
            </w:pPr>
            <w:r w:rsidRPr="00022D33">
              <w:t>Depreciation</w:t>
            </w:r>
          </w:p>
        </w:tc>
        <w:tc>
          <w:tcPr>
            <w:tcW w:w="953" w:type="dxa"/>
            <w:tcBorders>
              <w:bottom w:val="single" w:sz="4" w:space="0" w:color="auto"/>
            </w:tcBorders>
            <w:shd w:val="clear" w:color="auto" w:fill="auto"/>
          </w:tcPr>
          <w:p w:rsidR="00617CB0" w:rsidRPr="00022D33" w:rsidRDefault="00617CB0" w:rsidP="000D7011">
            <w:pPr>
              <w:pStyle w:val="Tabletext"/>
              <w:jc w:val="right"/>
            </w:pPr>
            <w:r w:rsidRPr="00022D33">
              <w:t>-</w:t>
            </w:r>
          </w:p>
        </w:tc>
        <w:tc>
          <w:tcPr>
            <w:tcW w:w="1128" w:type="dxa"/>
            <w:tcBorders>
              <w:bottom w:val="single" w:sz="4" w:space="0" w:color="auto"/>
            </w:tcBorders>
            <w:shd w:val="clear" w:color="auto" w:fill="auto"/>
          </w:tcPr>
          <w:p w:rsidR="00617CB0" w:rsidRPr="00022D33" w:rsidRDefault="00617CB0" w:rsidP="000D7011">
            <w:pPr>
              <w:pStyle w:val="Tabletext"/>
              <w:jc w:val="right"/>
            </w:pPr>
            <w:r w:rsidRPr="00022D33">
              <w:t>(5,129)</w:t>
            </w:r>
          </w:p>
        </w:tc>
        <w:tc>
          <w:tcPr>
            <w:tcW w:w="1584" w:type="dxa"/>
            <w:tcBorders>
              <w:bottom w:val="single" w:sz="4" w:space="0" w:color="auto"/>
            </w:tcBorders>
            <w:shd w:val="clear" w:color="auto" w:fill="auto"/>
          </w:tcPr>
          <w:p w:rsidR="00617CB0" w:rsidRPr="00022D33" w:rsidRDefault="00617CB0" w:rsidP="000D7011">
            <w:pPr>
              <w:pStyle w:val="Tabletext"/>
              <w:jc w:val="right"/>
            </w:pPr>
            <w:r w:rsidRPr="00022D33">
              <w:t>(6,057)</w:t>
            </w:r>
          </w:p>
        </w:tc>
        <w:tc>
          <w:tcPr>
            <w:tcW w:w="1228" w:type="dxa"/>
            <w:tcBorders>
              <w:bottom w:val="single" w:sz="4" w:space="0" w:color="auto"/>
            </w:tcBorders>
            <w:shd w:val="clear" w:color="auto" w:fill="auto"/>
          </w:tcPr>
          <w:p w:rsidR="00617CB0" w:rsidRPr="00022D33" w:rsidRDefault="00617CB0" w:rsidP="000D7011">
            <w:pPr>
              <w:pStyle w:val="Tabletext"/>
              <w:jc w:val="right"/>
            </w:pPr>
            <w:r w:rsidRPr="00022D33">
              <w:t>(47)</w:t>
            </w:r>
          </w:p>
        </w:tc>
        <w:tc>
          <w:tcPr>
            <w:tcW w:w="1228" w:type="dxa"/>
            <w:tcBorders>
              <w:bottom w:val="single" w:sz="4" w:space="0" w:color="auto"/>
            </w:tcBorders>
            <w:shd w:val="clear" w:color="auto" w:fill="auto"/>
          </w:tcPr>
          <w:p w:rsidR="00617CB0" w:rsidRPr="00022D33" w:rsidRDefault="00617CB0" w:rsidP="000D7011">
            <w:pPr>
              <w:pStyle w:val="Tabletext"/>
              <w:jc w:val="right"/>
            </w:pPr>
            <w:r w:rsidRPr="00022D33">
              <w:t>(728)</w:t>
            </w:r>
          </w:p>
        </w:tc>
        <w:tc>
          <w:tcPr>
            <w:tcW w:w="953" w:type="dxa"/>
            <w:tcBorders>
              <w:bottom w:val="single" w:sz="4" w:space="0" w:color="auto"/>
            </w:tcBorders>
            <w:shd w:val="clear" w:color="auto" w:fill="auto"/>
          </w:tcPr>
          <w:p w:rsidR="00617CB0" w:rsidRPr="00022D33" w:rsidRDefault="00617CB0" w:rsidP="000D7011">
            <w:pPr>
              <w:pStyle w:val="Tabletext"/>
              <w:jc w:val="right"/>
            </w:pPr>
            <w:r w:rsidRPr="00022D33">
              <w:t>(14,118)</w:t>
            </w:r>
          </w:p>
        </w:tc>
        <w:tc>
          <w:tcPr>
            <w:tcW w:w="984" w:type="dxa"/>
            <w:tcBorders>
              <w:bottom w:val="single" w:sz="4" w:space="0" w:color="auto"/>
            </w:tcBorders>
            <w:shd w:val="clear" w:color="auto" w:fill="auto"/>
          </w:tcPr>
          <w:p w:rsidR="00617CB0" w:rsidRPr="00022D33" w:rsidRDefault="00617CB0" w:rsidP="000D7011">
            <w:pPr>
              <w:pStyle w:val="Tabletext"/>
              <w:jc w:val="right"/>
            </w:pPr>
            <w:r w:rsidRPr="00022D33">
              <w:t>(45,662)</w:t>
            </w:r>
          </w:p>
        </w:tc>
        <w:tc>
          <w:tcPr>
            <w:tcW w:w="1072" w:type="dxa"/>
            <w:tcBorders>
              <w:bottom w:val="single" w:sz="4" w:space="0" w:color="auto"/>
            </w:tcBorders>
            <w:shd w:val="clear" w:color="auto" w:fill="auto"/>
          </w:tcPr>
          <w:p w:rsidR="00617CB0" w:rsidRPr="00022D33" w:rsidRDefault="00617CB0" w:rsidP="000D7011">
            <w:pPr>
              <w:pStyle w:val="Tabletext"/>
              <w:jc w:val="right"/>
            </w:pPr>
            <w:r w:rsidRPr="00022D33">
              <w:t>-</w:t>
            </w:r>
          </w:p>
        </w:tc>
        <w:tc>
          <w:tcPr>
            <w:tcW w:w="961" w:type="dxa"/>
            <w:tcBorders>
              <w:bottom w:val="single" w:sz="4" w:space="0" w:color="auto"/>
            </w:tcBorders>
            <w:shd w:val="clear" w:color="auto" w:fill="auto"/>
          </w:tcPr>
          <w:p w:rsidR="00617CB0" w:rsidRPr="00022D33" w:rsidRDefault="00617CB0" w:rsidP="000D7011">
            <w:pPr>
              <w:pStyle w:val="Tableboldedtext"/>
              <w:jc w:val="right"/>
            </w:pPr>
            <w:r w:rsidRPr="00022D33">
              <w:t>(71,741)</w:t>
            </w:r>
          </w:p>
        </w:tc>
      </w:tr>
      <w:tr w:rsidR="00617CB0" w:rsidRPr="00022D33" w:rsidTr="000D7011">
        <w:tc>
          <w:tcPr>
            <w:tcW w:w="1361" w:type="dxa"/>
            <w:shd w:val="clear" w:color="auto" w:fill="auto"/>
          </w:tcPr>
          <w:p w:rsidR="00617CB0" w:rsidRPr="00022D33" w:rsidRDefault="00617CB0" w:rsidP="000D7011">
            <w:pPr>
              <w:pStyle w:val="Tableboldedtext"/>
            </w:pPr>
            <w:r w:rsidRPr="00022D33">
              <w:t>Carrying amount at end of period</w:t>
            </w:r>
          </w:p>
        </w:tc>
        <w:tc>
          <w:tcPr>
            <w:tcW w:w="953"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151,512</w:t>
            </w:r>
          </w:p>
        </w:tc>
        <w:tc>
          <w:tcPr>
            <w:tcW w:w="1128"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162,742</w:t>
            </w:r>
          </w:p>
        </w:tc>
        <w:tc>
          <w:tcPr>
            <w:tcW w:w="1584"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25,784</w:t>
            </w:r>
          </w:p>
        </w:tc>
        <w:tc>
          <w:tcPr>
            <w:tcW w:w="1228"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124</w:t>
            </w:r>
          </w:p>
        </w:tc>
        <w:tc>
          <w:tcPr>
            <w:tcW w:w="1228"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1,280</w:t>
            </w:r>
          </w:p>
        </w:tc>
        <w:tc>
          <w:tcPr>
            <w:tcW w:w="953"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60,728</w:t>
            </w:r>
          </w:p>
        </w:tc>
        <w:tc>
          <w:tcPr>
            <w:tcW w:w="984"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261,604</w:t>
            </w:r>
          </w:p>
        </w:tc>
        <w:tc>
          <w:tcPr>
            <w:tcW w:w="1072"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90,060</w:t>
            </w:r>
          </w:p>
        </w:tc>
        <w:tc>
          <w:tcPr>
            <w:tcW w:w="961"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753,834</w:t>
            </w:r>
          </w:p>
        </w:tc>
      </w:tr>
      <w:tr w:rsidR="00617CB0" w:rsidRPr="00022D33" w:rsidTr="000D7011">
        <w:tc>
          <w:tcPr>
            <w:tcW w:w="11452" w:type="dxa"/>
            <w:gridSpan w:val="10"/>
            <w:shd w:val="clear" w:color="auto" w:fill="auto"/>
          </w:tcPr>
          <w:p w:rsidR="00617CB0" w:rsidRPr="00022D33" w:rsidRDefault="00617CB0" w:rsidP="000D7011">
            <w:pPr>
              <w:pStyle w:val="Tabletext"/>
              <w:rPr>
                <w:b/>
              </w:rPr>
            </w:pPr>
          </w:p>
        </w:tc>
      </w:tr>
      <w:tr w:rsidR="00617CB0" w:rsidRPr="00022D33" w:rsidTr="000D7011">
        <w:tc>
          <w:tcPr>
            <w:tcW w:w="1361" w:type="dxa"/>
            <w:shd w:val="clear" w:color="auto" w:fill="auto"/>
          </w:tcPr>
          <w:p w:rsidR="00617CB0" w:rsidRPr="00022D33" w:rsidRDefault="00617CB0" w:rsidP="000D7011">
            <w:pPr>
              <w:pStyle w:val="Tabletext"/>
              <w:rPr>
                <w:b/>
              </w:rPr>
            </w:pPr>
            <w:r w:rsidRPr="00022D33">
              <w:rPr>
                <w:b/>
              </w:rPr>
              <w:t>2015</w:t>
            </w:r>
          </w:p>
        </w:tc>
        <w:tc>
          <w:tcPr>
            <w:tcW w:w="953" w:type="dxa"/>
            <w:shd w:val="clear" w:color="auto" w:fill="auto"/>
          </w:tcPr>
          <w:p w:rsidR="00617CB0" w:rsidRPr="00022D33" w:rsidRDefault="00617CB0" w:rsidP="000D7011">
            <w:pPr>
              <w:pStyle w:val="Tabletext"/>
              <w:jc w:val="right"/>
              <w:rPr>
                <w:b/>
              </w:rPr>
            </w:pPr>
            <w:r w:rsidRPr="00022D33">
              <w:rPr>
                <w:b/>
              </w:rPr>
              <w:t>$000</w:t>
            </w:r>
          </w:p>
        </w:tc>
        <w:tc>
          <w:tcPr>
            <w:tcW w:w="1128" w:type="dxa"/>
            <w:shd w:val="clear" w:color="auto" w:fill="auto"/>
          </w:tcPr>
          <w:p w:rsidR="00617CB0" w:rsidRPr="00022D33" w:rsidRDefault="00617CB0" w:rsidP="000D7011">
            <w:pPr>
              <w:pStyle w:val="Tabletext"/>
              <w:jc w:val="right"/>
              <w:rPr>
                <w:b/>
              </w:rPr>
            </w:pPr>
            <w:r w:rsidRPr="00022D33">
              <w:rPr>
                <w:b/>
              </w:rPr>
              <w:t>$000</w:t>
            </w:r>
          </w:p>
        </w:tc>
        <w:tc>
          <w:tcPr>
            <w:tcW w:w="1584" w:type="dxa"/>
            <w:shd w:val="clear" w:color="auto" w:fill="auto"/>
          </w:tcPr>
          <w:p w:rsidR="00617CB0" w:rsidRPr="00022D33" w:rsidRDefault="00617CB0" w:rsidP="000D7011">
            <w:pPr>
              <w:pStyle w:val="Tabletext"/>
              <w:jc w:val="right"/>
              <w:rPr>
                <w:b/>
              </w:rPr>
            </w:pPr>
            <w:r w:rsidRPr="00022D33">
              <w:rPr>
                <w:b/>
              </w:rPr>
              <w:t>$000</w:t>
            </w:r>
          </w:p>
        </w:tc>
        <w:tc>
          <w:tcPr>
            <w:tcW w:w="1228" w:type="dxa"/>
            <w:shd w:val="clear" w:color="auto" w:fill="auto"/>
          </w:tcPr>
          <w:p w:rsidR="00617CB0" w:rsidRPr="00022D33" w:rsidRDefault="00617CB0" w:rsidP="000D7011">
            <w:pPr>
              <w:pStyle w:val="Tabletext"/>
              <w:jc w:val="right"/>
              <w:rPr>
                <w:b/>
              </w:rPr>
            </w:pPr>
            <w:r w:rsidRPr="00022D33">
              <w:rPr>
                <w:b/>
              </w:rPr>
              <w:t>$000</w:t>
            </w:r>
          </w:p>
        </w:tc>
        <w:tc>
          <w:tcPr>
            <w:tcW w:w="1228" w:type="dxa"/>
            <w:shd w:val="clear" w:color="auto" w:fill="auto"/>
          </w:tcPr>
          <w:p w:rsidR="00617CB0" w:rsidRPr="00022D33" w:rsidRDefault="00617CB0" w:rsidP="000D7011">
            <w:pPr>
              <w:pStyle w:val="Tabletext"/>
              <w:jc w:val="right"/>
              <w:rPr>
                <w:b/>
              </w:rPr>
            </w:pPr>
            <w:r w:rsidRPr="00022D33">
              <w:rPr>
                <w:b/>
              </w:rPr>
              <w:t>$000</w:t>
            </w:r>
          </w:p>
        </w:tc>
        <w:tc>
          <w:tcPr>
            <w:tcW w:w="953" w:type="dxa"/>
            <w:shd w:val="clear" w:color="auto" w:fill="auto"/>
          </w:tcPr>
          <w:p w:rsidR="00617CB0" w:rsidRPr="00022D33" w:rsidRDefault="00617CB0" w:rsidP="000D7011">
            <w:pPr>
              <w:pStyle w:val="Tabletext"/>
              <w:jc w:val="right"/>
              <w:rPr>
                <w:b/>
              </w:rPr>
            </w:pPr>
            <w:r w:rsidRPr="00022D33">
              <w:rPr>
                <w:b/>
              </w:rPr>
              <w:t>$000</w:t>
            </w:r>
          </w:p>
        </w:tc>
        <w:tc>
          <w:tcPr>
            <w:tcW w:w="984" w:type="dxa"/>
            <w:shd w:val="clear" w:color="auto" w:fill="auto"/>
          </w:tcPr>
          <w:p w:rsidR="00617CB0" w:rsidRPr="00022D33" w:rsidRDefault="00617CB0" w:rsidP="000D7011">
            <w:pPr>
              <w:pStyle w:val="Tabletext"/>
              <w:jc w:val="right"/>
              <w:rPr>
                <w:b/>
              </w:rPr>
            </w:pPr>
            <w:r w:rsidRPr="00022D33">
              <w:rPr>
                <w:b/>
              </w:rPr>
              <w:t>$000</w:t>
            </w:r>
          </w:p>
        </w:tc>
        <w:tc>
          <w:tcPr>
            <w:tcW w:w="1072" w:type="dxa"/>
            <w:shd w:val="clear" w:color="auto" w:fill="auto"/>
          </w:tcPr>
          <w:p w:rsidR="00617CB0" w:rsidRPr="00022D33" w:rsidRDefault="00617CB0" w:rsidP="000D7011">
            <w:pPr>
              <w:pStyle w:val="Tabletext"/>
              <w:jc w:val="right"/>
              <w:rPr>
                <w:b/>
              </w:rPr>
            </w:pPr>
            <w:r w:rsidRPr="00022D33">
              <w:rPr>
                <w:b/>
              </w:rPr>
              <w:t>$000</w:t>
            </w:r>
          </w:p>
        </w:tc>
        <w:tc>
          <w:tcPr>
            <w:tcW w:w="961" w:type="dxa"/>
            <w:shd w:val="clear" w:color="auto" w:fill="auto"/>
          </w:tcPr>
          <w:p w:rsidR="00617CB0" w:rsidRPr="00022D33" w:rsidRDefault="00617CB0" w:rsidP="000D7011">
            <w:pPr>
              <w:pStyle w:val="Tableboldedtext"/>
              <w:jc w:val="right"/>
            </w:pPr>
            <w:r w:rsidRPr="00022D33">
              <w:t>$000</w:t>
            </w:r>
          </w:p>
        </w:tc>
      </w:tr>
      <w:tr w:rsidR="00617CB0" w:rsidRPr="00022D33" w:rsidTr="000D7011">
        <w:tc>
          <w:tcPr>
            <w:tcW w:w="1361" w:type="dxa"/>
            <w:shd w:val="clear" w:color="auto" w:fill="auto"/>
          </w:tcPr>
          <w:p w:rsidR="00617CB0" w:rsidRPr="00022D33" w:rsidRDefault="00617CB0" w:rsidP="000D7011">
            <w:pPr>
              <w:pStyle w:val="Tabletext"/>
            </w:pPr>
            <w:r w:rsidRPr="00022D33">
              <w:t>Carrying amount at start of period</w:t>
            </w:r>
          </w:p>
        </w:tc>
        <w:tc>
          <w:tcPr>
            <w:tcW w:w="953" w:type="dxa"/>
            <w:shd w:val="clear" w:color="auto" w:fill="auto"/>
          </w:tcPr>
          <w:p w:rsidR="00617CB0" w:rsidRPr="00022D33" w:rsidRDefault="00617CB0" w:rsidP="000D7011">
            <w:pPr>
              <w:pStyle w:val="Tabletext"/>
              <w:jc w:val="right"/>
            </w:pPr>
            <w:r w:rsidRPr="00022D33">
              <w:t>182,088</w:t>
            </w:r>
          </w:p>
        </w:tc>
        <w:tc>
          <w:tcPr>
            <w:tcW w:w="1128" w:type="dxa"/>
            <w:shd w:val="clear" w:color="auto" w:fill="auto"/>
          </w:tcPr>
          <w:p w:rsidR="00617CB0" w:rsidRPr="00022D33" w:rsidRDefault="00617CB0" w:rsidP="000D7011">
            <w:pPr>
              <w:pStyle w:val="Tabletext"/>
              <w:jc w:val="right"/>
            </w:pPr>
            <w:r w:rsidRPr="00022D33">
              <w:t>269,406</w:t>
            </w:r>
          </w:p>
        </w:tc>
        <w:tc>
          <w:tcPr>
            <w:tcW w:w="1584" w:type="dxa"/>
            <w:shd w:val="clear" w:color="auto" w:fill="auto"/>
          </w:tcPr>
          <w:p w:rsidR="00617CB0" w:rsidRPr="00022D33" w:rsidRDefault="00617CB0" w:rsidP="000D7011">
            <w:pPr>
              <w:pStyle w:val="Tabletext"/>
              <w:jc w:val="right"/>
            </w:pPr>
            <w:r w:rsidRPr="00022D33">
              <w:t>21,151</w:t>
            </w:r>
          </w:p>
        </w:tc>
        <w:tc>
          <w:tcPr>
            <w:tcW w:w="1228" w:type="dxa"/>
            <w:shd w:val="clear" w:color="auto" w:fill="auto"/>
          </w:tcPr>
          <w:p w:rsidR="00617CB0" w:rsidRPr="00022D33" w:rsidRDefault="00617CB0" w:rsidP="000D7011">
            <w:pPr>
              <w:pStyle w:val="Tabletext"/>
              <w:jc w:val="right"/>
            </w:pPr>
            <w:r w:rsidRPr="00022D33">
              <w:t>130</w:t>
            </w:r>
          </w:p>
        </w:tc>
        <w:tc>
          <w:tcPr>
            <w:tcW w:w="1228" w:type="dxa"/>
            <w:shd w:val="clear" w:color="auto" w:fill="auto"/>
          </w:tcPr>
          <w:p w:rsidR="00617CB0" w:rsidRPr="00022D33" w:rsidRDefault="00617CB0" w:rsidP="000D7011">
            <w:pPr>
              <w:pStyle w:val="Tabletext"/>
              <w:jc w:val="right"/>
            </w:pPr>
            <w:r w:rsidRPr="00022D33">
              <w:t>1,909</w:t>
            </w:r>
          </w:p>
        </w:tc>
        <w:tc>
          <w:tcPr>
            <w:tcW w:w="953" w:type="dxa"/>
            <w:shd w:val="clear" w:color="auto" w:fill="auto"/>
          </w:tcPr>
          <w:p w:rsidR="00617CB0" w:rsidRPr="00022D33" w:rsidRDefault="00617CB0" w:rsidP="000D7011">
            <w:pPr>
              <w:pStyle w:val="Tabletext"/>
              <w:jc w:val="right"/>
            </w:pPr>
            <w:r w:rsidRPr="00022D33">
              <w:t>83,877</w:t>
            </w:r>
          </w:p>
        </w:tc>
        <w:tc>
          <w:tcPr>
            <w:tcW w:w="984" w:type="dxa"/>
            <w:shd w:val="clear" w:color="auto" w:fill="auto"/>
          </w:tcPr>
          <w:p w:rsidR="00617CB0" w:rsidRPr="00022D33" w:rsidRDefault="00617CB0" w:rsidP="000D7011">
            <w:pPr>
              <w:pStyle w:val="Tabletext"/>
              <w:jc w:val="right"/>
            </w:pPr>
            <w:r w:rsidRPr="00022D33">
              <w:t>276,399</w:t>
            </w:r>
          </w:p>
        </w:tc>
        <w:tc>
          <w:tcPr>
            <w:tcW w:w="1072" w:type="dxa"/>
            <w:shd w:val="clear" w:color="auto" w:fill="auto"/>
          </w:tcPr>
          <w:p w:rsidR="00617CB0" w:rsidRPr="00022D33" w:rsidRDefault="00617CB0" w:rsidP="000D7011">
            <w:pPr>
              <w:pStyle w:val="Tabletext"/>
              <w:jc w:val="right"/>
            </w:pPr>
            <w:r w:rsidRPr="00022D33">
              <w:t>4,456</w:t>
            </w:r>
          </w:p>
        </w:tc>
        <w:tc>
          <w:tcPr>
            <w:tcW w:w="961" w:type="dxa"/>
            <w:shd w:val="clear" w:color="auto" w:fill="auto"/>
          </w:tcPr>
          <w:p w:rsidR="00617CB0" w:rsidRPr="00022D33" w:rsidRDefault="00617CB0" w:rsidP="000D7011">
            <w:pPr>
              <w:pStyle w:val="Tableboldedtext"/>
              <w:jc w:val="right"/>
            </w:pPr>
            <w:r w:rsidRPr="00022D33">
              <w:t>839,416</w:t>
            </w:r>
          </w:p>
        </w:tc>
      </w:tr>
      <w:tr w:rsidR="00617CB0" w:rsidRPr="00022D33" w:rsidTr="000D7011">
        <w:tc>
          <w:tcPr>
            <w:tcW w:w="1361" w:type="dxa"/>
            <w:shd w:val="clear" w:color="auto" w:fill="auto"/>
          </w:tcPr>
          <w:p w:rsidR="00617CB0" w:rsidRPr="00022D33" w:rsidRDefault="00617CB0" w:rsidP="000D7011">
            <w:pPr>
              <w:pStyle w:val="Tabletext"/>
            </w:pPr>
            <w:r w:rsidRPr="00022D33">
              <w:t xml:space="preserve">Additions </w:t>
            </w:r>
          </w:p>
        </w:tc>
        <w:tc>
          <w:tcPr>
            <w:tcW w:w="953" w:type="dxa"/>
            <w:shd w:val="clear" w:color="auto" w:fill="auto"/>
          </w:tcPr>
          <w:p w:rsidR="00617CB0" w:rsidRPr="00022D33" w:rsidRDefault="00617CB0" w:rsidP="000D7011">
            <w:pPr>
              <w:pStyle w:val="Tabletext"/>
              <w:jc w:val="right"/>
            </w:pPr>
            <w:r w:rsidRPr="00022D33">
              <w:t>480</w:t>
            </w:r>
          </w:p>
        </w:tc>
        <w:tc>
          <w:tcPr>
            <w:tcW w:w="1128" w:type="dxa"/>
            <w:shd w:val="clear" w:color="auto" w:fill="auto"/>
          </w:tcPr>
          <w:p w:rsidR="00617CB0" w:rsidRPr="00022D33" w:rsidRDefault="00617CB0" w:rsidP="000D7011">
            <w:pPr>
              <w:pStyle w:val="Tabletext"/>
              <w:jc w:val="right"/>
            </w:pPr>
            <w:r w:rsidRPr="00022D33">
              <w:t>-</w:t>
            </w:r>
          </w:p>
        </w:tc>
        <w:tc>
          <w:tcPr>
            <w:tcW w:w="1584" w:type="dxa"/>
            <w:shd w:val="clear" w:color="auto" w:fill="auto"/>
          </w:tcPr>
          <w:p w:rsidR="00617CB0" w:rsidRPr="00022D33" w:rsidRDefault="00617CB0" w:rsidP="000D7011">
            <w:pPr>
              <w:pStyle w:val="Tabletext"/>
              <w:jc w:val="right"/>
            </w:pPr>
            <w:r w:rsidRPr="00022D33">
              <w:t>11,948</w:t>
            </w:r>
          </w:p>
        </w:tc>
        <w:tc>
          <w:tcPr>
            <w:tcW w:w="1228" w:type="dxa"/>
            <w:shd w:val="clear" w:color="auto" w:fill="auto"/>
          </w:tcPr>
          <w:p w:rsidR="00617CB0" w:rsidRPr="00022D33" w:rsidRDefault="00617CB0" w:rsidP="000D7011">
            <w:pPr>
              <w:pStyle w:val="Tabletext"/>
              <w:jc w:val="right"/>
            </w:pPr>
            <w:r w:rsidRPr="00022D33">
              <w:t>55</w:t>
            </w:r>
          </w:p>
        </w:tc>
        <w:tc>
          <w:tcPr>
            <w:tcW w:w="1228" w:type="dxa"/>
            <w:shd w:val="clear" w:color="auto" w:fill="auto"/>
          </w:tcPr>
          <w:p w:rsidR="00617CB0" w:rsidRPr="00022D33" w:rsidRDefault="00617CB0" w:rsidP="000D7011">
            <w:pPr>
              <w:pStyle w:val="Tabletext"/>
              <w:jc w:val="right"/>
            </w:pPr>
            <w:r w:rsidRPr="00022D33">
              <w:t>618</w:t>
            </w:r>
          </w:p>
        </w:tc>
        <w:tc>
          <w:tcPr>
            <w:tcW w:w="953" w:type="dxa"/>
            <w:shd w:val="clear" w:color="auto" w:fill="auto"/>
          </w:tcPr>
          <w:p w:rsidR="00617CB0" w:rsidRPr="00022D33" w:rsidRDefault="00617CB0" w:rsidP="000D7011">
            <w:pPr>
              <w:pStyle w:val="Tabletext"/>
              <w:jc w:val="right"/>
            </w:pPr>
            <w:r w:rsidRPr="00022D33">
              <w:t>1,831</w:t>
            </w:r>
          </w:p>
        </w:tc>
        <w:tc>
          <w:tcPr>
            <w:tcW w:w="984" w:type="dxa"/>
            <w:shd w:val="clear" w:color="auto" w:fill="auto"/>
          </w:tcPr>
          <w:p w:rsidR="00617CB0" w:rsidRPr="00022D33" w:rsidRDefault="00617CB0" w:rsidP="000D7011">
            <w:pPr>
              <w:pStyle w:val="Tabletext"/>
              <w:jc w:val="right"/>
            </w:pPr>
            <w:r w:rsidRPr="00022D33">
              <w:t>70,789</w:t>
            </w:r>
          </w:p>
        </w:tc>
        <w:tc>
          <w:tcPr>
            <w:tcW w:w="1072" w:type="dxa"/>
            <w:shd w:val="clear" w:color="auto" w:fill="auto"/>
          </w:tcPr>
          <w:p w:rsidR="00617CB0" w:rsidRPr="00022D33" w:rsidRDefault="00617CB0" w:rsidP="000D7011">
            <w:pPr>
              <w:pStyle w:val="Tabletext"/>
              <w:jc w:val="right"/>
            </w:pPr>
            <w:r w:rsidRPr="00022D33">
              <w:t>23,844</w:t>
            </w:r>
          </w:p>
        </w:tc>
        <w:tc>
          <w:tcPr>
            <w:tcW w:w="961" w:type="dxa"/>
            <w:shd w:val="clear" w:color="auto" w:fill="auto"/>
          </w:tcPr>
          <w:p w:rsidR="00617CB0" w:rsidRPr="00022D33" w:rsidRDefault="00617CB0" w:rsidP="000D7011">
            <w:pPr>
              <w:pStyle w:val="Tableboldedtext"/>
              <w:jc w:val="right"/>
            </w:pPr>
            <w:r w:rsidRPr="00022D33">
              <w:t>109,564</w:t>
            </w:r>
          </w:p>
        </w:tc>
      </w:tr>
      <w:tr w:rsidR="00617CB0" w:rsidRPr="00022D33" w:rsidTr="000D7011">
        <w:tc>
          <w:tcPr>
            <w:tcW w:w="1361" w:type="dxa"/>
            <w:shd w:val="clear" w:color="auto" w:fill="auto"/>
          </w:tcPr>
          <w:p w:rsidR="00617CB0" w:rsidRPr="00022D33" w:rsidRDefault="00617CB0" w:rsidP="000D7011">
            <w:pPr>
              <w:pStyle w:val="Tabletext"/>
            </w:pPr>
            <w:r w:rsidRPr="00022D33">
              <w:t xml:space="preserve">Transfers </w:t>
            </w:r>
            <w:r w:rsidRPr="00022D33">
              <w:rPr>
                <w:vertAlign w:val="superscript"/>
              </w:rPr>
              <w:t>(b)</w:t>
            </w:r>
          </w:p>
        </w:tc>
        <w:tc>
          <w:tcPr>
            <w:tcW w:w="953" w:type="dxa"/>
            <w:shd w:val="clear" w:color="auto" w:fill="auto"/>
          </w:tcPr>
          <w:p w:rsidR="00617CB0" w:rsidRPr="00022D33" w:rsidRDefault="00617CB0" w:rsidP="000D7011">
            <w:pPr>
              <w:pStyle w:val="Tabletext"/>
              <w:jc w:val="right"/>
            </w:pPr>
            <w:r w:rsidRPr="00022D33">
              <w:t>-</w:t>
            </w:r>
          </w:p>
        </w:tc>
        <w:tc>
          <w:tcPr>
            <w:tcW w:w="1128" w:type="dxa"/>
            <w:shd w:val="clear" w:color="auto" w:fill="auto"/>
          </w:tcPr>
          <w:p w:rsidR="00617CB0" w:rsidRPr="00022D33" w:rsidRDefault="00617CB0" w:rsidP="000D7011">
            <w:pPr>
              <w:pStyle w:val="Tabletext"/>
              <w:jc w:val="right"/>
            </w:pPr>
            <w:r w:rsidRPr="00022D33">
              <w:t>(7,054)</w:t>
            </w:r>
          </w:p>
        </w:tc>
        <w:tc>
          <w:tcPr>
            <w:tcW w:w="1584" w:type="dxa"/>
            <w:shd w:val="clear" w:color="auto" w:fill="auto"/>
          </w:tcPr>
          <w:p w:rsidR="00617CB0" w:rsidRPr="00022D33" w:rsidRDefault="00617CB0" w:rsidP="000D7011">
            <w:pPr>
              <w:pStyle w:val="Tabletext"/>
              <w:jc w:val="right"/>
            </w:pPr>
            <w:r w:rsidRPr="00022D33">
              <w:t>-</w:t>
            </w:r>
          </w:p>
        </w:tc>
        <w:tc>
          <w:tcPr>
            <w:tcW w:w="1228" w:type="dxa"/>
            <w:shd w:val="clear" w:color="auto" w:fill="auto"/>
          </w:tcPr>
          <w:p w:rsidR="00617CB0" w:rsidRPr="00022D33" w:rsidRDefault="00617CB0" w:rsidP="000D7011">
            <w:pPr>
              <w:pStyle w:val="Tabletext"/>
              <w:jc w:val="right"/>
            </w:pPr>
            <w:r w:rsidRPr="00022D33">
              <w:t>-</w:t>
            </w:r>
          </w:p>
        </w:tc>
        <w:tc>
          <w:tcPr>
            <w:tcW w:w="1228" w:type="dxa"/>
            <w:shd w:val="clear" w:color="auto" w:fill="auto"/>
          </w:tcPr>
          <w:p w:rsidR="00617CB0" w:rsidRPr="00022D33" w:rsidRDefault="00617CB0" w:rsidP="000D7011">
            <w:pPr>
              <w:pStyle w:val="Tabletext"/>
              <w:jc w:val="right"/>
            </w:pPr>
            <w:r w:rsidRPr="00022D33">
              <w:t>(190)</w:t>
            </w:r>
          </w:p>
        </w:tc>
        <w:tc>
          <w:tcPr>
            <w:tcW w:w="953" w:type="dxa"/>
            <w:shd w:val="clear" w:color="auto" w:fill="auto"/>
          </w:tcPr>
          <w:p w:rsidR="00617CB0" w:rsidRPr="00022D33" w:rsidRDefault="00617CB0" w:rsidP="000D7011">
            <w:pPr>
              <w:pStyle w:val="Tabletext"/>
              <w:jc w:val="right"/>
            </w:pPr>
            <w:r w:rsidRPr="00022D33">
              <w:t>3,</w:t>
            </w:r>
            <w:r>
              <w:t>23</w:t>
            </w:r>
            <w:r w:rsidRPr="00022D33">
              <w:t>6</w:t>
            </w:r>
          </w:p>
        </w:tc>
        <w:tc>
          <w:tcPr>
            <w:tcW w:w="984" w:type="dxa"/>
            <w:shd w:val="clear" w:color="auto" w:fill="auto"/>
          </w:tcPr>
          <w:p w:rsidR="00617CB0" w:rsidRPr="00022D33" w:rsidRDefault="00617CB0" w:rsidP="000D7011">
            <w:pPr>
              <w:pStyle w:val="Tabletext"/>
              <w:jc w:val="right"/>
            </w:pPr>
            <w:r w:rsidRPr="00022D33">
              <w:t>(290)</w:t>
            </w:r>
          </w:p>
        </w:tc>
        <w:tc>
          <w:tcPr>
            <w:tcW w:w="1072" w:type="dxa"/>
            <w:shd w:val="clear" w:color="auto" w:fill="auto"/>
          </w:tcPr>
          <w:p w:rsidR="00617CB0" w:rsidRPr="00022D33" w:rsidRDefault="00617CB0" w:rsidP="000D7011">
            <w:pPr>
              <w:pStyle w:val="Tabletext"/>
              <w:jc w:val="right"/>
            </w:pPr>
            <w:r w:rsidRPr="00022D33">
              <w:t>(3,046)</w:t>
            </w:r>
          </w:p>
        </w:tc>
        <w:tc>
          <w:tcPr>
            <w:tcW w:w="961" w:type="dxa"/>
            <w:shd w:val="clear" w:color="auto" w:fill="auto"/>
          </w:tcPr>
          <w:p w:rsidR="00617CB0" w:rsidRPr="00022D33" w:rsidRDefault="00617CB0" w:rsidP="000D7011">
            <w:pPr>
              <w:pStyle w:val="Tableboldedtext"/>
              <w:jc w:val="right"/>
            </w:pPr>
            <w:r w:rsidRPr="00022D33">
              <w:t>(7,344)</w:t>
            </w:r>
          </w:p>
        </w:tc>
      </w:tr>
      <w:tr w:rsidR="00617CB0" w:rsidRPr="00022D33" w:rsidTr="000D7011">
        <w:tc>
          <w:tcPr>
            <w:tcW w:w="1361" w:type="dxa"/>
            <w:shd w:val="clear" w:color="auto" w:fill="auto"/>
          </w:tcPr>
          <w:p w:rsidR="00617CB0" w:rsidRPr="00022D33" w:rsidRDefault="00617CB0" w:rsidP="000D7011">
            <w:pPr>
              <w:pStyle w:val="Tabletext"/>
            </w:pPr>
            <w:r w:rsidRPr="00022D33">
              <w:t xml:space="preserve">Other disposals </w:t>
            </w:r>
          </w:p>
        </w:tc>
        <w:tc>
          <w:tcPr>
            <w:tcW w:w="953" w:type="dxa"/>
            <w:shd w:val="clear" w:color="auto" w:fill="auto"/>
          </w:tcPr>
          <w:p w:rsidR="00617CB0" w:rsidRPr="00022D33" w:rsidRDefault="00617CB0" w:rsidP="000D7011">
            <w:pPr>
              <w:pStyle w:val="Tabletext"/>
              <w:jc w:val="right"/>
            </w:pPr>
            <w:r w:rsidRPr="00022D33">
              <w:t>(7,450)</w:t>
            </w:r>
          </w:p>
        </w:tc>
        <w:tc>
          <w:tcPr>
            <w:tcW w:w="1128" w:type="dxa"/>
            <w:shd w:val="clear" w:color="auto" w:fill="auto"/>
          </w:tcPr>
          <w:p w:rsidR="00617CB0" w:rsidRPr="00022D33" w:rsidRDefault="00617CB0" w:rsidP="000D7011">
            <w:pPr>
              <w:pStyle w:val="Tabletext"/>
              <w:jc w:val="right"/>
            </w:pPr>
            <w:r w:rsidRPr="00022D33">
              <w:t>(30)</w:t>
            </w:r>
          </w:p>
        </w:tc>
        <w:tc>
          <w:tcPr>
            <w:tcW w:w="1584" w:type="dxa"/>
            <w:shd w:val="clear" w:color="auto" w:fill="auto"/>
          </w:tcPr>
          <w:p w:rsidR="00617CB0" w:rsidRPr="00022D33" w:rsidRDefault="00617CB0" w:rsidP="000D7011">
            <w:pPr>
              <w:pStyle w:val="Tabletext"/>
              <w:jc w:val="right"/>
            </w:pPr>
            <w:r w:rsidRPr="00022D33">
              <w:t>-</w:t>
            </w:r>
          </w:p>
        </w:tc>
        <w:tc>
          <w:tcPr>
            <w:tcW w:w="1228" w:type="dxa"/>
            <w:shd w:val="clear" w:color="auto" w:fill="auto"/>
          </w:tcPr>
          <w:p w:rsidR="00617CB0" w:rsidRPr="00022D33" w:rsidRDefault="00617CB0" w:rsidP="000D7011">
            <w:pPr>
              <w:pStyle w:val="Tabletext"/>
              <w:jc w:val="right"/>
            </w:pPr>
            <w:r w:rsidRPr="00022D33">
              <w:t>-</w:t>
            </w:r>
          </w:p>
        </w:tc>
        <w:tc>
          <w:tcPr>
            <w:tcW w:w="1228" w:type="dxa"/>
            <w:shd w:val="clear" w:color="auto" w:fill="auto"/>
          </w:tcPr>
          <w:p w:rsidR="00617CB0" w:rsidRPr="00022D33" w:rsidRDefault="00617CB0" w:rsidP="000D7011">
            <w:pPr>
              <w:pStyle w:val="Tabletext"/>
              <w:jc w:val="right"/>
            </w:pPr>
            <w:r w:rsidRPr="00022D33">
              <w:t>-</w:t>
            </w:r>
          </w:p>
        </w:tc>
        <w:tc>
          <w:tcPr>
            <w:tcW w:w="953" w:type="dxa"/>
            <w:shd w:val="clear" w:color="auto" w:fill="auto"/>
          </w:tcPr>
          <w:p w:rsidR="00617CB0" w:rsidRPr="00022D33" w:rsidRDefault="00617CB0" w:rsidP="000D7011">
            <w:pPr>
              <w:pStyle w:val="Tabletext"/>
              <w:jc w:val="right"/>
            </w:pPr>
            <w:r w:rsidRPr="00022D33">
              <w:t>-</w:t>
            </w:r>
          </w:p>
        </w:tc>
        <w:tc>
          <w:tcPr>
            <w:tcW w:w="984" w:type="dxa"/>
            <w:shd w:val="clear" w:color="auto" w:fill="auto"/>
          </w:tcPr>
          <w:p w:rsidR="00617CB0" w:rsidRPr="00022D33" w:rsidRDefault="00617CB0" w:rsidP="000D7011">
            <w:pPr>
              <w:pStyle w:val="Tabletext"/>
              <w:jc w:val="right"/>
            </w:pPr>
            <w:r w:rsidRPr="00022D33">
              <w:t>(38,736)</w:t>
            </w:r>
          </w:p>
        </w:tc>
        <w:tc>
          <w:tcPr>
            <w:tcW w:w="1072" w:type="dxa"/>
            <w:shd w:val="clear" w:color="auto" w:fill="auto"/>
          </w:tcPr>
          <w:p w:rsidR="00617CB0" w:rsidRPr="00022D33" w:rsidRDefault="00617CB0" w:rsidP="000D7011">
            <w:pPr>
              <w:pStyle w:val="Tabletext"/>
              <w:jc w:val="right"/>
            </w:pPr>
            <w:r w:rsidRPr="00022D33">
              <w:t>-</w:t>
            </w:r>
          </w:p>
        </w:tc>
        <w:tc>
          <w:tcPr>
            <w:tcW w:w="961" w:type="dxa"/>
            <w:shd w:val="clear" w:color="auto" w:fill="auto"/>
          </w:tcPr>
          <w:p w:rsidR="00617CB0" w:rsidRPr="00022D33" w:rsidRDefault="00617CB0" w:rsidP="000D7011">
            <w:pPr>
              <w:pStyle w:val="Tableboldedtext"/>
              <w:jc w:val="right"/>
            </w:pPr>
            <w:r w:rsidRPr="00022D33">
              <w:t>(46,217)</w:t>
            </w:r>
          </w:p>
        </w:tc>
      </w:tr>
      <w:tr w:rsidR="00617CB0" w:rsidRPr="00022D33" w:rsidTr="000D7011">
        <w:tc>
          <w:tcPr>
            <w:tcW w:w="1361" w:type="dxa"/>
            <w:shd w:val="clear" w:color="auto" w:fill="auto"/>
          </w:tcPr>
          <w:p w:rsidR="00617CB0" w:rsidRPr="00022D33" w:rsidRDefault="00617CB0" w:rsidP="000D7011">
            <w:pPr>
              <w:pStyle w:val="Tabletext"/>
            </w:pPr>
            <w:r w:rsidRPr="00022D33">
              <w:t xml:space="preserve">Revaluations </w:t>
            </w:r>
          </w:p>
        </w:tc>
        <w:tc>
          <w:tcPr>
            <w:tcW w:w="953" w:type="dxa"/>
            <w:shd w:val="clear" w:color="auto" w:fill="auto"/>
          </w:tcPr>
          <w:p w:rsidR="00617CB0" w:rsidRPr="00022D33" w:rsidRDefault="00617CB0" w:rsidP="000D7011">
            <w:pPr>
              <w:pStyle w:val="Tabletext"/>
              <w:jc w:val="right"/>
            </w:pPr>
            <w:r w:rsidRPr="00022D33">
              <w:t>(453)</w:t>
            </w:r>
          </w:p>
        </w:tc>
        <w:tc>
          <w:tcPr>
            <w:tcW w:w="1128" w:type="dxa"/>
            <w:shd w:val="clear" w:color="auto" w:fill="auto"/>
          </w:tcPr>
          <w:p w:rsidR="00617CB0" w:rsidRPr="00022D33" w:rsidRDefault="00617CB0" w:rsidP="000D7011">
            <w:pPr>
              <w:pStyle w:val="Tabletext"/>
              <w:jc w:val="right"/>
            </w:pPr>
            <w:r w:rsidRPr="00022D33">
              <w:t>(13,729)</w:t>
            </w:r>
          </w:p>
        </w:tc>
        <w:tc>
          <w:tcPr>
            <w:tcW w:w="1584" w:type="dxa"/>
            <w:shd w:val="clear" w:color="auto" w:fill="auto"/>
          </w:tcPr>
          <w:p w:rsidR="00617CB0" w:rsidRPr="00022D33" w:rsidRDefault="00617CB0" w:rsidP="000D7011">
            <w:pPr>
              <w:pStyle w:val="Tabletext"/>
              <w:jc w:val="right"/>
            </w:pPr>
            <w:r w:rsidRPr="00022D33">
              <w:t>-</w:t>
            </w:r>
          </w:p>
        </w:tc>
        <w:tc>
          <w:tcPr>
            <w:tcW w:w="1228" w:type="dxa"/>
            <w:shd w:val="clear" w:color="auto" w:fill="auto"/>
          </w:tcPr>
          <w:p w:rsidR="00617CB0" w:rsidRPr="00022D33" w:rsidRDefault="00617CB0" w:rsidP="000D7011">
            <w:pPr>
              <w:pStyle w:val="Tabletext"/>
              <w:jc w:val="right"/>
            </w:pPr>
            <w:r w:rsidRPr="00022D33">
              <w:t>-</w:t>
            </w:r>
          </w:p>
        </w:tc>
        <w:tc>
          <w:tcPr>
            <w:tcW w:w="1228" w:type="dxa"/>
            <w:shd w:val="clear" w:color="auto" w:fill="auto"/>
          </w:tcPr>
          <w:p w:rsidR="00617CB0" w:rsidRPr="00022D33" w:rsidRDefault="00617CB0" w:rsidP="000D7011">
            <w:pPr>
              <w:pStyle w:val="Tabletext"/>
              <w:jc w:val="right"/>
            </w:pPr>
            <w:r w:rsidRPr="00022D33">
              <w:t>-</w:t>
            </w:r>
          </w:p>
        </w:tc>
        <w:tc>
          <w:tcPr>
            <w:tcW w:w="953" w:type="dxa"/>
            <w:shd w:val="clear" w:color="auto" w:fill="auto"/>
          </w:tcPr>
          <w:p w:rsidR="00617CB0" w:rsidRPr="00022D33" w:rsidRDefault="00617CB0" w:rsidP="000D7011">
            <w:pPr>
              <w:pStyle w:val="Tabletext"/>
              <w:jc w:val="right"/>
            </w:pPr>
            <w:r w:rsidRPr="00022D33">
              <w:t>-</w:t>
            </w:r>
          </w:p>
        </w:tc>
        <w:tc>
          <w:tcPr>
            <w:tcW w:w="984" w:type="dxa"/>
            <w:shd w:val="clear" w:color="auto" w:fill="auto"/>
          </w:tcPr>
          <w:p w:rsidR="00617CB0" w:rsidRPr="00022D33" w:rsidRDefault="00617CB0" w:rsidP="000D7011">
            <w:pPr>
              <w:pStyle w:val="Tabletext"/>
              <w:jc w:val="right"/>
            </w:pPr>
            <w:r w:rsidRPr="00022D33">
              <w:t>-</w:t>
            </w:r>
          </w:p>
        </w:tc>
        <w:tc>
          <w:tcPr>
            <w:tcW w:w="1072" w:type="dxa"/>
            <w:shd w:val="clear" w:color="auto" w:fill="auto"/>
          </w:tcPr>
          <w:p w:rsidR="00617CB0" w:rsidRPr="00022D33" w:rsidRDefault="00617CB0" w:rsidP="000D7011">
            <w:pPr>
              <w:pStyle w:val="Tabletext"/>
              <w:jc w:val="right"/>
            </w:pPr>
            <w:r w:rsidRPr="00022D33">
              <w:t>-</w:t>
            </w:r>
          </w:p>
        </w:tc>
        <w:tc>
          <w:tcPr>
            <w:tcW w:w="961" w:type="dxa"/>
            <w:shd w:val="clear" w:color="auto" w:fill="auto"/>
          </w:tcPr>
          <w:p w:rsidR="00617CB0" w:rsidRPr="00022D33" w:rsidRDefault="00617CB0" w:rsidP="000D7011">
            <w:pPr>
              <w:pStyle w:val="Tableboldedtext"/>
              <w:jc w:val="right"/>
            </w:pPr>
            <w:r w:rsidRPr="00022D33">
              <w:t>(14,182)</w:t>
            </w:r>
          </w:p>
        </w:tc>
      </w:tr>
      <w:tr w:rsidR="00617CB0" w:rsidRPr="00022D33" w:rsidTr="000D7011">
        <w:tc>
          <w:tcPr>
            <w:tcW w:w="1361" w:type="dxa"/>
            <w:shd w:val="clear" w:color="auto" w:fill="auto"/>
          </w:tcPr>
          <w:p w:rsidR="00617CB0" w:rsidRPr="00022D33" w:rsidRDefault="00617CB0" w:rsidP="000D7011">
            <w:pPr>
              <w:pStyle w:val="Tabletext"/>
            </w:pPr>
            <w:r w:rsidRPr="00022D33">
              <w:t>Depreciation</w:t>
            </w:r>
          </w:p>
        </w:tc>
        <w:tc>
          <w:tcPr>
            <w:tcW w:w="953" w:type="dxa"/>
            <w:tcBorders>
              <w:bottom w:val="single" w:sz="4" w:space="0" w:color="auto"/>
            </w:tcBorders>
            <w:shd w:val="clear" w:color="auto" w:fill="auto"/>
          </w:tcPr>
          <w:p w:rsidR="00617CB0" w:rsidRPr="00022D33" w:rsidRDefault="00617CB0" w:rsidP="000D7011">
            <w:pPr>
              <w:pStyle w:val="Tabletext"/>
              <w:jc w:val="right"/>
            </w:pPr>
            <w:r w:rsidRPr="00022D33">
              <w:t>-</w:t>
            </w:r>
          </w:p>
        </w:tc>
        <w:tc>
          <w:tcPr>
            <w:tcW w:w="1128" w:type="dxa"/>
            <w:tcBorders>
              <w:bottom w:val="single" w:sz="4" w:space="0" w:color="auto"/>
            </w:tcBorders>
            <w:shd w:val="clear" w:color="auto" w:fill="auto"/>
          </w:tcPr>
          <w:p w:rsidR="00617CB0" w:rsidRPr="00022D33" w:rsidRDefault="00617CB0" w:rsidP="000D7011">
            <w:pPr>
              <w:pStyle w:val="Tabletext"/>
              <w:jc w:val="right"/>
            </w:pPr>
            <w:r w:rsidRPr="00022D33">
              <w:t>(5,794)</w:t>
            </w:r>
          </w:p>
        </w:tc>
        <w:tc>
          <w:tcPr>
            <w:tcW w:w="1584" w:type="dxa"/>
            <w:tcBorders>
              <w:bottom w:val="single" w:sz="4" w:space="0" w:color="auto"/>
            </w:tcBorders>
            <w:shd w:val="clear" w:color="auto" w:fill="auto"/>
          </w:tcPr>
          <w:p w:rsidR="00617CB0" w:rsidRPr="00022D33" w:rsidRDefault="00617CB0" w:rsidP="000D7011">
            <w:pPr>
              <w:pStyle w:val="Tabletext"/>
              <w:jc w:val="right"/>
            </w:pPr>
            <w:r w:rsidRPr="00022D33">
              <w:t>(5,506)</w:t>
            </w:r>
          </w:p>
        </w:tc>
        <w:tc>
          <w:tcPr>
            <w:tcW w:w="1228" w:type="dxa"/>
            <w:tcBorders>
              <w:bottom w:val="single" w:sz="4" w:space="0" w:color="auto"/>
            </w:tcBorders>
            <w:shd w:val="clear" w:color="auto" w:fill="auto"/>
          </w:tcPr>
          <w:p w:rsidR="00617CB0" w:rsidRPr="00022D33" w:rsidRDefault="00617CB0" w:rsidP="000D7011">
            <w:pPr>
              <w:pStyle w:val="Tabletext"/>
              <w:jc w:val="right"/>
            </w:pPr>
            <w:r w:rsidRPr="00022D33">
              <w:t>(56)</w:t>
            </w:r>
          </w:p>
        </w:tc>
        <w:tc>
          <w:tcPr>
            <w:tcW w:w="1228" w:type="dxa"/>
            <w:tcBorders>
              <w:bottom w:val="single" w:sz="4" w:space="0" w:color="auto"/>
            </w:tcBorders>
            <w:shd w:val="clear" w:color="auto" w:fill="auto"/>
          </w:tcPr>
          <w:p w:rsidR="00617CB0" w:rsidRPr="00022D33" w:rsidRDefault="00617CB0" w:rsidP="000D7011">
            <w:pPr>
              <w:pStyle w:val="Tabletext"/>
              <w:jc w:val="right"/>
            </w:pPr>
            <w:r w:rsidRPr="00022D33">
              <w:t>(952)</w:t>
            </w:r>
          </w:p>
        </w:tc>
        <w:tc>
          <w:tcPr>
            <w:tcW w:w="953" w:type="dxa"/>
            <w:tcBorders>
              <w:bottom w:val="single" w:sz="4" w:space="0" w:color="auto"/>
            </w:tcBorders>
            <w:shd w:val="clear" w:color="auto" w:fill="auto"/>
          </w:tcPr>
          <w:p w:rsidR="00617CB0" w:rsidRPr="00022D33" w:rsidRDefault="00617CB0" w:rsidP="000D7011">
            <w:pPr>
              <w:pStyle w:val="Tabletext"/>
              <w:jc w:val="right"/>
            </w:pPr>
            <w:r w:rsidRPr="00022D33">
              <w:t>(14,180)</w:t>
            </w:r>
          </w:p>
        </w:tc>
        <w:tc>
          <w:tcPr>
            <w:tcW w:w="984" w:type="dxa"/>
            <w:tcBorders>
              <w:bottom w:val="single" w:sz="4" w:space="0" w:color="auto"/>
            </w:tcBorders>
            <w:shd w:val="clear" w:color="auto" w:fill="auto"/>
          </w:tcPr>
          <w:p w:rsidR="00617CB0" w:rsidRPr="00022D33" w:rsidRDefault="00617CB0" w:rsidP="000D7011">
            <w:pPr>
              <w:pStyle w:val="Tabletext"/>
              <w:jc w:val="right"/>
            </w:pPr>
            <w:r w:rsidRPr="00022D33">
              <w:t>(50,047)</w:t>
            </w:r>
          </w:p>
        </w:tc>
        <w:tc>
          <w:tcPr>
            <w:tcW w:w="1072" w:type="dxa"/>
            <w:tcBorders>
              <w:bottom w:val="single" w:sz="4" w:space="0" w:color="auto"/>
            </w:tcBorders>
            <w:shd w:val="clear" w:color="auto" w:fill="auto"/>
          </w:tcPr>
          <w:p w:rsidR="00617CB0" w:rsidRPr="00022D33" w:rsidRDefault="00617CB0" w:rsidP="000D7011">
            <w:pPr>
              <w:pStyle w:val="Tabletext"/>
              <w:jc w:val="right"/>
            </w:pPr>
            <w:r w:rsidRPr="00022D33">
              <w:t>-</w:t>
            </w:r>
          </w:p>
        </w:tc>
        <w:tc>
          <w:tcPr>
            <w:tcW w:w="961" w:type="dxa"/>
            <w:tcBorders>
              <w:bottom w:val="single" w:sz="4" w:space="0" w:color="auto"/>
            </w:tcBorders>
            <w:shd w:val="clear" w:color="auto" w:fill="auto"/>
          </w:tcPr>
          <w:p w:rsidR="00617CB0" w:rsidRPr="00022D33" w:rsidRDefault="00617CB0" w:rsidP="000D7011">
            <w:pPr>
              <w:pStyle w:val="Tableboldedtext"/>
              <w:jc w:val="right"/>
            </w:pPr>
            <w:r w:rsidRPr="00022D33">
              <w:t>(76,535)</w:t>
            </w:r>
          </w:p>
        </w:tc>
      </w:tr>
      <w:tr w:rsidR="00617CB0" w:rsidRPr="00022D33" w:rsidTr="000D7011">
        <w:tc>
          <w:tcPr>
            <w:tcW w:w="1361" w:type="dxa"/>
            <w:shd w:val="clear" w:color="auto" w:fill="auto"/>
          </w:tcPr>
          <w:p w:rsidR="00617CB0" w:rsidRPr="00022D33" w:rsidRDefault="00617CB0" w:rsidP="000D7011">
            <w:pPr>
              <w:pStyle w:val="Tableboldedtext"/>
            </w:pPr>
            <w:r w:rsidRPr="00022D33">
              <w:t>Carrying amount at end of period</w:t>
            </w:r>
          </w:p>
        </w:tc>
        <w:tc>
          <w:tcPr>
            <w:tcW w:w="953"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174,665</w:t>
            </w:r>
          </w:p>
        </w:tc>
        <w:tc>
          <w:tcPr>
            <w:tcW w:w="1128"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242,798</w:t>
            </w:r>
          </w:p>
        </w:tc>
        <w:tc>
          <w:tcPr>
            <w:tcW w:w="1584"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27,593</w:t>
            </w:r>
          </w:p>
        </w:tc>
        <w:tc>
          <w:tcPr>
            <w:tcW w:w="1228"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129</w:t>
            </w:r>
          </w:p>
        </w:tc>
        <w:tc>
          <w:tcPr>
            <w:tcW w:w="1228"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1,384</w:t>
            </w:r>
          </w:p>
        </w:tc>
        <w:tc>
          <w:tcPr>
            <w:tcW w:w="953"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74,764</w:t>
            </w:r>
          </w:p>
        </w:tc>
        <w:tc>
          <w:tcPr>
            <w:tcW w:w="984"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258,115</w:t>
            </w:r>
          </w:p>
        </w:tc>
        <w:tc>
          <w:tcPr>
            <w:tcW w:w="1072"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25,254</w:t>
            </w:r>
          </w:p>
        </w:tc>
        <w:tc>
          <w:tcPr>
            <w:tcW w:w="961"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804,702</w:t>
            </w:r>
          </w:p>
        </w:tc>
      </w:tr>
    </w:tbl>
    <w:p w:rsidR="00617CB0" w:rsidRPr="00022D33" w:rsidRDefault="00617CB0" w:rsidP="00617CB0">
      <w:pPr>
        <w:pStyle w:val="BodyText"/>
        <w:numPr>
          <w:ilvl w:val="0"/>
          <w:numId w:val="14"/>
        </w:numPr>
        <w:rPr>
          <w:sz w:val="20"/>
          <w:szCs w:val="20"/>
        </w:rPr>
      </w:pPr>
      <w:r w:rsidRPr="00022D33">
        <w:rPr>
          <w:sz w:val="20"/>
          <w:szCs w:val="20"/>
        </w:rPr>
        <w:t>Fremantle Prison Land and Building were transferred to State Heritage Office for $265,000 and $29,301,600 respectively. Work in Progress was transferred to Leasehold Improvements for $4,247,783 and to office fit-outs for $23,449,221. Four office fit-outs were transferred to Western Australia Police for $1,312,215. One office fit-out was transferred to Department of Attorney General for $21,917,221. During the financial year 7 vehicles were transferred to finance leases; made up of 4 vehicles for Water Corporation ($140,000), 2 vehicles for the Department of Education ($84,000) and 1 vehicle for the Department of Agriculture and Food ($37,000).</w:t>
      </w:r>
    </w:p>
    <w:p w:rsidR="00617CB0" w:rsidRPr="00022D33" w:rsidRDefault="00617CB0" w:rsidP="00617CB0">
      <w:pPr>
        <w:pStyle w:val="BodyText"/>
        <w:numPr>
          <w:ilvl w:val="0"/>
          <w:numId w:val="14"/>
        </w:numPr>
        <w:rPr>
          <w:sz w:val="20"/>
          <w:szCs w:val="20"/>
        </w:rPr>
      </w:pPr>
      <w:r w:rsidRPr="00022D33">
        <w:rPr>
          <w:sz w:val="20"/>
          <w:szCs w:val="20"/>
        </w:rPr>
        <w:t>Motor vehicles transfers for finance leases to Department of Education for $272,000 and Department of Sport and Recreation for $18,000. A transfer from work in progress to office fit-out of $3,046,000. Computer equipment reclassification for $190,000. Building disposal of $7,054,000 refers to the accounting de-recognition of the Old Treasury Building Hotel.</w:t>
      </w:r>
    </w:p>
    <w:p w:rsidR="00617CB0" w:rsidRPr="00022D33" w:rsidRDefault="00617CB0" w:rsidP="00617CB0">
      <w:pPr>
        <w:pStyle w:val="Heading3"/>
      </w:pPr>
      <w:r w:rsidRPr="00022D33">
        <w:t>Note 26. Fair value measurement</w:t>
      </w:r>
    </w:p>
    <w:p w:rsidR="00617CB0" w:rsidRPr="00022D33" w:rsidRDefault="00196F4C" w:rsidP="00617CB0">
      <w:pPr>
        <w:pStyle w:val="Caption"/>
        <w:keepNext/>
        <w:spacing w:after="60"/>
        <w:rPr>
          <w:noProof/>
        </w:rPr>
      </w:pPr>
      <w:fldSimple w:instr=" SEQ Table \* ARABIC ">
        <w:r w:rsidR="00D8778B">
          <w:rPr>
            <w:noProof/>
          </w:rPr>
          <w:t>31</w:t>
        </w:r>
      </w:fldSimple>
      <w:r w:rsidR="00617CB0" w:rsidRPr="00022D33">
        <w:rPr>
          <w:noProof/>
        </w:rPr>
        <w:t xml:space="preserve"> Assets measured at fair value</w:t>
      </w:r>
    </w:p>
    <w:tbl>
      <w:tblPr>
        <w:tblW w:w="0" w:type="auto"/>
        <w:tblLook w:val="04A0" w:firstRow="1" w:lastRow="0" w:firstColumn="1" w:lastColumn="0" w:noHBand="0" w:noVBand="1"/>
      </w:tblPr>
      <w:tblGrid>
        <w:gridCol w:w="2009"/>
        <w:gridCol w:w="1701"/>
        <w:gridCol w:w="1701"/>
        <w:gridCol w:w="1701"/>
        <w:gridCol w:w="1849"/>
      </w:tblGrid>
      <w:tr w:rsidR="00617CB0" w:rsidRPr="00022D33" w:rsidTr="000D7011">
        <w:tc>
          <w:tcPr>
            <w:tcW w:w="2009" w:type="dxa"/>
            <w:shd w:val="clear" w:color="auto" w:fill="auto"/>
          </w:tcPr>
          <w:p w:rsidR="00617CB0" w:rsidRPr="00022D33" w:rsidRDefault="00617CB0" w:rsidP="000D7011">
            <w:pPr>
              <w:pStyle w:val="BodyText"/>
            </w:pPr>
          </w:p>
        </w:tc>
        <w:tc>
          <w:tcPr>
            <w:tcW w:w="1701" w:type="dxa"/>
            <w:shd w:val="clear" w:color="auto" w:fill="auto"/>
          </w:tcPr>
          <w:p w:rsidR="00617CB0" w:rsidRPr="00022D33" w:rsidRDefault="00617CB0" w:rsidP="000D7011">
            <w:pPr>
              <w:pStyle w:val="Tableboldedtext"/>
              <w:jc w:val="right"/>
            </w:pPr>
            <w:r w:rsidRPr="00022D33">
              <w:t>Level 1</w:t>
            </w:r>
          </w:p>
          <w:p w:rsidR="00617CB0" w:rsidRPr="00022D33" w:rsidRDefault="00617CB0" w:rsidP="000D7011">
            <w:pPr>
              <w:pStyle w:val="Tableboldedtext"/>
              <w:jc w:val="right"/>
            </w:pPr>
            <w:r w:rsidRPr="00022D33">
              <w:t>$000</w:t>
            </w:r>
          </w:p>
        </w:tc>
        <w:tc>
          <w:tcPr>
            <w:tcW w:w="1701" w:type="dxa"/>
            <w:shd w:val="clear" w:color="auto" w:fill="auto"/>
          </w:tcPr>
          <w:p w:rsidR="00617CB0" w:rsidRPr="00022D33" w:rsidRDefault="00617CB0" w:rsidP="000D7011">
            <w:pPr>
              <w:pStyle w:val="Tableboldedtext"/>
              <w:jc w:val="right"/>
            </w:pPr>
            <w:r w:rsidRPr="00022D33">
              <w:t>Level 2</w:t>
            </w:r>
          </w:p>
          <w:p w:rsidR="00617CB0" w:rsidRPr="00022D33" w:rsidRDefault="00617CB0" w:rsidP="000D7011">
            <w:pPr>
              <w:pStyle w:val="Tableboldedtext"/>
              <w:jc w:val="right"/>
            </w:pPr>
            <w:r w:rsidRPr="00022D33">
              <w:t>$000</w:t>
            </w:r>
          </w:p>
        </w:tc>
        <w:tc>
          <w:tcPr>
            <w:tcW w:w="1701" w:type="dxa"/>
            <w:shd w:val="clear" w:color="auto" w:fill="auto"/>
          </w:tcPr>
          <w:p w:rsidR="00617CB0" w:rsidRPr="00022D33" w:rsidRDefault="00617CB0" w:rsidP="000D7011">
            <w:pPr>
              <w:pStyle w:val="Tableboldedtext"/>
              <w:jc w:val="right"/>
            </w:pPr>
            <w:r w:rsidRPr="00022D33">
              <w:t>Level 3</w:t>
            </w:r>
          </w:p>
          <w:p w:rsidR="00617CB0" w:rsidRPr="00022D33" w:rsidRDefault="00617CB0" w:rsidP="000D7011">
            <w:pPr>
              <w:pStyle w:val="Tableboldedtext"/>
              <w:jc w:val="right"/>
            </w:pPr>
            <w:r w:rsidRPr="00022D33">
              <w:t>$000</w:t>
            </w:r>
          </w:p>
        </w:tc>
        <w:tc>
          <w:tcPr>
            <w:tcW w:w="1849" w:type="dxa"/>
            <w:shd w:val="clear" w:color="auto" w:fill="auto"/>
          </w:tcPr>
          <w:p w:rsidR="00617CB0" w:rsidRPr="00022D33" w:rsidRDefault="00617CB0" w:rsidP="000D7011">
            <w:pPr>
              <w:pStyle w:val="Tableboldedtext"/>
              <w:jc w:val="right"/>
            </w:pPr>
            <w:r w:rsidRPr="00022D33">
              <w:t>Fair value at end of period</w:t>
            </w:r>
          </w:p>
          <w:p w:rsidR="00617CB0" w:rsidRPr="00022D33" w:rsidRDefault="00617CB0" w:rsidP="000D7011">
            <w:pPr>
              <w:pStyle w:val="Tableboldedtext"/>
              <w:jc w:val="right"/>
            </w:pPr>
            <w:r w:rsidRPr="00022D33">
              <w:t>$000</w:t>
            </w:r>
          </w:p>
        </w:tc>
      </w:tr>
      <w:tr w:rsidR="00617CB0" w:rsidRPr="00022D33" w:rsidTr="000D7011">
        <w:tc>
          <w:tcPr>
            <w:tcW w:w="8961" w:type="dxa"/>
            <w:gridSpan w:val="5"/>
            <w:shd w:val="clear" w:color="auto" w:fill="auto"/>
          </w:tcPr>
          <w:p w:rsidR="00617CB0" w:rsidRPr="00022D33" w:rsidRDefault="00617CB0" w:rsidP="000D7011">
            <w:pPr>
              <w:pStyle w:val="Tabletext"/>
            </w:pPr>
            <w:r w:rsidRPr="00022D33">
              <w:rPr>
                <w:b/>
              </w:rPr>
              <w:t>2016</w:t>
            </w:r>
          </w:p>
        </w:tc>
      </w:tr>
      <w:tr w:rsidR="00617CB0" w:rsidRPr="00022D33" w:rsidTr="000D7011">
        <w:tc>
          <w:tcPr>
            <w:tcW w:w="2009" w:type="dxa"/>
            <w:shd w:val="clear" w:color="auto" w:fill="auto"/>
          </w:tcPr>
          <w:p w:rsidR="00617CB0" w:rsidRPr="00022D33" w:rsidRDefault="00617CB0" w:rsidP="000D7011">
            <w:pPr>
              <w:pStyle w:val="Tabletext"/>
            </w:pPr>
            <w:r w:rsidRPr="00022D33">
              <w:t xml:space="preserve">Land </w:t>
            </w:r>
            <w:r w:rsidRPr="00022D33">
              <w:rPr>
                <w:vertAlign w:val="superscript"/>
              </w:rPr>
              <w:t>(Note 25)</w:t>
            </w:r>
          </w:p>
        </w:tc>
        <w:tc>
          <w:tcPr>
            <w:tcW w:w="1701" w:type="dxa"/>
            <w:shd w:val="clear" w:color="auto" w:fill="auto"/>
          </w:tcPr>
          <w:p w:rsidR="00617CB0" w:rsidRPr="00022D33" w:rsidRDefault="00617CB0" w:rsidP="000D7011">
            <w:pPr>
              <w:pStyle w:val="Tabletext"/>
              <w:jc w:val="right"/>
            </w:pPr>
            <w:r w:rsidRPr="00022D33">
              <w:t>-</w:t>
            </w:r>
          </w:p>
        </w:tc>
        <w:tc>
          <w:tcPr>
            <w:tcW w:w="1701" w:type="dxa"/>
            <w:shd w:val="clear" w:color="auto" w:fill="auto"/>
          </w:tcPr>
          <w:p w:rsidR="00617CB0" w:rsidRPr="00022D33" w:rsidRDefault="00617CB0" w:rsidP="000D7011">
            <w:pPr>
              <w:pStyle w:val="Tabletext"/>
              <w:jc w:val="right"/>
            </w:pPr>
            <w:r w:rsidRPr="00022D33">
              <w:t>59,595</w:t>
            </w:r>
          </w:p>
        </w:tc>
        <w:tc>
          <w:tcPr>
            <w:tcW w:w="1701" w:type="dxa"/>
            <w:shd w:val="clear" w:color="auto" w:fill="auto"/>
          </w:tcPr>
          <w:p w:rsidR="00617CB0" w:rsidRPr="00022D33" w:rsidRDefault="00617CB0" w:rsidP="000D7011">
            <w:pPr>
              <w:pStyle w:val="Tabletext"/>
              <w:jc w:val="right"/>
            </w:pPr>
            <w:r w:rsidRPr="00022D33">
              <w:t>91,917</w:t>
            </w:r>
          </w:p>
        </w:tc>
        <w:tc>
          <w:tcPr>
            <w:tcW w:w="1849" w:type="dxa"/>
            <w:shd w:val="clear" w:color="auto" w:fill="auto"/>
          </w:tcPr>
          <w:p w:rsidR="00617CB0" w:rsidRPr="00022D33" w:rsidRDefault="00617CB0" w:rsidP="000D7011">
            <w:pPr>
              <w:pStyle w:val="Tabletext"/>
              <w:jc w:val="right"/>
            </w:pPr>
            <w:r w:rsidRPr="00022D33">
              <w:t>151,512</w:t>
            </w:r>
          </w:p>
        </w:tc>
      </w:tr>
      <w:tr w:rsidR="00617CB0" w:rsidRPr="00022D33" w:rsidTr="000D7011">
        <w:tc>
          <w:tcPr>
            <w:tcW w:w="2009" w:type="dxa"/>
            <w:shd w:val="clear" w:color="auto" w:fill="auto"/>
          </w:tcPr>
          <w:p w:rsidR="00617CB0" w:rsidRPr="00022D33" w:rsidRDefault="00617CB0" w:rsidP="000D7011">
            <w:pPr>
              <w:pStyle w:val="Tabletext"/>
            </w:pPr>
            <w:r w:rsidRPr="00022D33">
              <w:t xml:space="preserve">Buildings </w:t>
            </w:r>
            <w:r w:rsidRPr="00022D33">
              <w:rPr>
                <w:vertAlign w:val="superscript"/>
              </w:rPr>
              <w:t>(Note 25)</w:t>
            </w:r>
          </w:p>
        </w:tc>
        <w:tc>
          <w:tcPr>
            <w:tcW w:w="1701" w:type="dxa"/>
            <w:tcBorders>
              <w:bottom w:val="single" w:sz="4" w:space="0" w:color="auto"/>
            </w:tcBorders>
            <w:shd w:val="clear" w:color="auto" w:fill="auto"/>
          </w:tcPr>
          <w:p w:rsidR="00617CB0" w:rsidRPr="00022D33" w:rsidRDefault="00617CB0" w:rsidP="000D7011">
            <w:pPr>
              <w:pStyle w:val="Tabletext"/>
              <w:jc w:val="right"/>
            </w:pPr>
            <w:r w:rsidRPr="00022D33">
              <w:t>-</w:t>
            </w:r>
          </w:p>
        </w:tc>
        <w:tc>
          <w:tcPr>
            <w:tcW w:w="1701" w:type="dxa"/>
            <w:tcBorders>
              <w:bottom w:val="single" w:sz="4" w:space="0" w:color="auto"/>
            </w:tcBorders>
            <w:shd w:val="clear" w:color="auto" w:fill="auto"/>
          </w:tcPr>
          <w:p w:rsidR="00617CB0" w:rsidRPr="00022D33" w:rsidRDefault="00617CB0" w:rsidP="000D7011">
            <w:pPr>
              <w:pStyle w:val="Tabletext"/>
              <w:jc w:val="right"/>
            </w:pPr>
            <w:r w:rsidRPr="00022D33">
              <w:t>107,440</w:t>
            </w:r>
          </w:p>
        </w:tc>
        <w:tc>
          <w:tcPr>
            <w:tcW w:w="1701" w:type="dxa"/>
            <w:tcBorders>
              <w:bottom w:val="single" w:sz="4" w:space="0" w:color="auto"/>
            </w:tcBorders>
            <w:shd w:val="clear" w:color="auto" w:fill="auto"/>
          </w:tcPr>
          <w:p w:rsidR="00617CB0" w:rsidRPr="00022D33" w:rsidRDefault="00617CB0" w:rsidP="000D7011">
            <w:pPr>
              <w:pStyle w:val="Tabletext"/>
              <w:jc w:val="right"/>
            </w:pPr>
            <w:r w:rsidRPr="00022D33">
              <w:t>55,301</w:t>
            </w:r>
          </w:p>
        </w:tc>
        <w:tc>
          <w:tcPr>
            <w:tcW w:w="1849" w:type="dxa"/>
            <w:tcBorders>
              <w:bottom w:val="single" w:sz="4" w:space="0" w:color="auto"/>
            </w:tcBorders>
            <w:shd w:val="clear" w:color="auto" w:fill="auto"/>
          </w:tcPr>
          <w:p w:rsidR="00617CB0" w:rsidRPr="00022D33" w:rsidRDefault="00617CB0" w:rsidP="000D7011">
            <w:pPr>
              <w:pStyle w:val="Tabletext"/>
              <w:jc w:val="right"/>
            </w:pPr>
            <w:r w:rsidRPr="00022D33">
              <w:t>162,742</w:t>
            </w:r>
          </w:p>
        </w:tc>
      </w:tr>
      <w:tr w:rsidR="00617CB0" w:rsidRPr="00022D33" w:rsidTr="000D7011">
        <w:tc>
          <w:tcPr>
            <w:tcW w:w="2009" w:type="dxa"/>
            <w:shd w:val="clear" w:color="auto" w:fill="auto"/>
          </w:tcPr>
          <w:p w:rsidR="00617CB0" w:rsidRPr="00022D33" w:rsidRDefault="00617CB0" w:rsidP="000D7011">
            <w:pPr>
              <w:pStyle w:val="Tabletext"/>
            </w:pPr>
          </w:p>
        </w:tc>
        <w:tc>
          <w:tcPr>
            <w:tcW w:w="1701"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w:t>
            </w:r>
          </w:p>
        </w:tc>
        <w:tc>
          <w:tcPr>
            <w:tcW w:w="1701"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167,035</w:t>
            </w:r>
          </w:p>
        </w:tc>
        <w:tc>
          <w:tcPr>
            <w:tcW w:w="1701"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147,218</w:t>
            </w:r>
          </w:p>
        </w:tc>
        <w:tc>
          <w:tcPr>
            <w:tcW w:w="1849"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314,254</w:t>
            </w:r>
          </w:p>
        </w:tc>
      </w:tr>
      <w:tr w:rsidR="00617CB0" w:rsidRPr="00022D33" w:rsidTr="000D7011">
        <w:tc>
          <w:tcPr>
            <w:tcW w:w="8961" w:type="dxa"/>
            <w:gridSpan w:val="5"/>
            <w:shd w:val="clear" w:color="auto" w:fill="auto"/>
          </w:tcPr>
          <w:p w:rsidR="00617CB0" w:rsidRPr="00022D33" w:rsidRDefault="00617CB0" w:rsidP="000D7011">
            <w:pPr>
              <w:pStyle w:val="Tabletext"/>
            </w:pPr>
            <w:r w:rsidRPr="00022D33">
              <w:rPr>
                <w:b/>
              </w:rPr>
              <w:t>2015</w:t>
            </w:r>
          </w:p>
        </w:tc>
      </w:tr>
      <w:tr w:rsidR="00617CB0" w:rsidRPr="00022D33" w:rsidTr="000D7011">
        <w:tc>
          <w:tcPr>
            <w:tcW w:w="2009" w:type="dxa"/>
            <w:shd w:val="clear" w:color="auto" w:fill="auto"/>
          </w:tcPr>
          <w:p w:rsidR="00617CB0" w:rsidRPr="00022D33" w:rsidRDefault="00617CB0" w:rsidP="000D7011">
            <w:pPr>
              <w:pStyle w:val="Tabletext"/>
            </w:pPr>
            <w:r w:rsidRPr="00022D33">
              <w:t xml:space="preserve">Land </w:t>
            </w:r>
            <w:r w:rsidRPr="00022D33">
              <w:rPr>
                <w:vertAlign w:val="superscript"/>
              </w:rPr>
              <w:t>(Note 25)</w:t>
            </w:r>
          </w:p>
        </w:tc>
        <w:tc>
          <w:tcPr>
            <w:tcW w:w="1701" w:type="dxa"/>
            <w:shd w:val="clear" w:color="auto" w:fill="auto"/>
          </w:tcPr>
          <w:p w:rsidR="00617CB0" w:rsidRPr="00022D33" w:rsidRDefault="00617CB0" w:rsidP="000D7011">
            <w:pPr>
              <w:pStyle w:val="Tabletext"/>
              <w:jc w:val="right"/>
            </w:pPr>
            <w:r w:rsidRPr="00022D33">
              <w:t>-</w:t>
            </w:r>
          </w:p>
        </w:tc>
        <w:tc>
          <w:tcPr>
            <w:tcW w:w="1701" w:type="dxa"/>
            <w:shd w:val="clear" w:color="auto" w:fill="auto"/>
          </w:tcPr>
          <w:p w:rsidR="00617CB0" w:rsidRPr="00022D33" w:rsidRDefault="00617CB0" w:rsidP="000D7011">
            <w:pPr>
              <w:pStyle w:val="Tabletext"/>
              <w:jc w:val="right"/>
            </w:pPr>
            <w:r w:rsidRPr="00022D33">
              <w:t>62,840</w:t>
            </w:r>
          </w:p>
        </w:tc>
        <w:tc>
          <w:tcPr>
            <w:tcW w:w="1701" w:type="dxa"/>
            <w:shd w:val="clear" w:color="auto" w:fill="auto"/>
          </w:tcPr>
          <w:p w:rsidR="00617CB0" w:rsidRPr="00022D33" w:rsidRDefault="00617CB0" w:rsidP="000D7011">
            <w:pPr>
              <w:pStyle w:val="Tabletext"/>
              <w:jc w:val="right"/>
            </w:pPr>
            <w:r w:rsidRPr="00022D33">
              <w:t>111,825</w:t>
            </w:r>
          </w:p>
        </w:tc>
        <w:tc>
          <w:tcPr>
            <w:tcW w:w="1849" w:type="dxa"/>
            <w:shd w:val="clear" w:color="auto" w:fill="auto"/>
          </w:tcPr>
          <w:p w:rsidR="00617CB0" w:rsidRPr="00022D33" w:rsidRDefault="00617CB0" w:rsidP="000D7011">
            <w:pPr>
              <w:pStyle w:val="Tabletext"/>
              <w:jc w:val="right"/>
            </w:pPr>
            <w:r w:rsidRPr="00022D33">
              <w:t>174,665</w:t>
            </w:r>
          </w:p>
        </w:tc>
      </w:tr>
      <w:tr w:rsidR="00617CB0" w:rsidRPr="00022D33" w:rsidTr="000D7011">
        <w:tc>
          <w:tcPr>
            <w:tcW w:w="2009" w:type="dxa"/>
            <w:shd w:val="clear" w:color="auto" w:fill="auto"/>
          </w:tcPr>
          <w:p w:rsidR="00617CB0" w:rsidRPr="00022D33" w:rsidRDefault="00617CB0" w:rsidP="000D7011">
            <w:pPr>
              <w:pStyle w:val="Tabletext"/>
            </w:pPr>
            <w:r w:rsidRPr="00022D33">
              <w:t xml:space="preserve">Buildings </w:t>
            </w:r>
            <w:r w:rsidRPr="00022D33">
              <w:rPr>
                <w:vertAlign w:val="superscript"/>
              </w:rPr>
              <w:t>(Note 25)</w:t>
            </w:r>
          </w:p>
        </w:tc>
        <w:tc>
          <w:tcPr>
            <w:tcW w:w="1701" w:type="dxa"/>
            <w:tcBorders>
              <w:bottom w:val="single" w:sz="4" w:space="0" w:color="auto"/>
            </w:tcBorders>
            <w:shd w:val="clear" w:color="auto" w:fill="auto"/>
          </w:tcPr>
          <w:p w:rsidR="00617CB0" w:rsidRPr="00022D33" w:rsidRDefault="00617CB0" w:rsidP="000D7011">
            <w:pPr>
              <w:pStyle w:val="Tabletext"/>
              <w:jc w:val="right"/>
            </w:pPr>
            <w:r w:rsidRPr="00022D33">
              <w:t>-</w:t>
            </w:r>
          </w:p>
        </w:tc>
        <w:tc>
          <w:tcPr>
            <w:tcW w:w="1701" w:type="dxa"/>
            <w:tcBorders>
              <w:bottom w:val="single" w:sz="4" w:space="0" w:color="auto"/>
            </w:tcBorders>
            <w:shd w:val="clear" w:color="auto" w:fill="auto"/>
          </w:tcPr>
          <w:p w:rsidR="00617CB0" w:rsidRPr="00022D33" w:rsidRDefault="00617CB0" w:rsidP="000D7011">
            <w:pPr>
              <w:pStyle w:val="Tabletext"/>
              <w:jc w:val="right"/>
            </w:pPr>
            <w:r w:rsidRPr="00022D33">
              <w:t>161,710</w:t>
            </w:r>
          </w:p>
        </w:tc>
        <w:tc>
          <w:tcPr>
            <w:tcW w:w="1701" w:type="dxa"/>
            <w:tcBorders>
              <w:bottom w:val="single" w:sz="4" w:space="0" w:color="auto"/>
            </w:tcBorders>
            <w:shd w:val="clear" w:color="auto" w:fill="auto"/>
          </w:tcPr>
          <w:p w:rsidR="00617CB0" w:rsidRPr="00022D33" w:rsidRDefault="00617CB0" w:rsidP="000D7011">
            <w:pPr>
              <w:pStyle w:val="Tabletext"/>
              <w:jc w:val="right"/>
            </w:pPr>
            <w:r w:rsidRPr="00022D33">
              <w:t>81,087</w:t>
            </w:r>
          </w:p>
        </w:tc>
        <w:tc>
          <w:tcPr>
            <w:tcW w:w="1849" w:type="dxa"/>
            <w:tcBorders>
              <w:bottom w:val="single" w:sz="4" w:space="0" w:color="auto"/>
            </w:tcBorders>
            <w:shd w:val="clear" w:color="auto" w:fill="auto"/>
          </w:tcPr>
          <w:p w:rsidR="00617CB0" w:rsidRPr="00022D33" w:rsidRDefault="00617CB0" w:rsidP="000D7011">
            <w:pPr>
              <w:pStyle w:val="Tabletext"/>
              <w:jc w:val="right"/>
            </w:pPr>
            <w:r w:rsidRPr="00022D33">
              <w:t>242,798</w:t>
            </w:r>
          </w:p>
        </w:tc>
      </w:tr>
      <w:tr w:rsidR="00617CB0" w:rsidRPr="00022D33" w:rsidTr="000D7011">
        <w:tc>
          <w:tcPr>
            <w:tcW w:w="2009" w:type="dxa"/>
            <w:shd w:val="clear" w:color="auto" w:fill="auto"/>
          </w:tcPr>
          <w:p w:rsidR="00617CB0" w:rsidRPr="00022D33" w:rsidRDefault="00617CB0" w:rsidP="000D7011">
            <w:pPr>
              <w:pStyle w:val="Tabletext"/>
            </w:pPr>
          </w:p>
        </w:tc>
        <w:tc>
          <w:tcPr>
            <w:tcW w:w="1701"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w:t>
            </w:r>
          </w:p>
        </w:tc>
        <w:tc>
          <w:tcPr>
            <w:tcW w:w="1701"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224,550</w:t>
            </w:r>
          </w:p>
        </w:tc>
        <w:tc>
          <w:tcPr>
            <w:tcW w:w="1701"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192,912</w:t>
            </w:r>
          </w:p>
        </w:tc>
        <w:tc>
          <w:tcPr>
            <w:tcW w:w="1849"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417,463</w:t>
            </w:r>
          </w:p>
        </w:tc>
      </w:tr>
    </w:tbl>
    <w:p w:rsidR="00617CB0" w:rsidRPr="00022D33" w:rsidRDefault="00617CB0" w:rsidP="00617CB0">
      <w:pPr>
        <w:pStyle w:val="BodyText"/>
      </w:pPr>
      <w:r w:rsidRPr="00022D33">
        <w:t>There were no transfers between Levels 1, 2 or 3 during the current and previous period.</w:t>
      </w:r>
    </w:p>
    <w:p w:rsidR="00617CB0" w:rsidRPr="00022D33" w:rsidRDefault="00617CB0" w:rsidP="00617CB0">
      <w:pPr>
        <w:pStyle w:val="Heading4"/>
        <w:rPr>
          <w:spacing w:val="-2"/>
        </w:rPr>
      </w:pPr>
      <w:r w:rsidRPr="00022D33">
        <w:rPr>
          <w:spacing w:val="-2"/>
        </w:rPr>
        <w:t>Valuation techniques to derive Level 2 fair values</w:t>
      </w:r>
    </w:p>
    <w:p w:rsidR="00617CB0" w:rsidRPr="00022D33" w:rsidRDefault="00617CB0" w:rsidP="00617CB0">
      <w:pPr>
        <w:pStyle w:val="BodyText"/>
      </w:pPr>
      <w:r w:rsidRPr="00022D33">
        <w:t>Level 2 fair values land and buildings (office accommodation) are derived using the market approach. Market evidence of sales prices of comparable land and buildings (office accommodation) in close proximity is used to determine price per square metre.</w:t>
      </w:r>
    </w:p>
    <w:p w:rsidR="00617CB0" w:rsidRPr="00022D33" w:rsidRDefault="00617CB0" w:rsidP="00617CB0">
      <w:pPr>
        <w:pStyle w:val="BodyText"/>
      </w:pPr>
      <w:r w:rsidRPr="00022D33">
        <w:t>Non-current assets held for sale have been written down to fair value less costs to sell. Fair value has been determined by reference to market evidence of sales prices of comparable assets.</w:t>
      </w:r>
    </w:p>
    <w:p w:rsidR="00617CB0" w:rsidRDefault="00617CB0" w:rsidP="00617CB0">
      <w:pPr>
        <w:pStyle w:val="Heading4"/>
        <w:rPr>
          <w:spacing w:val="-3"/>
        </w:rPr>
        <w:sectPr w:rsidR="00617CB0" w:rsidSect="005F3639">
          <w:pgSz w:w="11906" w:h="16838" w:code="9"/>
          <w:pgMar w:top="1440" w:right="1440" w:bottom="1276" w:left="1440" w:header="0" w:footer="709" w:gutter="0"/>
          <w:cols w:space="708"/>
          <w:docGrid w:linePitch="360"/>
        </w:sectPr>
      </w:pPr>
    </w:p>
    <w:p w:rsidR="00617CB0" w:rsidRPr="00022D33" w:rsidRDefault="00617CB0" w:rsidP="00BE23F1">
      <w:pPr>
        <w:pStyle w:val="Heading4"/>
        <w:spacing w:before="0" w:line="240" w:lineRule="auto"/>
      </w:pPr>
      <w:r w:rsidRPr="00022D33">
        <w:rPr>
          <w:spacing w:val="-3"/>
        </w:rPr>
        <w:t>Fair value measurements using significant unobservable inputs (Level 3)</w:t>
      </w:r>
    </w:p>
    <w:p w:rsidR="00617CB0" w:rsidRPr="00022D33" w:rsidRDefault="00196F4C" w:rsidP="00617CB0">
      <w:pPr>
        <w:pStyle w:val="Caption"/>
        <w:keepNext/>
        <w:spacing w:after="60"/>
        <w:rPr>
          <w:noProof/>
        </w:rPr>
      </w:pPr>
      <w:fldSimple w:instr=" SEQ Table \* ARABIC ">
        <w:r w:rsidR="00D8778B">
          <w:rPr>
            <w:noProof/>
          </w:rPr>
          <w:t>32</w:t>
        </w:r>
      </w:fldSimple>
      <w:r w:rsidR="00617CB0" w:rsidRPr="00022D33">
        <w:rPr>
          <w:noProof/>
        </w:rPr>
        <w:t xml:space="preserve"> Fair value measurements using significant unobservable inputs (Level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Land</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Building</w:t>
            </w:r>
          </w:p>
          <w:p w:rsidR="00617CB0" w:rsidRPr="00022D33" w:rsidRDefault="00617CB0" w:rsidP="000D7011">
            <w:pPr>
              <w:pStyle w:val="Tableboldedtext"/>
              <w:jc w:val="right"/>
            </w:pPr>
            <w:r w:rsidRPr="00022D33">
              <w:t>$000</w:t>
            </w:r>
          </w:p>
        </w:tc>
      </w:tr>
      <w:tr w:rsidR="00617CB0" w:rsidRPr="00022D33" w:rsidTr="000D7011">
        <w:tc>
          <w:tcPr>
            <w:tcW w:w="8577" w:type="dxa"/>
            <w:gridSpan w:val="3"/>
            <w:tcBorders>
              <w:top w:val="nil"/>
              <w:left w:val="nil"/>
              <w:bottom w:val="nil"/>
              <w:right w:val="nil"/>
            </w:tcBorders>
            <w:shd w:val="clear" w:color="auto" w:fill="auto"/>
          </w:tcPr>
          <w:p w:rsidR="00617CB0" w:rsidRPr="00022D33" w:rsidRDefault="00617CB0" w:rsidP="000D7011">
            <w:pPr>
              <w:pStyle w:val="Tabletext"/>
              <w:rPr>
                <w:b/>
              </w:rPr>
            </w:pPr>
            <w:r w:rsidRPr="00022D33">
              <w:rPr>
                <w:b/>
              </w:rPr>
              <w:t>2016</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Fair value at start of period </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111,825</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81,087</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Additions</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Transfers </w:t>
            </w:r>
            <w:r w:rsidRPr="00022D33">
              <w:rPr>
                <w:vertAlign w:val="superscript"/>
              </w:rPr>
              <w:t>(a)</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(265)</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(29,302)</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Revaluation increments/(decrements) recognised in Profit or Loss</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(2,566)</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Revaluation increments/(decrements) recognised in Other Comprehensive income </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(17,077)</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4,153</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Depreciation expense</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(637)</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r w:rsidRPr="00022D33">
              <w:t>Fair value at end of period</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91,917</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55,301</w:t>
            </w:r>
          </w:p>
        </w:tc>
      </w:tr>
      <w:tr w:rsidR="00617CB0" w:rsidRPr="00022D33" w:rsidTr="000D7011">
        <w:tc>
          <w:tcPr>
            <w:tcW w:w="8577" w:type="dxa"/>
            <w:gridSpan w:val="3"/>
            <w:tcBorders>
              <w:top w:val="nil"/>
              <w:left w:val="nil"/>
              <w:bottom w:val="nil"/>
              <w:right w:val="nil"/>
            </w:tcBorders>
            <w:shd w:val="clear" w:color="auto" w:fill="auto"/>
          </w:tcPr>
          <w:p w:rsidR="00617CB0" w:rsidRPr="00022D33" w:rsidRDefault="00617CB0" w:rsidP="000D7011">
            <w:pPr>
              <w:pStyle w:val="Tabletext"/>
              <w:rPr>
                <w:b/>
              </w:rPr>
            </w:pPr>
            <w:r w:rsidRPr="00022D33">
              <w:rPr>
                <w:b/>
              </w:rPr>
              <w:t>2015</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Fair value at start of period </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111,575</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94,330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Additions</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480</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Transfers </w:t>
            </w:r>
            <w:r w:rsidRPr="00022D33">
              <w:rPr>
                <w:vertAlign w:val="superscript"/>
              </w:rPr>
              <w:t>(b)</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(7,054)</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Revaluation increments recognised in Other Comprehensive Income</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(230)</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(5,125)</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Depreciation expense</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(1,064)</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r w:rsidRPr="00022D33">
              <w:t>Fair value at end of period</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111,825</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81,087</w:t>
            </w:r>
          </w:p>
        </w:tc>
      </w:tr>
    </w:tbl>
    <w:p w:rsidR="00617CB0" w:rsidRPr="00022D33" w:rsidRDefault="00617CB0" w:rsidP="00617CB0">
      <w:pPr>
        <w:pStyle w:val="BodyText"/>
        <w:numPr>
          <w:ilvl w:val="0"/>
          <w:numId w:val="15"/>
        </w:numPr>
        <w:rPr>
          <w:sz w:val="20"/>
          <w:szCs w:val="20"/>
        </w:rPr>
      </w:pPr>
      <w:r w:rsidRPr="00022D33">
        <w:rPr>
          <w:sz w:val="20"/>
          <w:szCs w:val="20"/>
        </w:rPr>
        <w:t>Fremantle Prison Land and Building were transferred to State Heritage Office for $265,000 and $29,301,600 respectively.</w:t>
      </w:r>
    </w:p>
    <w:p w:rsidR="00617CB0" w:rsidRPr="00022D33" w:rsidRDefault="00617CB0" w:rsidP="00617CB0">
      <w:pPr>
        <w:pStyle w:val="BodyText"/>
        <w:numPr>
          <w:ilvl w:val="0"/>
          <w:numId w:val="15"/>
        </w:numPr>
        <w:rPr>
          <w:sz w:val="20"/>
          <w:szCs w:val="20"/>
        </w:rPr>
      </w:pPr>
      <w:r w:rsidRPr="00022D33">
        <w:rPr>
          <w:sz w:val="20"/>
          <w:szCs w:val="20"/>
        </w:rPr>
        <w:t>Building disposal of $7,054,000 refers to the recognition of capital grant in relation to the Old Treasury Building Hotel.</w:t>
      </w:r>
    </w:p>
    <w:p w:rsidR="00617CB0" w:rsidRPr="00022D33" w:rsidRDefault="00617CB0" w:rsidP="00BE23F1">
      <w:pPr>
        <w:pStyle w:val="Heading4"/>
        <w:spacing w:line="240" w:lineRule="auto"/>
      </w:pPr>
      <w:r w:rsidRPr="00022D33">
        <w:t xml:space="preserve">Valuation </w:t>
      </w:r>
      <w:r w:rsidRPr="00022D33">
        <w:rPr>
          <w:spacing w:val="-1"/>
        </w:rPr>
        <w:t>processes</w:t>
      </w:r>
    </w:p>
    <w:p w:rsidR="00617CB0" w:rsidRPr="00022D33" w:rsidRDefault="00617CB0" w:rsidP="00617CB0">
      <w:pPr>
        <w:pStyle w:val="BodyText"/>
      </w:pPr>
      <w:r w:rsidRPr="00022D33">
        <w:t>There were no changes in valuation techniques during the period.</w:t>
      </w:r>
    </w:p>
    <w:p w:rsidR="00617CB0" w:rsidRPr="00022D33" w:rsidRDefault="00617CB0" w:rsidP="00617CB0">
      <w:pPr>
        <w:pStyle w:val="BodyText"/>
      </w:pPr>
      <w:r w:rsidRPr="00022D33">
        <w:t>Transfers in and out of a fair value level are recognised on the date of the event or change in circumstances that caused the transfer. Transfers are generally limited to assets newly classified as non-current assets held for sale as Treasurer's instructions require valuations of land and buildings to be categorised within Level 3 where the valuations will utilise significant Level 3 inputs on a recurring basis.</w:t>
      </w:r>
    </w:p>
    <w:p w:rsidR="00617CB0" w:rsidRPr="00022D33" w:rsidRDefault="00617CB0" w:rsidP="00617CB0">
      <w:pPr>
        <w:pStyle w:val="BodyText"/>
        <w:rPr>
          <w:i/>
        </w:rPr>
      </w:pPr>
      <w:r w:rsidRPr="00022D33">
        <w:rPr>
          <w:i/>
        </w:rPr>
        <w:t>Land (Level 3 fair values)</w:t>
      </w:r>
    </w:p>
    <w:p w:rsidR="00617CB0" w:rsidRPr="00022D33" w:rsidRDefault="00617CB0" w:rsidP="00BE23F1">
      <w:pPr>
        <w:pStyle w:val="BodyText"/>
        <w:keepLines/>
      </w:pPr>
      <w:r w:rsidRPr="00022D33">
        <w:t>Fair value for restricted use land is based on market value, by either using market evidence of sales of comparable land that is unrestricted less restoration costs to return the site to a vacant and marketable condition (low restricted use land), or, comparison with market evidence for land with low level utility (high restricted use land). The relevant comparators of land with low level utility is selected by the Western Australian Land Information Authority (Valuation Services) and represents the application of a significant Level 3 input in this valuation methodology. The fair value measurement is sensitive to values of comparator land, with higher values of comparator land correlating with higher estimated fair values of land.</w:t>
      </w:r>
    </w:p>
    <w:p w:rsidR="00617CB0" w:rsidRPr="00022D33" w:rsidRDefault="00617CB0" w:rsidP="00617CB0">
      <w:pPr>
        <w:pStyle w:val="BodyText"/>
        <w:rPr>
          <w:i/>
        </w:rPr>
      </w:pPr>
      <w:r w:rsidRPr="00022D33">
        <w:rPr>
          <w:i/>
        </w:rPr>
        <w:t>Buildings (Level 3 fair values)</w:t>
      </w:r>
    </w:p>
    <w:p w:rsidR="00617CB0" w:rsidRPr="00022D33" w:rsidRDefault="00617CB0" w:rsidP="00617CB0">
      <w:pPr>
        <w:pStyle w:val="BodyText"/>
      </w:pPr>
      <w:r w:rsidRPr="00022D33">
        <w:t xml:space="preserve">Fair value for existing use specialised buildings is determined by reference to the cost of replacing the remaining future economic benefits embodied in the asset, i.e. the depreciated replacement cost. Depreciated replacement cost is the current replacement cost of an asset less accumulated depreciation calculated on the basis of such cost to reflect the already consumed or expired economic benefit, or obsolescence, and optimisation (where applicable) of the asset. Current replacement cost is generally determined by reference to the market observable replacement cost of a substitute asset of comparable utility and the gross project size specifications. </w:t>
      </w:r>
    </w:p>
    <w:p w:rsidR="00617CB0" w:rsidRPr="00022D33" w:rsidRDefault="00617CB0" w:rsidP="00617CB0">
      <w:pPr>
        <w:pStyle w:val="BodyText"/>
      </w:pPr>
      <w:r w:rsidRPr="00022D33">
        <w:t>Valuation using depreciation replacement cost utilises the significant Level 3 input, consumed economic benefit/obsolescence of asset which is estimated by the Western Australian Land Information Authority (Valuation Services). The fair value measurement is sensitive to the estimate of consumption/obsolescence, with higher values of the estimate correlating with lower estimated fair values of buildings and infrastructure.</w:t>
      </w:r>
    </w:p>
    <w:p w:rsidR="00617CB0" w:rsidRPr="00022D33" w:rsidRDefault="00617CB0" w:rsidP="00617CB0">
      <w:pPr>
        <w:pStyle w:val="Heading4"/>
      </w:pPr>
      <w:r w:rsidRPr="00022D33">
        <w:t>Information about significant unobservable inputs (Level 3) in fair value measurements</w:t>
      </w:r>
    </w:p>
    <w:p w:rsidR="00617CB0" w:rsidRPr="00022D33" w:rsidRDefault="00196F4C" w:rsidP="00617CB0">
      <w:pPr>
        <w:pStyle w:val="Caption"/>
        <w:keepNext/>
        <w:spacing w:after="60"/>
        <w:rPr>
          <w:noProof/>
        </w:rPr>
      </w:pPr>
      <w:fldSimple w:instr=" SEQ Table \* ARABIC ">
        <w:r w:rsidR="00D8778B">
          <w:rPr>
            <w:noProof/>
          </w:rPr>
          <w:t>33</w:t>
        </w:r>
      </w:fldSimple>
      <w:r w:rsidR="00617CB0" w:rsidRPr="00022D33">
        <w:rPr>
          <w:noProof/>
        </w:rPr>
        <w:t xml:space="preserve"> Information about significant unobservable inputs (Level 3) in fair value measurements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2"/>
        <w:gridCol w:w="1768"/>
        <w:gridCol w:w="1778"/>
        <w:gridCol w:w="1808"/>
        <w:gridCol w:w="2096"/>
      </w:tblGrid>
      <w:tr w:rsidR="00617CB0" w:rsidRPr="00022D33" w:rsidTr="000D7011">
        <w:tc>
          <w:tcPr>
            <w:tcW w:w="1848" w:type="dxa"/>
          </w:tcPr>
          <w:p w:rsidR="00617CB0" w:rsidRPr="00022D33" w:rsidRDefault="00617CB0" w:rsidP="000D7011">
            <w:pPr>
              <w:pStyle w:val="BodyText"/>
              <w:spacing w:before="0"/>
              <w:rPr>
                <w:sz w:val="20"/>
                <w:szCs w:val="20"/>
              </w:rPr>
            </w:pPr>
            <w:r w:rsidRPr="00022D33">
              <w:rPr>
                <w:sz w:val="20"/>
                <w:szCs w:val="20"/>
              </w:rPr>
              <w:t>Description</w:t>
            </w:r>
          </w:p>
        </w:tc>
        <w:tc>
          <w:tcPr>
            <w:tcW w:w="1848" w:type="dxa"/>
          </w:tcPr>
          <w:p w:rsidR="00617CB0" w:rsidRPr="00022D33" w:rsidRDefault="00617CB0" w:rsidP="000D7011">
            <w:pPr>
              <w:pStyle w:val="BodyText"/>
              <w:spacing w:before="0"/>
              <w:jc w:val="right"/>
              <w:rPr>
                <w:sz w:val="20"/>
                <w:szCs w:val="20"/>
              </w:rPr>
            </w:pPr>
            <w:r w:rsidRPr="00022D33">
              <w:rPr>
                <w:sz w:val="20"/>
                <w:szCs w:val="20"/>
              </w:rPr>
              <w:t>Fair value 2016</w:t>
            </w:r>
          </w:p>
          <w:p w:rsidR="00617CB0" w:rsidRPr="00022D33" w:rsidRDefault="00617CB0" w:rsidP="000D7011">
            <w:pPr>
              <w:pStyle w:val="BodyText"/>
              <w:spacing w:before="0"/>
              <w:jc w:val="right"/>
              <w:rPr>
                <w:sz w:val="20"/>
                <w:szCs w:val="20"/>
              </w:rPr>
            </w:pPr>
            <w:r w:rsidRPr="00022D33">
              <w:rPr>
                <w:sz w:val="20"/>
                <w:szCs w:val="20"/>
              </w:rPr>
              <w:t>$000</w:t>
            </w:r>
          </w:p>
        </w:tc>
        <w:tc>
          <w:tcPr>
            <w:tcW w:w="1848" w:type="dxa"/>
          </w:tcPr>
          <w:p w:rsidR="00617CB0" w:rsidRPr="00022D33" w:rsidRDefault="00617CB0" w:rsidP="000D7011">
            <w:pPr>
              <w:pStyle w:val="BodyText"/>
              <w:spacing w:before="0"/>
              <w:jc w:val="right"/>
              <w:rPr>
                <w:sz w:val="20"/>
                <w:szCs w:val="20"/>
              </w:rPr>
            </w:pPr>
            <w:r w:rsidRPr="00022D33">
              <w:rPr>
                <w:sz w:val="20"/>
                <w:szCs w:val="20"/>
              </w:rPr>
              <w:t>Fair value 2015</w:t>
            </w:r>
          </w:p>
          <w:p w:rsidR="00617CB0" w:rsidRPr="00022D33" w:rsidRDefault="00617CB0" w:rsidP="000D7011">
            <w:pPr>
              <w:pStyle w:val="BodyText"/>
              <w:spacing w:before="0"/>
              <w:jc w:val="right"/>
              <w:rPr>
                <w:sz w:val="20"/>
                <w:szCs w:val="20"/>
              </w:rPr>
            </w:pPr>
            <w:r w:rsidRPr="00022D33">
              <w:rPr>
                <w:sz w:val="20"/>
                <w:szCs w:val="20"/>
              </w:rPr>
              <w:t>$000</w:t>
            </w:r>
          </w:p>
        </w:tc>
        <w:tc>
          <w:tcPr>
            <w:tcW w:w="1849" w:type="dxa"/>
          </w:tcPr>
          <w:p w:rsidR="00617CB0" w:rsidRPr="00022D33" w:rsidRDefault="00617CB0" w:rsidP="000D7011">
            <w:pPr>
              <w:pStyle w:val="BodyText"/>
              <w:spacing w:before="0"/>
              <w:jc w:val="right"/>
              <w:rPr>
                <w:sz w:val="20"/>
                <w:szCs w:val="20"/>
              </w:rPr>
            </w:pPr>
            <w:r w:rsidRPr="00022D33">
              <w:rPr>
                <w:sz w:val="20"/>
                <w:szCs w:val="20"/>
              </w:rPr>
              <w:t>Valuation</w:t>
            </w:r>
          </w:p>
          <w:p w:rsidR="00617CB0" w:rsidRPr="00022D33" w:rsidRDefault="00617CB0" w:rsidP="000D7011">
            <w:pPr>
              <w:pStyle w:val="BodyText"/>
              <w:spacing w:before="0"/>
              <w:jc w:val="right"/>
              <w:rPr>
                <w:sz w:val="20"/>
                <w:szCs w:val="20"/>
              </w:rPr>
            </w:pPr>
            <w:r w:rsidRPr="00022D33">
              <w:rPr>
                <w:sz w:val="20"/>
                <w:szCs w:val="20"/>
              </w:rPr>
              <w:t>technique(s)</w:t>
            </w:r>
          </w:p>
        </w:tc>
        <w:tc>
          <w:tcPr>
            <w:tcW w:w="1849" w:type="dxa"/>
          </w:tcPr>
          <w:p w:rsidR="00617CB0" w:rsidRPr="00022D33" w:rsidRDefault="00617CB0" w:rsidP="000D7011">
            <w:pPr>
              <w:pStyle w:val="BodyText"/>
              <w:spacing w:before="0"/>
              <w:jc w:val="right"/>
              <w:rPr>
                <w:sz w:val="20"/>
                <w:szCs w:val="20"/>
              </w:rPr>
            </w:pPr>
            <w:r w:rsidRPr="00022D33">
              <w:rPr>
                <w:sz w:val="20"/>
                <w:szCs w:val="20"/>
              </w:rPr>
              <w:t>Unobservable</w:t>
            </w:r>
          </w:p>
          <w:p w:rsidR="00617CB0" w:rsidRPr="00022D33" w:rsidRDefault="00617CB0" w:rsidP="000D7011">
            <w:pPr>
              <w:pStyle w:val="BodyText"/>
              <w:spacing w:before="0"/>
              <w:jc w:val="right"/>
              <w:rPr>
                <w:sz w:val="20"/>
                <w:szCs w:val="20"/>
              </w:rPr>
            </w:pPr>
            <w:r w:rsidRPr="00022D33">
              <w:rPr>
                <w:sz w:val="20"/>
                <w:szCs w:val="20"/>
              </w:rPr>
              <w:t>Inputs</w:t>
            </w:r>
          </w:p>
        </w:tc>
      </w:tr>
      <w:tr w:rsidR="00617CB0" w:rsidRPr="00022D33" w:rsidTr="000D7011">
        <w:tc>
          <w:tcPr>
            <w:tcW w:w="1848" w:type="dxa"/>
          </w:tcPr>
          <w:p w:rsidR="00617CB0" w:rsidRPr="00022D33" w:rsidRDefault="00617CB0" w:rsidP="000D7011">
            <w:pPr>
              <w:pStyle w:val="BodyText"/>
              <w:spacing w:before="0"/>
              <w:rPr>
                <w:sz w:val="20"/>
                <w:szCs w:val="20"/>
              </w:rPr>
            </w:pPr>
            <w:r w:rsidRPr="00022D33">
              <w:rPr>
                <w:sz w:val="20"/>
                <w:szCs w:val="20"/>
              </w:rPr>
              <w:t>Land</w:t>
            </w:r>
          </w:p>
        </w:tc>
        <w:tc>
          <w:tcPr>
            <w:tcW w:w="1848" w:type="dxa"/>
          </w:tcPr>
          <w:p w:rsidR="00617CB0" w:rsidRPr="00022D33" w:rsidRDefault="00617CB0" w:rsidP="000D7011">
            <w:pPr>
              <w:pStyle w:val="BodyText"/>
              <w:spacing w:before="0"/>
              <w:jc w:val="right"/>
              <w:rPr>
                <w:sz w:val="20"/>
                <w:szCs w:val="20"/>
              </w:rPr>
            </w:pPr>
            <w:r w:rsidRPr="00022D33">
              <w:rPr>
                <w:sz w:val="20"/>
                <w:szCs w:val="20"/>
              </w:rPr>
              <w:t>(91,917)</w:t>
            </w:r>
          </w:p>
        </w:tc>
        <w:tc>
          <w:tcPr>
            <w:tcW w:w="1848" w:type="dxa"/>
          </w:tcPr>
          <w:p w:rsidR="00617CB0" w:rsidRPr="00022D33" w:rsidRDefault="00617CB0" w:rsidP="000D7011">
            <w:pPr>
              <w:pStyle w:val="BodyText"/>
              <w:spacing w:before="0"/>
              <w:jc w:val="right"/>
              <w:rPr>
                <w:sz w:val="20"/>
                <w:szCs w:val="20"/>
              </w:rPr>
            </w:pPr>
            <w:r w:rsidRPr="00022D33">
              <w:rPr>
                <w:sz w:val="20"/>
                <w:szCs w:val="20"/>
              </w:rPr>
              <w:t>(111,825)</w:t>
            </w:r>
          </w:p>
        </w:tc>
        <w:tc>
          <w:tcPr>
            <w:tcW w:w="1849" w:type="dxa"/>
          </w:tcPr>
          <w:p w:rsidR="00617CB0" w:rsidRPr="00022D33" w:rsidRDefault="00617CB0" w:rsidP="000D7011">
            <w:pPr>
              <w:pStyle w:val="BodyText"/>
              <w:spacing w:before="0"/>
              <w:jc w:val="right"/>
              <w:rPr>
                <w:sz w:val="20"/>
                <w:szCs w:val="20"/>
              </w:rPr>
            </w:pPr>
            <w:r w:rsidRPr="00022D33">
              <w:rPr>
                <w:sz w:val="20"/>
                <w:szCs w:val="20"/>
              </w:rPr>
              <w:t>Market</w:t>
            </w:r>
          </w:p>
          <w:p w:rsidR="00617CB0" w:rsidRPr="00022D33" w:rsidRDefault="00617CB0" w:rsidP="000D7011">
            <w:pPr>
              <w:pStyle w:val="BodyText"/>
              <w:spacing w:before="0"/>
              <w:jc w:val="right"/>
              <w:rPr>
                <w:sz w:val="20"/>
                <w:szCs w:val="20"/>
              </w:rPr>
            </w:pPr>
            <w:r w:rsidRPr="00022D33">
              <w:rPr>
                <w:sz w:val="20"/>
                <w:szCs w:val="20"/>
              </w:rPr>
              <w:t>approach</w:t>
            </w:r>
          </w:p>
        </w:tc>
        <w:tc>
          <w:tcPr>
            <w:tcW w:w="1849" w:type="dxa"/>
          </w:tcPr>
          <w:p w:rsidR="00617CB0" w:rsidRPr="00022D33" w:rsidRDefault="00617CB0" w:rsidP="000D7011">
            <w:pPr>
              <w:pStyle w:val="BodyText"/>
              <w:spacing w:before="0"/>
              <w:jc w:val="right"/>
              <w:rPr>
                <w:sz w:val="20"/>
                <w:szCs w:val="20"/>
              </w:rPr>
            </w:pPr>
            <w:r w:rsidRPr="00022D33">
              <w:rPr>
                <w:sz w:val="20"/>
                <w:szCs w:val="20"/>
              </w:rPr>
              <w:t>Selection of land with similar approximate utility</w:t>
            </w:r>
          </w:p>
        </w:tc>
      </w:tr>
      <w:tr w:rsidR="00617CB0" w:rsidRPr="00022D33" w:rsidTr="000D7011">
        <w:tc>
          <w:tcPr>
            <w:tcW w:w="1848" w:type="dxa"/>
          </w:tcPr>
          <w:p w:rsidR="00617CB0" w:rsidRPr="00022D33" w:rsidRDefault="00617CB0" w:rsidP="000D7011">
            <w:pPr>
              <w:pStyle w:val="BodyText"/>
              <w:spacing w:before="0"/>
              <w:rPr>
                <w:sz w:val="20"/>
                <w:szCs w:val="20"/>
              </w:rPr>
            </w:pPr>
            <w:r w:rsidRPr="00022D33">
              <w:rPr>
                <w:sz w:val="20"/>
                <w:szCs w:val="20"/>
              </w:rPr>
              <w:t>Buildings</w:t>
            </w:r>
          </w:p>
        </w:tc>
        <w:tc>
          <w:tcPr>
            <w:tcW w:w="1848" w:type="dxa"/>
          </w:tcPr>
          <w:p w:rsidR="00617CB0" w:rsidRPr="00022D33" w:rsidRDefault="00617CB0" w:rsidP="000D7011">
            <w:pPr>
              <w:pStyle w:val="BodyText"/>
              <w:spacing w:before="0"/>
              <w:jc w:val="right"/>
              <w:rPr>
                <w:sz w:val="20"/>
                <w:szCs w:val="20"/>
              </w:rPr>
            </w:pPr>
            <w:r w:rsidRPr="00022D33">
              <w:rPr>
                <w:sz w:val="20"/>
                <w:szCs w:val="20"/>
              </w:rPr>
              <w:t>(55,301)</w:t>
            </w:r>
          </w:p>
        </w:tc>
        <w:tc>
          <w:tcPr>
            <w:tcW w:w="1848" w:type="dxa"/>
          </w:tcPr>
          <w:p w:rsidR="00617CB0" w:rsidRPr="00022D33" w:rsidRDefault="00617CB0" w:rsidP="000D7011">
            <w:pPr>
              <w:pStyle w:val="BodyText"/>
              <w:spacing w:before="0"/>
              <w:jc w:val="right"/>
              <w:rPr>
                <w:sz w:val="20"/>
                <w:szCs w:val="20"/>
              </w:rPr>
            </w:pPr>
            <w:r w:rsidRPr="00022D33">
              <w:rPr>
                <w:sz w:val="20"/>
                <w:szCs w:val="20"/>
              </w:rPr>
              <w:t>(81,087)</w:t>
            </w:r>
          </w:p>
        </w:tc>
        <w:tc>
          <w:tcPr>
            <w:tcW w:w="1849" w:type="dxa"/>
          </w:tcPr>
          <w:p w:rsidR="00617CB0" w:rsidRPr="00022D33" w:rsidRDefault="00617CB0" w:rsidP="000D7011">
            <w:pPr>
              <w:pStyle w:val="BodyText"/>
              <w:spacing w:before="0"/>
              <w:jc w:val="right"/>
              <w:rPr>
                <w:sz w:val="20"/>
                <w:szCs w:val="20"/>
              </w:rPr>
            </w:pPr>
            <w:r w:rsidRPr="00022D33">
              <w:rPr>
                <w:sz w:val="20"/>
                <w:szCs w:val="20"/>
              </w:rPr>
              <w:t>Depreciated</w:t>
            </w:r>
          </w:p>
          <w:p w:rsidR="00617CB0" w:rsidRPr="00022D33" w:rsidRDefault="00617CB0" w:rsidP="000D7011">
            <w:pPr>
              <w:pStyle w:val="BodyText"/>
              <w:spacing w:before="0"/>
              <w:jc w:val="right"/>
              <w:rPr>
                <w:sz w:val="20"/>
                <w:szCs w:val="20"/>
              </w:rPr>
            </w:pPr>
            <w:r w:rsidRPr="00022D33">
              <w:rPr>
                <w:sz w:val="20"/>
                <w:szCs w:val="20"/>
              </w:rPr>
              <w:t>Replacement</w:t>
            </w:r>
          </w:p>
          <w:p w:rsidR="00617CB0" w:rsidRPr="00022D33" w:rsidRDefault="00617CB0" w:rsidP="000D7011">
            <w:pPr>
              <w:pStyle w:val="BodyText"/>
              <w:spacing w:before="0"/>
              <w:jc w:val="right"/>
              <w:rPr>
                <w:sz w:val="20"/>
                <w:szCs w:val="20"/>
              </w:rPr>
            </w:pPr>
            <w:r w:rsidRPr="00022D33">
              <w:rPr>
                <w:sz w:val="20"/>
                <w:szCs w:val="20"/>
              </w:rPr>
              <w:t>cost</w:t>
            </w:r>
          </w:p>
        </w:tc>
        <w:tc>
          <w:tcPr>
            <w:tcW w:w="1849" w:type="dxa"/>
          </w:tcPr>
          <w:p w:rsidR="00617CB0" w:rsidRPr="00022D33" w:rsidRDefault="00617CB0" w:rsidP="000D7011">
            <w:pPr>
              <w:pStyle w:val="BodyText"/>
              <w:spacing w:before="0"/>
              <w:jc w:val="right"/>
              <w:rPr>
                <w:sz w:val="20"/>
                <w:szCs w:val="20"/>
              </w:rPr>
            </w:pPr>
            <w:r w:rsidRPr="00022D33">
              <w:rPr>
                <w:sz w:val="20"/>
                <w:szCs w:val="20"/>
              </w:rPr>
              <w:t>Consumed economic</w:t>
            </w:r>
          </w:p>
          <w:p w:rsidR="00617CB0" w:rsidRPr="00022D33" w:rsidRDefault="00617CB0" w:rsidP="000D7011">
            <w:pPr>
              <w:pStyle w:val="BodyText"/>
              <w:spacing w:before="0"/>
              <w:jc w:val="right"/>
              <w:rPr>
                <w:sz w:val="20"/>
                <w:szCs w:val="20"/>
              </w:rPr>
            </w:pPr>
            <w:r w:rsidRPr="00022D33">
              <w:rPr>
                <w:sz w:val="20"/>
                <w:szCs w:val="20"/>
              </w:rPr>
              <w:t xml:space="preserve">benefit/obsolescence </w:t>
            </w:r>
          </w:p>
          <w:p w:rsidR="00617CB0" w:rsidRPr="00022D33" w:rsidRDefault="00617CB0" w:rsidP="000D7011">
            <w:pPr>
              <w:pStyle w:val="BodyText"/>
              <w:spacing w:before="0"/>
              <w:jc w:val="right"/>
              <w:rPr>
                <w:sz w:val="20"/>
                <w:szCs w:val="20"/>
              </w:rPr>
            </w:pPr>
            <w:r w:rsidRPr="00022D33">
              <w:rPr>
                <w:sz w:val="20"/>
                <w:szCs w:val="20"/>
              </w:rPr>
              <w:t>of asset</w:t>
            </w:r>
          </w:p>
        </w:tc>
      </w:tr>
    </w:tbl>
    <w:p w:rsidR="00617CB0" w:rsidRPr="00022D33" w:rsidRDefault="00617CB0" w:rsidP="00617CB0">
      <w:pPr>
        <w:pStyle w:val="BodyText"/>
      </w:pPr>
      <w:r w:rsidRPr="00022D33">
        <w:t>Reconciliations of the opening and closing balances are provided in Note 25.</w:t>
      </w:r>
    </w:p>
    <w:p w:rsidR="00617CB0" w:rsidRPr="00022D33" w:rsidRDefault="00617CB0" w:rsidP="00617CB0">
      <w:pPr>
        <w:pStyle w:val="Heading4"/>
      </w:pPr>
      <w:r w:rsidRPr="00022D33">
        <w:t>Basis of Valuation</w:t>
      </w:r>
    </w:p>
    <w:p w:rsidR="00617CB0" w:rsidRPr="00022D33" w:rsidRDefault="00617CB0" w:rsidP="00617CB0">
      <w:pPr>
        <w:pStyle w:val="BodyText"/>
      </w:pPr>
      <w:r w:rsidRPr="00022D33">
        <w:t>In the absence of market-based evidence, due to the specialised nature of some non-financial assets, these assets are valued at Level 3 of the fair value hierarchy on an existing use basis. The existing use basis recognises that restrictions or limitations have been placed on their use and disposal when they are not determined to be surplus to requirements. These restrictions are imposed by virtue of the assets being held to deliver a specific community service.</w:t>
      </w:r>
    </w:p>
    <w:p w:rsidR="00617CB0" w:rsidRDefault="00617CB0" w:rsidP="00617CB0">
      <w:pPr>
        <w:pStyle w:val="Heading3"/>
        <w:sectPr w:rsidR="00617CB0" w:rsidSect="005F3639">
          <w:pgSz w:w="11906" w:h="16838" w:code="9"/>
          <w:pgMar w:top="1440" w:right="1440" w:bottom="1276" w:left="1440" w:header="0" w:footer="709" w:gutter="0"/>
          <w:cols w:space="708"/>
          <w:docGrid w:linePitch="360"/>
        </w:sectPr>
      </w:pPr>
    </w:p>
    <w:p w:rsidR="00617CB0" w:rsidRPr="00022D33" w:rsidRDefault="00617CB0" w:rsidP="00617CB0">
      <w:pPr>
        <w:pStyle w:val="Heading3"/>
      </w:pPr>
      <w:r w:rsidRPr="00022D33">
        <w:t>Note 27. Intangible assets</w:t>
      </w:r>
    </w:p>
    <w:p w:rsidR="00617CB0" w:rsidRPr="00022D33" w:rsidRDefault="00196F4C" w:rsidP="00617CB0">
      <w:pPr>
        <w:pStyle w:val="Caption"/>
        <w:keepNext/>
        <w:spacing w:after="60"/>
        <w:rPr>
          <w:noProof/>
        </w:rPr>
      </w:pPr>
      <w:fldSimple w:instr=" SEQ Table \* ARABIC ">
        <w:r w:rsidR="00D8778B">
          <w:rPr>
            <w:noProof/>
          </w:rPr>
          <w:t>34</w:t>
        </w:r>
      </w:fldSimple>
      <w:r w:rsidR="00617CB0" w:rsidRPr="00022D33">
        <w:rPr>
          <w:noProof/>
        </w:rPr>
        <w:t xml:space="preserve"> Intangible assets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Licence</w:t>
            </w:r>
          </w:p>
        </w:tc>
        <w:tc>
          <w:tcPr>
            <w:tcW w:w="1474" w:type="dxa"/>
            <w:tcBorders>
              <w:top w:val="nil"/>
              <w:left w:val="nil"/>
              <w:bottom w:val="nil"/>
              <w:right w:val="nil"/>
            </w:tcBorders>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At cost</w:t>
            </w:r>
          </w:p>
        </w:tc>
        <w:tc>
          <w:tcPr>
            <w:tcW w:w="1474" w:type="dxa"/>
            <w:tcBorders>
              <w:top w:val="nil"/>
              <w:left w:val="nil"/>
              <w:bottom w:val="nil"/>
              <w:right w:val="nil"/>
            </w:tcBorders>
          </w:tcPr>
          <w:p w:rsidR="00617CB0" w:rsidRPr="00022D33" w:rsidRDefault="00617CB0" w:rsidP="000D7011">
            <w:pPr>
              <w:pStyle w:val="Tabletext"/>
              <w:jc w:val="right"/>
            </w:pPr>
            <w:r w:rsidRPr="00022D33">
              <w:t>13,782</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rPr>
                <w:w w:val="95"/>
              </w:rPr>
            </w:pPr>
            <w:r w:rsidRPr="00022D33">
              <w:t>13,782</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Accumulated amortisation</w:t>
            </w:r>
          </w:p>
        </w:tc>
        <w:tc>
          <w:tcPr>
            <w:tcW w:w="1474" w:type="dxa"/>
            <w:tcBorders>
              <w:top w:val="nil"/>
              <w:left w:val="nil"/>
              <w:bottom w:val="single" w:sz="4" w:space="0" w:color="auto"/>
              <w:right w:val="nil"/>
            </w:tcBorders>
          </w:tcPr>
          <w:p w:rsidR="00617CB0" w:rsidRPr="00022D33" w:rsidRDefault="00617CB0" w:rsidP="000D7011">
            <w:pPr>
              <w:pStyle w:val="Tabletext"/>
              <w:jc w:val="right"/>
              <w:rPr>
                <w:w w:val="95"/>
              </w:rPr>
            </w:pPr>
            <w:r w:rsidRPr="00022D33">
              <w:rPr>
                <w:w w:val="95"/>
              </w:rPr>
              <w:t>(13,057)</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rPr>
                <w:w w:val="95"/>
              </w:rPr>
              <w:t>(10,</w:t>
            </w:r>
            <w:r w:rsidRPr="00022D33">
              <w:t>212)</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single" w:sz="4" w:space="0" w:color="auto"/>
              <w:left w:val="nil"/>
              <w:bottom w:val="single" w:sz="4" w:space="0" w:color="auto"/>
              <w:right w:val="nil"/>
            </w:tcBorders>
          </w:tcPr>
          <w:p w:rsidR="00617CB0" w:rsidRPr="00022D33" w:rsidRDefault="00617CB0" w:rsidP="000D7011">
            <w:pPr>
              <w:pStyle w:val="Tableboldedtext"/>
              <w:jc w:val="right"/>
            </w:pPr>
            <w:r w:rsidRPr="00022D33">
              <w:t>725</w:t>
            </w:r>
          </w:p>
        </w:tc>
        <w:tc>
          <w:tcPr>
            <w:tcW w:w="1474"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3,570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Computer software</w:t>
            </w:r>
          </w:p>
        </w:tc>
        <w:tc>
          <w:tcPr>
            <w:tcW w:w="1474" w:type="dxa"/>
            <w:tcBorders>
              <w:top w:val="nil"/>
              <w:left w:val="nil"/>
              <w:bottom w:val="nil"/>
              <w:right w:val="nil"/>
            </w:tcBorders>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At cost</w:t>
            </w:r>
          </w:p>
        </w:tc>
        <w:tc>
          <w:tcPr>
            <w:tcW w:w="1474" w:type="dxa"/>
            <w:tcBorders>
              <w:top w:val="nil"/>
              <w:left w:val="nil"/>
              <w:bottom w:val="nil"/>
              <w:right w:val="nil"/>
            </w:tcBorders>
          </w:tcPr>
          <w:p w:rsidR="00617CB0" w:rsidRPr="00022D33" w:rsidRDefault="00617CB0" w:rsidP="000D7011">
            <w:pPr>
              <w:pStyle w:val="Tabletext"/>
              <w:jc w:val="right"/>
            </w:pPr>
            <w:r w:rsidRPr="00022D33">
              <w:t>180,863</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175,859</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Accumulated amortisation</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(158,557)</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(154,113)</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single" w:sz="4" w:space="0" w:color="auto"/>
              <w:left w:val="nil"/>
              <w:bottom w:val="single" w:sz="4" w:space="0" w:color="auto"/>
              <w:right w:val="nil"/>
            </w:tcBorders>
          </w:tcPr>
          <w:p w:rsidR="00617CB0" w:rsidRPr="00022D33" w:rsidRDefault="00617CB0" w:rsidP="000D7011">
            <w:pPr>
              <w:pStyle w:val="Tabletext"/>
              <w:jc w:val="right"/>
            </w:pPr>
            <w:r w:rsidRPr="00022D33">
              <w:t>22,306</w:t>
            </w:r>
          </w:p>
        </w:tc>
        <w:tc>
          <w:tcPr>
            <w:tcW w:w="1474"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pPr>
            <w:r w:rsidRPr="00022D33">
              <w:t>21,746</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Work in progress</w:t>
            </w:r>
          </w:p>
        </w:tc>
        <w:tc>
          <w:tcPr>
            <w:tcW w:w="1474" w:type="dxa"/>
            <w:tcBorders>
              <w:top w:val="nil"/>
              <w:left w:val="nil"/>
              <w:bottom w:val="single" w:sz="4" w:space="0" w:color="auto"/>
              <w:right w:val="nil"/>
            </w:tcBorders>
          </w:tcPr>
          <w:p w:rsidR="00617CB0" w:rsidRPr="00022D33" w:rsidRDefault="00617CB0" w:rsidP="000D7011">
            <w:pPr>
              <w:pStyle w:val="Tabletext"/>
              <w:jc w:val="right"/>
            </w:pP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At cost</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6,485</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5,069</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single" w:sz="4" w:space="0" w:color="auto"/>
              <w:left w:val="nil"/>
              <w:bottom w:val="single" w:sz="4" w:space="0" w:color="auto"/>
              <w:right w:val="nil"/>
            </w:tcBorders>
          </w:tcPr>
          <w:p w:rsidR="00617CB0" w:rsidRPr="00022D33" w:rsidRDefault="00617CB0" w:rsidP="000D7011">
            <w:pPr>
              <w:pStyle w:val="Tableboldedtext"/>
              <w:jc w:val="right"/>
            </w:pPr>
            <w:r w:rsidRPr="00022D33">
              <w:t>6,485</w:t>
            </w:r>
          </w:p>
        </w:tc>
        <w:tc>
          <w:tcPr>
            <w:tcW w:w="1474"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5,069</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ind w:left="720" w:hanging="720"/>
              <w:rPr>
                <w:b/>
              </w:rPr>
            </w:pPr>
            <w:r w:rsidRPr="00022D33">
              <w:rPr>
                <w:b/>
              </w:rPr>
              <w:t>Total</w:t>
            </w:r>
          </w:p>
        </w:tc>
        <w:tc>
          <w:tcPr>
            <w:tcW w:w="1474" w:type="dxa"/>
            <w:tcBorders>
              <w:top w:val="nil"/>
              <w:left w:val="nil"/>
              <w:bottom w:val="nil"/>
              <w:right w:val="nil"/>
            </w:tcBorders>
          </w:tcPr>
          <w:p w:rsidR="00617CB0" w:rsidRPr="00022D33" w:rsidRDefault="00617CB0" w:rsidP="000D7011">
            <w:pPr>
              <w:pStyle w:val="Tableboldedtext"/>
              <w:jc w:val="right"/>
              <w:rPr>
                <w:b w:val="0"/>
              </w:rPr>
            </w:pP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rPr>
                <w:b w:val="0"/>
              </w:rPr>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At cost</w:t>
            </w:r>
          </w:p>
        </w:tc>
        <w:tc>
          <w:tcPr>
            <w:tcW w:w="1474" w:type="dxa"/>
            <w:tcBorders>
              <w:top w:val="nil"/>
              <w:left w:val="nil"/>
              <w:bottom w:val="nil"/>
              <w:right w:val="nil"/>
            </w:tcBorders>
          </w:tcPr>
          <w:p w:rsidR="00617CB0" w:rsidRPr="00022D33" w:rsidRDefault="00617CB0" w:rsidP="000D7011">
            <w:pPr>
              <w:pStyle w:val="Tableboldedtext"/>
              <w:jc w:val="right"/>
              <w:rPr>
                <w:b w:val="0"/>
              </w:rPr>
            </w:pPr>
            <w:r w:rsidRPr="00022D33">
              <w:rPr>
                <w:b w:val="0"/>
              </w:rPr>
              <w:t>201,130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rPr>
                <w:b w:val="0"/>
              </w:rPr>
            </w:pPr>
            <w:r w:rsidRPr="00022D33">
              <w:rPr>
                <w:b w:val="0"/>
              </w:rPr>
              <w:t>194,710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Accumulated amortisation</w:t>
            </w:r>
          </w:p>
        </w:tc>
        <w:tc>
          <w:tcPr>
            <w:tcW w:w="1474" w:type="dxa"/>
            <w:tcBorders>
              <w:top w:val="nil"/>
              <w:left w:val="nil"/>
              <w:bottom w:val="single" w:sz="4" w:space="0" w:color="auto"/>
              <w:right w:val="nil"/>
            </w:tcBorders>
          </w:tcPr>
          <w:p w:rsidR="00617CB0" w:rsidRPr="00022D33" w:rsidRDefault="00617CB0" w:rsidP="000D7011">
            <w:pPr>
              <w:pStyle w:val="Tableboldedtext"/>
              <w:jc w:val="right"/>
              <w:rPr>
                <w:b w:val="0"/>
              </w:rPr>
            </w:pPr>
            <w:r w:rsidRPr="00022D33">
              <w:rPr>
                <w:b w:val="0"/>
              </w:rPr>
              <w:t>(171,614)</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boldedtext"/>
              <w:jc w:val="right"/>
              <w:rPr>
                <w:b w:val="0"/>
              </w:rPr>
            </w:pPr>
            <w:r w:rsidRPr="00022D33">
              <w:rPr>
                <w:b w:val="0"/>
              </w:rPr>
              <w:t>(164,325)</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single" w:sz="4" w:space="0" w:color="auto"/>
              <w:left w:val="nil"/>
              <w:bottom w:val="double" w:sz="4" w:space="0" w:color="auto"/>
              <w:right w:val="nil"/>
            </w:tcBorders>
          </w:tcPr>
          <w:p w:rsidR="00617CB0" w:rsidRPr="00022D33" w:rsidRDefault="00617CB0" w:rsidP="000D7011">
            <w:pPr>
              <w:pStyle w:val="Tableboldedtext"/>
              <w:jc w:val="right"/>
            </w:pPr>
            <w:r w:rsidRPr="00022D33">
              <w:t>29,516</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30,385</w:t>
            </w:r>
          </w:p>
        </w:tc>
      </w:tr>
    </w:tbl>
    <w:p w:rsidR="00617CB0" w:rsidRPr="0021632E" w:rsidRDefault="00617CB0" w:rsidP="00617CB0">
      <w:pPr>
        <w:pStyle w:val="BodyText"/>
      </w:pPr>
      <w:r w:rsidRPr="00022D33">
        <w:t>Reconciliations of the carrying amounts of intangibles at the beginning and end of the reporting period are set out in the table below.</w:t>
      </w:r>
      <w:r>
        <w:br/>
      </w:r>
    </w:p>
    <w:p w:rsidR="00617CB0" w:rsidRPr="00022D33" w:rsidRDefault="00196F4C" w:rsidP="00617CB0">
      <w:pPr>
        <w:pStyle w:val="Caption"/>
        <w:keepNext/>
        <w:spacing w:after="60"/>
        <w:rPr>
          <w:noProof/>
        </w:rPr>
      </w:pPr>
      <w:fldSimple w:instr=" SEQ Table \* ARABIC ">
        <w:r w:rsidR="00D8778B">
          <w:rPr>
            <w:noProof/>
          </w:rPr>
          <w:t>35</w:t>
        </w:r>
      </w:fldSimple>
      <w:r w:rsidR="00617CB0" w:rsidRPr="00022D33">
        <w:rPr>
          <w:noProof/>
        </w:rPr>
        <w:t xml:space="preserve"> Reconciliations of the carrying amounts of intangibles</w:t>
      </w:r>
    </w:p>
    <w:tbl>
      <w:tblPr>
        <w:tblW w:w="0" w:type="auto"/>
        <w:tblLook w:val="04A0" w:firstRow="1" w:lastRow="0" w:firstColumn="1" w:lastColumn="0" w:noHBand="0" w:noVBand="1"/>
      </w:tblPr>
      <w:tblGrid>
        <w:gridCol w:w="3192"/>
        <w:gridCol w:w="1418"/>
        <w:gridCol w:w="1418"/>
        <w:gridCol w:w="1418"/>
        <w:gridCol w:w="1418"/>
      </w:tblGrid>
      <w:tr w:rsidR="00617CB0" w:rsidRPr="00022D33" w:rsidTr="000D7011">
        <w:trPr>
          <w:trHeight w:val="914"/>
        </w:trPr>
        <w:tc>
          <w:tcPr>
            <w:tcW w:w="3192" w:type="dxa"/>
            <w:shd w:val="clear" w:color="auto" w:fill="auto"/>
            <w:vAlign w:val="bottom"/>
          </w:tcPr>
          <w:p w:rsidR="00617CB0" w:rsidRPr="00022D33" w:rsidRDefault="00617CB0" w:rsidP="000D7011">
            <w:pPr>
              <w:pStyle w:val="Tabletext"/>
              <w:spacing w:before="0" w:after="0"/>
            </w:pPr>
            <w:r w:rsidRPr="00022D33">
              <w:rPr>
                <w:rStyle w:val="TableboldedtextChar"/>
              </w:rPr>
              <w:t>2016</w:t>
            </w:r>
          </w:p>
        </w:tc>
        <w:tc>
          <w:tcPr>
            <w:tcW w:w="1418" w:type="dxa"/>
            <w:shd w:val="clear" w:color="auto" w:fill="auto"/>
          </w:tcPr>
          <w:p w:rsidR="00617CB0" w:rsidRPr="00022D33" w:rsidRDefault="00617CB0" w:rsidP="000D7011">
            <w:pPr>
              <w:pStyle w:val="Tableboldedtext"/>
              <w:jc w:val="right"/>
            </w:pPr>
            <w:r w:rsidRPr="00022D33">
              <w:t>Licence</w:t>
            </w:r>
          </w:p>
          <w:p w:rsidR="00617CB0" w:rsidRPr="00022D33" w:rsidRDefault="00617CB0" w:rsidP="000D7011">
            <w:pPr>
              <w:pStyle w:val="Tableboldedtext"/>
              <w:jc w:val="right"/>
            </w:pPr>
            <w:r w:rsidRPr="00022D33">
              <w:t>$000</w:t>
            </w:r>
          </w:p>
        </w:tc>
        <w:tc>
          <w:tcPr>
            <w:tcW w:w="1418" w:type="dxa"/>
            <w:shd w:val="clear" w:color="auto" w:fill="auto"/>
          </w:tcPr>
          <w:p w:rsidR="00617CB0" w:rsidRPr="00022D33" w:rsidRDefault="00617CB0" w:rsidP="000D7011">
            <w:pPr>
              <w:pStyle w:val="Tableboldedtext"/>
              <w:jc w:val="right"/>
            </w:pPr>
            <w:r w:rsidRPr="00022D33">
              <w:t>Computer software $000</w:t>
            </w:r>
          </w:p>
        </w:tc>
        <w:tc>
          <w:tcPr>
            <w:tcW w:w="1418" w:type="dxa"/>
            <w:shd w:val="clear" w:color="auto" w:fill="auto"/>
          </w:tcPr>
          <w:p w:rsidR="00617CB0" w:rsidRPr="00022D33" w:rsidRDefault="00617CB0" w:rsidP="000D7011">
            <w:pPr>
              <w:pStyle w:val="Tableboldedtext"/>
              <w:jc w:val="right"/>
            </w:pPr>
            <w:r w:rsidRPr="00022D33">
              <w:t>Work in progress $000</w:t>
            </w:r>
          </w:p>
        </w:tc>
        <w:tc>
          <w:tcPr>
            <w:tcW w:w="1418" w:type="dxa"/>
            <w:shd w:val="clear" w:color="auto" w:fill="auto"/>
          </w:tcPr>
          <w:p w:rsidR="00617CB0" w:rsidRPr="00022D33" w:rsidRDefault="00617CB0" w:rsidP="000D7011">
            <w:pPr>
              <w:pStyle w:val="Tableboldedtext"/>
              <w:jc w:val="right"/>
            </w:pPr>
            <w:r w:rsidRPr="00022D33">
              <w:t>Total</w:t>
            </w:r>
          </w:p>
          <w:p w:rsidR="00617CB0" w:rsidRPr="00022D33" w:rsidRDefault="00617CB0" w:rsidP="000D7011">
            <w:pPr>
              <w:pStyle w:val="Tableboldedtext"/>
              <w:jc w:val="right"/>
            </w:pPr>
            <w:r w:rsidRPr="00022D33">
              <w:t>$000</w:t>
            </w:r>
          </w:p>
        </w:tc>
      </w:tr>
      <w:tr w:rsidR="00617CB0" w:rsidRPr="00022D33" w:rsidTr="000D7011">
        <w:trPr>
          <w:trHeight w:val="460"/>
        </w:trPr>
        <w:tc>
          <w:tcPr>
            <w:tcW w:w="3192" w:type="dxa"/>
            <w:shd w:val="clear" w:color="auto" w:fill="auto"/>
          </w:tcPr>
          <w:p w:rsidR="00617CB0" w:rsidRPr="00022D33" w:rsidRDefault="00617CB0" w:rsidP="000D7011">
            <w:pPr>
              <w:pStyle w:val="Tabletext"/>
              <w:spacing w:before="0" w:after="0"/>
            </w:pPr>
            <w:r w:rsidRPr="00022D33">
              <w:t xml:space="preserve">Carrying amount at start of period </w:t>
            </w:r>
          </w:p>
        </w:tc>
        <w:tc>
          <w:tcPr>
            <w:tcW w:w="1418" w:type="dxa"/>
            <w:shd w:val="clear" w:color="auto" w:fill="auto"/>
          </w:tcPr>
          <w:p w:rsidR="00617CB0" w:rsidRPr="00022D33" w:rsidRDefault="00617CB0" w:rsidP="000D7011">
            <w:pPr>
              <w:pStyle w:val="Tableboldedtext"/>
              <w:spacing w:before="0" w:after="0"/>
              <w:jc w:val="right"/>
              <w:rPr>
                <w:b w:val="0"/>
              </w:rPr>
            </w:pPr>
            <w:r w:rsidRPr="00022D33">
              <w:rPr>
                <w:b w:val="0"/>
              </w:rPr>
              <w:t>3,570</w:t>
            </w:r>
          </w:p>
        </w:tc>
        <w:tc>
          <w:tcPr>
            <w:tcW w:w="1418" w:type="dxa"/>
            <w:shd w:val="clear" w:color="auto" w:fill="auto"/>
          </w:tcPr>
          <w:p w:rsidR="00617CB0" w:rsidRPr="00022D33" w:rsidRDefault="00617CB0" w:rsidP="000D7011">
            <w:pPr>
              <w:pStyle w:val="Tableboldedtext"/>
              <w:spacing w:before="0" w:after="0"/>
              <w:jc w:val="right"/>
              <w:rPr>
                <w:b w:val="0"/>
              </w:rPr>
            </w:pPr>
            <w:r w:rsidRPr="00022D33">
              <w:rPr>
                <w:b w:val="0"/>
              </w:rPr>
              <w:t>21,746</w:t>
            </w:r>
          </w:p>
        </w:tc>
        <w:tc>
          <w:tcPr>
            <w:tcW w:w="1418" w:type="dxa"/>
            <w:shd w:val="clear" w:color="auto" w:fill="auto"/>
          </w:tcPr>
          <w:p w:rsidR="00617CB0" w:rsidRPr="00022D33" w:rsidRDefault="00617CB0" w:rsidP="000D7011">
            <w:pPr>
              <w:pStyle w:val="Tableboldedtext"/>
              <w:spacing w:before="0" w:after="0"/>
              <w:jc w:val="right"/>
              <w:rPr>
                <w:b w:val="0"/>
              </w:rPr>
            </w:pPr>
            <w:r w:rsidRPr="00022D33">
              <w:rPr>
                <w:b w:val="0"/>
              </w:rPr>
              <w:t>5,069</w:t>
            </w:r>
          </w:p>
        </w:tc>
        <w:tc>
          <w:tcPr>
            <w:tcW w:w="1418" w:type="dxa"/>
            <w:shd w:val="clear" w:color="auto" w:fill="auto"/>
          </w:tcPr>
          <w:p w:rsidR="00617CB0" w:rsidRPr="00022D33" w:rsidRDefault="00617CB0" w:rsidP="000D7011">
            <w:pPr>
              <w:pStyle w:val="Tableboldedtext"/>
              <w:spacing w:before="0" w:after="0"/>
              <w:jc w:val="right"/>
              <w:rPr>
                <w:b w:val="0"/>
              </w:rPr>
            </w:pPr>
            <w:r w:rsidRPr="00022D33">
              <w:rPr>
                <w:b w:val="0"/>
              </w:rPr>
              <w:t>30,385</w:t>
            </w:r>
          </w:p>
        </w:tc>
      </w:tr>
      <w:tr w:rsidR="00617CB0" w:rsidRPr="00022D33" w:rsidTr="000D7011">
        <w:trPr>
          <w:trHeight w:val="460"/>
        </w:trPr>
        <w:tc>
          <w:tcPr>
            <w:tcW w:w="3192" w:type="dxa"/>
            <w:shd w:val="clear" w:color="auto" w:fill="auto"/>
          </w:tcPr>
          <w:p w:rsidR="00617CB0" w:rsidRPr="00022D33" w:rsidRDefault="00617CB0" w:rsidP="000D7011">
            <w:pPr>
              <w:pStyle w:val="Tabletext"/>
              <w:spacing w:before="0" w:after="0"/>
            </w:pPr>
            <w:r w:rsidRPr="00022D33">
              <w:t>Additions</w:t>
            </w:r>
          </w:p>
        </w:tc>
        <w:tc>
          <w:tcPr>
            <w:tcW w:w="1418" w:type="dxa"/>
            <w:shd w:val="clear" w:color="auto" w:fill="auto"/>
          </w:tcPr>
          <w:p w:rsidR="00617CB0" w:rsidRPr="00022D33" w:rsidRDefault="00617CB0" w:rsidP="000D7011">
            <w:pPr>
              <w:pStyle w:val="Tabletext"/>
              <w:spacing w:before="0" w:after="0"/>
              <w:jc w:val="right"/>
            </w:pPr>
            <w:r w:rsidRPr="00022D33">
              <w:t>-</w:t>
            </w:r>
          </w:p>
        </w:tc>
        <w:tc>
          <w:tcPr>
            <w:tcW w:w="1418" w:type="dxa"/>
            <w:shd w:val="clear" w:color="auto" w:fill="auto"/>
          </w:tcPr>
          <w:p w:rsidR="00617CB0" w:rsidRPr="00022D33" w:rsidRDefault="00617CB0" w:rsidP="000D7011">
            <w:pPr>
              <w:pStyle w:val="Tabletext"/>
              <w:spacing w:before="0" w:after="0"/>
              <w:jc w:val="right"/>
            </w:pPr>
            <w:r w:rsidRPr="00022D33">
              <w:t>173</w:t>
            </w:r>
          </w:p>
        </w:tc>
        <w:tc>
          <w:tcPr>
            <w:tcW w:w="1418" w:type="dxa"/>
            <w:shd w:val="clear" w:color="auto" w:fill="auto"/>
          </w:tcPr>
          <w:p w:rsidR="00617CB0" w:rsidRPr="00022D33" w:rsidRDefault="00617CB0" w:rsidP="000D7011">
            <w:pPr>
              <w:pStyle w:val="Tabletext"/>
              <w:spacing w:before="0" w:after="0"/>
              <w:jc w:val="right"/>
            </w:pPr>
            <w:r w:rsidRPr="00022D33">
              <w:t>6,247</w:t>
            </w:r>
          </w:p>
        </w:tc>
        <w:tc>
          <w:tcPr>
            <w:tcW w:w="1418" w:type="dxa"/>
            <w:shd w:val="clear" w:color="auto" w:fill="auto"/>
          </w:tcPr>
          <w:p w:rsidR="00617CB0" w:rsidRPr="00022D33" w:rsidRDefault="00617CB0" w:rsidP="000D7011">
            <w:pPr>
              <w:pStyle w:val="Tabletext"/>
              <w:spacing w:before="0" w:after="0"/>
              <w:jc w:val="right"/>
            </w:pPr>
            <w:r w:rsidRPr="00022D33">
              <w:t>6,420</w:t>
            </w:r>
          </w:p>
        </w:tc>
      </w:tr>
      <w:tr w:rsidR="00617CB0" w:rsidRPr="00022D33" w:rsidTr="000D7011">
        <w:trPr>
          <w:trHeight w:val="460"/>
        </w:trPr>
        <w:tc>
          <w:tcPr>
            <w:tcW w:w="3192" w:type="dxa"/>
            <w:shd w:val="clear" w:color="auto" w:fill="auto"/>
          </w:tcPr>
          <w:p w:rsidR="00617CB0" w:rsidRPr="00022D33" w:rsidRDefault="00617CB0" w:rsidP="000D7011">
            <w:pPr>
              <w:pStyle w:val="Tabletext"/>
              <w:spacing w:before="0" w:after="0"/>
            </w:pPr>
            <w:r w:rsidRPr="00022D33">
              <w:t xml:space="preserve">Transfers to computer software and licence </w:t>
            </w:r>
          </w:p>
        </w:tc>
        <w:tc>
          <w:tcPr>
            <w:tcW w:w="1418" w:type="dxa"/>
            <w:shd w:val="clear" w:color="auto" w:fill="auto"/>
          </w:tcPr>
          <w:p w:rsidR="00617CB0" w:rsidRPr="00022D33" w:rsidRDefault="00617CB0" w:rsidP="000D7011">
            <w:pPr>
              <w:pStyle w:val="Tabletext"/>
              <w:spacing w:before="0" w:after="0"/>
              <w:jc w:val="right"/>
            </w:pPr>
            <w:r w:rsidRPr="00022D33">
              <w:t>-</w:t>
            </w:r>
          </w:p>
        </w:tc>
        <w:tc>
          <w:tcPr>
            <w:tcW w:w="1418" w:type="dxa"/>
            <w:shd w:val="clear" w:color="auto" w:fill="auto"/>
          </w:tcPr>
          <w:p w:rsidR="00617CB0" w:rsidRPr="00022D33" w:rsidRDefault="00617CB0" w:rsidP="000D7011">
            <w:pPr>
              <w:pStyle w:val="Tabletext"/>
              <w:spacing w:before="0" w:after="0"/>
              <w:jc w:val="right"/>
            </w:pPr>
            <w:r w:rsidRPr="00022D33">
              <w:t>4,831</w:t>
            </w:r>
          </w:p>
        </w:tc>
        <w:tc>
          <w:tcPr>
            <w:tcW w:w="1418" w:type="dxa"/>
            <w:shd w:val="clear" w:color="auto" w:fill="auto"/>
          </w:tcPr>
          <w:p w:rsidR="00617CB0" w:rsidRPr="00022D33" w:rsidRDefault="00617CB0" w:rsidP="000D7011">
            <w:pPr>
              <w:pStyle w:val="Tabletext"/>
              <w:spacing w:before="0" w:after="0"/>
              <w:jc w:val="right"/>
            </w:pPr>
            <w:r w:rsidRPr="00022D33">
              <w:t>(4,831)</w:t>
            </w:r>
          </w:p>
        </w:tc>
        <w:tc>
          <w:tcPr>
            <w:tcW w:w="1418" w:type="dxa"/>
            <w:shd w:val="clear" w:color="auto" w:fill="auto"/>
          </w:tcPr>
          <w:p w:rsidR="00617CB0" w:rsidRPr="00022D33" w:rsidRDefault="00617CB0" w:rsidP="000D7011">
            <w:pPr>
              <w:pStyle w:val="Tabletext"/>
              <w:spacing w:before="0" w:after="0"/>
              <w:jc w:val="right"/>
            </w:pPr>
            <w:r w:rsidRPr="00022D33">
              <w:t>-</w:t>
            </w:r>
          </w:p>
        </w:tc>
      </w:tr>
      <w:tr w:rsidR="00617CB0" w:rsidRPr="00022D33" w:rsidTr="000D7011">
        <w:trPr>
          <w:trHeight w:val="460"/>
        </w:trPr>
        <w:tc>
          <w:tcPr>
            <w:tcW w:w="3192" w:type="dxa"/>
            <w:shd w:val="clear" w:color="auto" w:fill="auto"/>
          </w:tcPr>
          <w:p w:rsidR="00617CB0" w:rsidRPr="00022D33" w:rsidRDefault="00617CB0" w:rsidP="000D7011">
            <w:pPr>
              <w:pStyle w:val="Tabletext"/>
              <w:spacing w:before="0" w:after="0"/>
            </w:pPr>
            <w:r w:rsidRPr="00022D33">
              <w:t>Amortisation expense</w:t>
            </w:r>
          </w:p>
        </w:tc>
        <w:tc>
          <w:tcPr>
            <w:tcW w:w="1418" w:type="dxa"/>
            <w:tcBorders>
              <w:bottom w:val="single" w:sz="4" w:space="0" w:color="auto"/>
            </w:tcBorders>
            <w:shd w:val="clear" w:color="auto" w:fill="auto"/>
          </w:tcPr>
          <w:p w:rsidR="00617CB0" w:rsidRPr="00022D33" w:rsidRDefault="00617CB0" w:rsidP="000D7011">
            <w:pPr>
              <w:pStyle w:val="Tabletext"/>
              <w:spacing w:before="0" w:after="0"/>
              <w:jc w:val="right"/>
            </w:pPr>
            <w:r w:rsidRPr="00022D33">
              <w:t>(2,845)</w:t>
            </w:r>
          </w:p>
        </w:tc>
        <w:tc>
          <w:tcPr>
            <w:tcW w:w="1418" w:type="dxa"/>
            <w:tcBorders>
              <w:bottom w:val="single" w:sz="4" w:space="0" w:color="auto"/>
            </w:tcBorders>
            <w:shd w:val="clear" w:color="auto" w:fill="auto"/>
          </w:tcPr>
          <w:p w:rsidR="00617CB0" w:rsidRPr="00022D33" w:rsidRDefault="00617CB0" w:rsidP="000D7011">
            <w:pPr>
              <w:pStyle w:val="Tabletext"/>
              <w:spacing w:before="0" w:after="0"/>
              <w:jc w:val="right"/>
            </w:pPr>
            <w:r w:rsidRPr="00022D33">
              <w:t>(4,444)</w:t>
            </w:r>
          </w:p>
        </w:tc>
        <w:tc>
          <w:tcPr>
            <w:tcW w:w="1418" w:type="dxa"/>
            <w:tcBorders>
              <w:bottom w:val="single" w:sz="4" w:space="0" w:color="auto"/>
            </w:tcBorders>
            <w:shd w:val="clear" w:color="auto" w:fill="auto"/>
          </w:tcPr>
          <w:p w:rsidR="00617CB0" w:rsidRPr="00022D33" w:rsidRDefault="00617CB0" w:rsidP="000D7011">
            <w:pPr>
              <w:pStyle w:val="Tabletext"/>
              <w:spacing w:before="0" w:after="0"/>
              <w:jc w:val="right"/>
            </w:pPr>
            <w:r w:rsidRPr="00022D33">
              <w:t>-</w:t>
            </w:r>
          </w:p>
        </w:tc>
        <w:tc>
          <w:tcPr>
            <w:tcW w:w="1418" w:type="dxa"/>
            <w:tcBorders>
              <w:bottom w:val="single" w:sz="4" w:space="0" w:color="auto"/>
            </w:tcBorders>
            <w:shd w:val="clear" w:color="auto" w:fill="auto"/>
          </w:tcPr>
          <w:p w:rsidR="00617CB0" w:rsidRPr="00022D33" w:rsidRDefault="00617CB0" w:rsidP="000D7011">
            <w:pPr>
              <w:pStyle w:val="Tabletext"/>
              <w:spacing w:before="0" w:after="0"/>
              <w:jc w:val="right"/>
            </w:pPr>
            <w:r w:rsidRPr="00022D33">
              <w:t>(7,290)</w:t>
            </w:r>
          </w:p>
        </w:tc>
      </w:tr>
      <w:tr w:rsidR="00617CB0" w:rsidRPr="00022D33" w:rsidTr="000D7011">
        <w:trPr>
          <w:trHeight w:val="460"/>
        </w:trPr>
        <w:tc>
          <w:tcPr>
            <w:tcW w:w="3192" w:type="dxa"/>
            <w:shd w:val="clear" w:color="auto" w:fill="auto"/>
          </w:tcPr>
          <w:p w:rsidR="00617CB0" w:rsidRPr="00022D33" w:rsidRDefault="00617CB0" w:rsidP="000D7011">
            <w:pPr>
              <w:pStyle w:val="Tabletext"/>
              <w:spacing w:before="0" w:after="0"/>
              <w:rPr>
                <w:b/>
              </w:rPr>
            </w:pPr>
            <w:r w:rsidRPr="00022D33">
              <w:rPr>
                <w:b/>
              </w:rPr>
              <w:t>Carrying amount at end of period</w:t>
            </w:r>
          </w:p>
        </w:tc>
        <w:tc>
          <w:tcPr>
            <w:tcW w:w="1418" w:type="dxa"/>
            <w:tcBorders>
              <w:top w:val="single" w:sz="4" w:space="0" w:color="auto"/>
              <w:bottom w:val="double" w:sz="4" w:space="0" w:color="auto"/>
            </w:tcBorders>
            <w:shd w:val="clear" w:color="auto" w:fill="auto"/>
          </w:tcPr>
          <w:p w:rsidR="00617CB0" w:rsidRPr="00022D33" w:rsidRDefault="00617CB0" w:rsidP="000D7011">
            <w:pPr>
              <w:pStyle w:val="Tabletext"/>
              <w:spacing w:before="0" w:after="0"/>
              <w:jc w:val="right"/>
              <w:rPr>
                <w:b/>
              </w:rPr>
            </w:pPr>
            <w:r w:rsidRPr="00022D33">
              <w:rPr>
                <w:b/>
              </w:rPr>
              <w:t>725</w:t>
            </w:r>
          </w:p>
        </w:tc>
        <w:tc>
          <w:tcPr>
            <w:tcW w:w="1418" w:type="dxa"/>
            <w:tcBorders>
              <w:top w:val="single" w:sz="4" w:space="0" w:color="auto"/>
              <w:bottom w:val="double" w:sz="4" w:space="0" w:color="auto"/>
            </w:tcBorders>
            <w:shd w:val="clear" w:color="auto" w:fill="auto"/>
          </w:tcPr>
          <w:p w:rsidR="00617CB0" w:rsidRPr="00022D33" w:rsidRDefault="00617CB0" w:rsidP="000D7011">
            <w:pPr>
              <w:pStyle w:val="Tabletext"/>
              <w:spacing w:before="0" w:after="0"/>
              <w:jc w:val="right"/>
              <w:rPr>
                <w:b/>
              </w:rPr>
            </w:pPr>
            <w:r w:rsidRPr="00022D33">
              <w:rPr>
                <w:b/>
              </w:rPr>
              <w:t>22,306</w:t>
            </w:r>
          </w:p>
        </w:tc>
        <w:tc>
          <w:tcPr>
            <w:tcW w:w="1418" w:type="dxa"/>
            <w:tcBorders>
              <w:top w:val="single" w:sz="4" w:space="0" w:color="auto"/>
              <w:bottom w:val="double" w:sz="4" w:space="0" w:color="auto"/>
            </w:tcBorders>
            <w:shd w:val="clear" w:color="auto" w:fill="auto"/>
          </w:tcPr>
          <w:p w:rsidR="00617CB0" w:rsidRPr="00022D33" w:rsidRDefault="00617CB0" w:rsidP="000D7011">
            <w:pPr>
              <w:pStyle w:val="Tabletext"/>
              <w:spacing w:before="0" w:after="0"/>
              <w:jc w:val="right"/>
              <w:rPr>
                <w:b/>
              </w:rPr>
            </w:pPr>
            <w:r w:rsidRPr="00022D33">
              <w:rPr>
                <w:b/>
              </w:rPr>
              <w:t>6,485</w:t>
            </w:r>
          </w:p>
        </w:tc>
        <w:tc>
          <w:tcPr>
            <w:tcW w:w="1418" w:type="dxa"/>
            <w:tcBorders>
              <w:top w:val="single" w:sz="4" w:space="0" w:color="auto"/>
              <w:bottom w:val="double" w:sz="4" w:space="0" w:color="auto"/>
            </w:tcBorders>
            <w:shd w:val="clear" w:color="auto" w:fill="auto"/>
          </w:tcPr>
          <w:p w:rsidR="00617CB0" w:rsidRPr="00022D33" w:rsidRDefault="00617CB0" w:rsidP="000D7011">
            <w:pPr>
              <w:pStyle w:val="Tabletext"/>
              <w:spacing w:before="0" w:after="0"/>
              <w:jc w:val="right"/>
              <w:rPr>
                <w:b/>
              </w:rPr>
            </w:pPr>
            <w:r w:rsidRPr="00022D33">
              <w:rPr>
                <w:b/>
              </w:rPr>
              <w:t>29,516</w:t>
            </w:r>
          </w:p>
        </w:tc>
      </w:tr>
    </w:tbl>
    <w:p w:rsidR="00617CB0" w:rsidRDefault="00617CB0" w:rsidP="00617CB0">
      <w:pPr>
        <w:sectPr w:rsidR="00617CB0" w:rsidSect="005F3639">
          <w:pgSz w:w="11906" w:h="16838" w:code="9"/>
          <w:pgMar w:top="1440" w:right="1440" w:bottom="1276" w:left="1440" w:header="0" w:footer="709" w:gutter="0"/>
          <w:cols w:space="708"/>
          <w:docGrid w:linePitch="360"/>
        </w:sectPr>
      </w:pPr>
    </w:p>
    <w:tbl>
      <w:tblPr>
        <w:tblW w:w="0" w:type="auto"/>
        <w:tblLook w:val="04A0" w:firstRow="1" w:lastRow="0" w:firstColumn="1" w:lastColumn="0" w:noHBand="0" w:noVBand="1"/>
      </w:tblPr>
      <w:tblGrid>
        <w:gridCol w:w="3192"/>
        <w:gridCol w:w="1418"/>
        <w:gridCol w:w="1418"/>
        <w:gridCol w:w="1418"/>
        <w:gridCol w:w="1418"/>
      </w:tblGrid>
      <w:tr w:rsidR="00617CB0" w:rsidRPr="00022D33" w:rsidTr="000D7011">
        <w:trPr>
          <w:trHeight w:val="914"/>
        </w:trPr>
        <w:tc>
          <w:tcPr>
            <w:tcW w:w="3192" w:type="dxa"/>
            <w:shd w:val="clear" w:color="auto" w:fill="auto"/>
            <w:vAlign w:val="bottom"/>
          </w:tcPr>
          <w:p w:rsidR="00617CB0" w:rsidRPr="00022D33" w:rsidRDefault="00617CB0" w:rsidP="000D7011">
            <w:pPr>
              <w:pStyle w:val="Tabletext"/>
              <w:spacing w:before="0" w:after="0"/>
            </w:pPr>
            <w:r w:rsidRPr="00022D33">
              <w:rPr>
                <w:rStyle w:val="TableboldedtextChar"/>
              </w:rPr>
              <w:t>2015</w:t>
            </w:r>
          </w:p>
        </w:tc>
        <w:tc>
          <w:tcPr>
            <w:tcW w:w="1418" w:type="dxa"/>
            <w:shd w:val="clear" w:color="auto" w:fill="auto"/>
          </w:tcPr>
          <w:p w:rsidR="00617CB0" w:rsidRPr="00022D33" w:rsidRDefault="00617CB0" w:rsidP="000D7011">
            <w:pPr>
              <w:pStyle w:val="Tableboldedtext"/>
              <w:jc w:val="right"/>
            </w:pPr>
            <w:r w:rsidRPr="00022D33">
              <w:t>Licence</w:t>
            </w:r>
          </w:p>
          <w:p w:rsidR="00617CB0" w:rsidRPr="00022D33" w:rsidRDefault="00617CB0" w:rsidP="000D7011">
            <w:pPr>
              <w:pStyle w:val="Tableboldedtext"/>
              <w:jc w:val="right"/>
            </w:pPr>
            <w:r w:rsidRPr="00022D33">
              <w:t>$000</w:t>
            </w:r>
          </w:p>
        </w:tc>
        <w:tc>
          <w:tcPr>
            <w:tcW w:w="1418" w:type="dxa"/>
            <w:shd w:val="clear" w:color="auto" w:fill="auto"/>
          </w:tcPr>
          <w:p w:rsidR="00617CB0" w:rsidRPr="00022D33" w:rsidRDefault="00617CB0" w:rsidP="000D7011">
            <w:pPr>
              <w:pStyle w:val="Tableboldedtext"/>
              <w:jc w:val="right"/>
            </w:pPr>
            <w:r w:rsidRPr="00022D33">
              <w:t>Computer software $000</w:t>
            </w:r>
          </w:p>
        </w:tc>
        <w:tc>
          <w:tcPr>
            <w:tcW w:w="1418" w:type="dxa"/>
            <w:shd w:val="clear" w:color="auto" w:fill="auto"/>
          </w:tcPr>
          <w:p w:rsidR="00617CB0" w:rsidRPr="00022D33" w:rsidRDefault="00617CB0" w:rsidP="000D7011">
            <w:pPr>
              <w:pStyle w:val="Tableboldedtext"/>
              <w:jc w:val="right"/>
            </w:pPr>
            <w:r w:rsidRPr="00022D33">
              <w:t>Work in progress $000</w:t>
            </w:r>
          </w:p>
        </w:tc>
        <w:tc>
          <w:tcPr>
            <w:tcW w:w="1418" w:type="dxa"/>
            <w:shd w:val="clear" w:color="auto" w:fill="auto"/>
          </w:tcPr>
          <w:p w:rsidR="00617CB0" w:rsidRPr="00022D33" w:rsidRDefault="00617CB0" w:rsidP="000D7011">
            <w:pPr>
              <w:pStyle w:val="Tableboldedtext"/>
              <w:jc w:val="right"/>
            </w:pPr>
            <w:r w:rsidRPr="00022D33">
              <w:t>Total</w:t>
            </w:r>
          </w:p>
          <w:p w:rsidR="00617CB0" w:rsidRPr="00022D33" w:rsidRDefault="00617CB0" w:rsidP="000D7011">
            <w:pPr>
              <w:pStyle w:val="Tableboldedtext"/>
              <w:jc w:val="right"/>
            </w:pPr>
            <w:r w:rsidRPr="00022D33">
              <w:t>$000</w:t>
            </w:r>
          </w:p>
        </w:tc>
      </w:tr>
      <w:tr w:rsidR="00617CB0" w:rsidRPr="00022D33" w:rsidTr="000D7011">
        <w:tc>
          <w:tcPr>
            <w:tcW w:w="3192" w:type="dxa"/>
            <w:shd w:val="clear" w:color="auto" w:fill="auto"/>
          </w:tcPr>
          <w:p w:rsidR="00617CB0" w:rsidRPr="00022D33" w:rsidRDefault="00617CB0" w:rsidP="000D7011">
            <w:pPr>
              <w:pStyle w:val="Tabletext"/>
            </w:pPr>
            <w:r w:rsidRPr="00022D33">
              <w:t xml:space="preserve">Carrying amount at start of period </w:t>
            </w:r>
          </w:p>
        </w:tc>
        <w:tc>
          <w:tcPr>
            <w:tcW w:w="1418" w:type="dxa"/>
            <w:shd w:val="clear" w:color="auto" w:fill="auto"/>
          </w:tcPr>
          <w:p w:rsidR="00617CB0" w:rsidRPr="00022D33" w:rsidRDefault="00617CB0" w:rsidP="000D7011">
            <w:pPr>
              <w:pStyle w:val="Tabletext"/>
              <w:jc w:val="right"/>
            </w:pPr>
            <w:r w:rsidRPr="00022D33">
              <w:t>5,965</w:t>
            </w:r>
          </w:p>
        </w:tc>
        <w:tc>
          <w:tcPr>
            <w:tcW w:w="1418" w:type="dxa"/>
            <w:shd w:val="clear" w:color="auto" w:fill="auto"/>
          </w:tcPr>
          <w:p w:rsidR="00617CB0" w:rsidRPr="00022D33" w:rsidRDefault="00617CB0" w:rsidP="000D7011">
            <w:pPr>
              <w:pStyle w:val="Tabletext"/>
              <w:jc w:val="right"/>
            </w:pPr>
            <w:r w:rsidRPr="00022D33">
              <w:t>21,070</w:t>
            </w:r>
          </w:p>
        </w:tc>
        <w:tc>
          <w:tcPr>
            <w:tcW w:w="1418" w:type="dxa"/>
            <w:shd w:val="clear" w:color="auto" w:fill="auto"/>
          </w:tcPr>
          <w:p w:rsidR="00617CB0" w:rsidRPr="00022D33" w:rsidRDefault="00617CB0" w:rsidP="000D7011">
            <w:pPr>
              <w:pStyle w:val="Tabletext"/>
              <w:jc w:val="right"/>
            </w:pPr>
            <w:r w:rsidRPr="00022D33">
              <w:t>2,837</w:t>
            </w:r>
          </w:p>
        </w:tc>
        <w:tc>
          <w:tcPr>
            <w:tcW w:w="1418" w:type="dxa"/>
            <w:shd w:val="clear" w:color="auto" w:fill="auto"/>
          </w:tcPr>
          <w:p w:rsidR="00617CB0" w:rsidRPr="00022D33" w:rsidRDefault="00617CB0" w:rsidP="000D7011">
            <w:pPr>
              <w:pStyle w:val="Tableboldedtext"/>
              <w:jc w:val="right"/>
            </w:pPr>
            <w:r w:rsidRPr="00022D33">
              <w:t>29,872</w:t>
            </w:r>
          </w:p>
        </w:tc>
      </w:tr>
      <w:tr w:rsidR="00617CB0" w:rsidRPr="00022D33" w:rsidTr="000D7011">
        <w:tc>
          <w:tcPr>
            <w:tcW w:w="3192" w:type="dxa"/>
            <w:shd w:val="clear" w:color="auto" w:fill="auto"/>
          </w:tcPr>
          <w:p w:rsidR="00617CB0" w:rsidRPr="00022D33" w:rsidRDefault="00617CB0" w:rsidP="000D7011">
            <w:pPr>
              <w:pStyle w:val="Tabletext"/>
            </w:pPr>
            <w:r w:rsidRPr="00022D33">
              <w:t>Additions</w:t>
            </w:r>
          </w:p>
        </w:tc>
        <w:tc>
          <w:tcPr>
            <w:tcW w:w="1418" w:type="dxa"/>
            <w:shd w:val="clear" w:color="auto" w:fill="auto"/>
          </w:tcPr>
          <w:p w:rsidR="00617CB0" w:rsidRPr="00022D33" w:rsidRDefault="00617CB0" w:rsidP="000D7011">
            <w:pPr>
              <w:pStyle w:val="Tabletext"/>
              <w:jc w:val="right"/>
            </w:pPr>
            <w:r w:rsidRPr="00022D33">
              <w:t>102</w:t>
            </w:r>
          </w:p>
        </w:tc>
        <w:tc>
          <w:tcPr>
            <w:tcW w:w="1418" w:type="dxa"/>
            <w:shd w:val="clear" w:color="auto" w:fill="auto"/>
          </w:tcPr>
          <w:p w:rsidR="00617CB0" w:rsidRPr="00022D33" w:rsidRDefault="00617CB0" w:rsidP="000D7011">
            <w:pPr>
              <w:pStyle w:val="Tabletext"/>
              <w:jc w:val="right"/>
            </w:pPr>
            <w:r w:rsidRPr="00022D33">
              <w:t>754</w:t>
            </w:r>
          </w:p>
        </w:tc>
        <w:tc>
          <w:tcPr>
            <w:tcW w:w="1418" w:type="dxa"/>
            <w:shd w:val="clear" w:color="auto" w:fill="auto"/>
          </w:tcPr>
          <w:p w:rsidR="00617CB0" w:rsidRPr="00022D33" w:rsidRDefault="00617CB0" w:rsidP="000D7011">
            <w:pPr>
              <w:pStyle w:val="Tabletext"/>
              <w:jc w:val="right"/>
            </w:pPr>
            <w:r w:rsidRPr="00022D33">
              <w:t>6,306</w:t>
            </w:r>
          </w:p>
        </w:tc>
        <w:tc>
          <w:tcPr>
            <w:tcW w:w="1418" w:type="dxa"/>
            <w:shd w:val="clear" w:color="auto" w:fill="auto"/>
          </w:tcPr>
          <w:p w:rsidR="00617CB0" w:rsidRPr="00022D33" w:rsidRDefault="00617CB0" w:rsidP="000D7011">
            <w:pPr>
              <w:pStyle w:val="Tableboldedtext"/>
              <w:jc w:val="right"/>
            </w:pPr>
            <w:r w:rsidRPr="00022D33">
              <w:t>7,162</w:t>
            </w:r>
          </w:p>
        </w:tc>
      </w:tr>
      <w:tr w:rsidR="00617CB0" w:rsidRPr="00022D33" w:rsidTr="000D7011">
        <w:tc>
          <w:tcPr>
            <w:tcW w:w="3192" w:type="dxa"/>
            <w:shd w:val="clear" w:color="auto" w:fill="auto"/>
          </w:tcPr>
          <w:p w:rsidR="00617CB0" w:rsidRPr="00022D33" w:rsidRDefault="00617CB0" w:rsidP="000D7011">
            <w:pPr>
              <w:pStyle w:val="Tabletext"/>
            </w:pPr>
            <w:r w:rsidRPr="00022D33">
              <w:t xml:space="preserve">Transfers to computer software and licence </w:t>
            </w:r>
          </w:p>
        </w:tc>
        <w:tc>
          <w:tcPr>
            <w:tcW w:w="1418" w:type="dxa"/>
            <w:shd w:val="clear" w:color="auto" w:fill="auto"/>
          </w:tcPr>
          <w:p w:rsidR="00617CB0" w:rsidRPr="00022D33" w:rsidRDefault="00617CB0" w:rsidP="000D7011">
            <w:pPr>
              <w:pStyle w:val="Tabletext"/>
              <w:jc w:val="right"/>
            </w:pPr>
            <w:r w:rsidRPr="00022D33">
              <w:t>393</w:t>
            </w:r>
          </w:p>
        </w:tc>
        <w:tc>
          <w:tcPr>
            <w:tcW w:w="1418" w:type="dxa"/>
            <w:shd w:val="clear" w:color="auto" w:fill="auto"/>
          </w:tcPr>
          <w:p w:rsidR="00617CB0" w:rsidRPr="00022D33" w:rsidRDefault="00617CB0" w:rsidP="000D7011">
            <w:pPr>
              <w:pStyle w:val="Tabletext"/>
              <w:jc w:val="right"/>
            </w:pPr>
            <w:r w:rsidRPr="00022D33">
              <w:t>3,681</w:t>
            </w:r>
          </w:p>
        </w:tc>
        <w:tc>
          <w:tcPr>
            <w:tcW w:w="1418" w:type="dxa"/>
            <w:shd w:val="clear" w:color="auto" w:fill="auto"/>
          </w:tcPr>
          <w:p w:rsidR="00617CB0" w:rsidRPr="00022D33" w:rsidRDefault="00617CB0" w:rsidP="000D7011">
            <w:pPr>
              <w:pStyle w:val="Tabletext"/>
              <w:jc w:val="right"/>
            </w:pPr>
            <w:r w:rsidRPr="00022D33">
              <w:t>(4,074)</w:t>
            </w:r>
          </w:p>
        </w:tc>
        <w:tc>
          <w:tcPr>
            <w:tcW w:w="1418" w:type="dxa"/>
            <w:shd w:val="clear" w:color="auto" w:fill="auto"/>
          </w:tcPr>
          <w:p w:rsidR="00617CB0" w:rsidRPr="00022D33" w:rsidRDefault="00617CB0" w:rsidP="000D7011">
            <w:pPr>
              <w:pStyle w:val="Tableboldedtext"/>
              <w:jc w:val="right"/>
            </w:pPr>
            <w:r w:rsidRPr="00022D33">
              <w:t>-</w:t>
            </w:r>
          </w:p>
        </w:tc>
      </w:tr>
      <w:tr w:rsidR="00617CB0" w:rsidRPr="00022D33" w:rsidTr="000D7011">
        <w:tc>
          <w:tcPr>
            <w:tcW w:w="3192" w:type="dxa"/>
            <w:shd w:val="clear" w:color="auto" w:fill="auto"/>
          </w:tcPr>
          <w:p w:rsidR="00617CB0" w:rsidRPr="00022D33" w:rsidRDefault="00617CB0" w:rsidP="000D7011">
            <w:pPr>
              <w:pStyle w:val="Tabletext"/>
            </w:pPr>
            <w:r w:rsidRPr="00022D33">
              <w:t>Amortisation expense</w:t>
            </w:r>
          </w:p>
        </w:tc>
        <w:tc>
          <w:tcPr>
            <w:tcW w:w="1418" w:type="dxa"/>
            <w:tcBorders>
              <w:bottom w:val="single" w:sz="4" w:space="0" w:color="auto"/>
            </w:tcBorders>
            <w:shd w:val="clear" w:color="auto" w:fill="auto"/>
          </w:tcPr>
          <w:p w:rsidR="00617CB0" w:rsidRPr="00022D33" w:rsidRDefault="00617CB0" w:rsidP="000D7011">
            <w:pPr>
              <w:pStyle w:val="Tabletext"/>
              <w:jc w:val="right"/>
            </w:pPr>
            <w:r w:rsidRPr="00022D33">
              <w:t>(2,890)</w:t>
            </w:r>
          </w:p>
        </w:tc>
        <w:tc>
          <w:tcPr>
            <w:tcW w:w="1418" w:type="dxa"/>
            <w:tcBorders>
              <w:bottom w:val="single" w:sz="4" w:space="0" w:color="auto"/>
            </w:tcBorders>
            <w:shd w:val="clear" w:color="auto" w:fill="auto"/>
          </w:tcPr>
          <w:p w:rsidR="00617CB0" w:rsidRPr="00022D33" w:rsidRDefault="00617CB0" w:rsidP="000D7011">
            <w:pPr>
              <w:pStyle w:val="Tabletext"/>
              <w:jc w:val="right"/>
            </w:pPr>
            <w:r w:rsidRPr="00022D33">
              <w:t>(3,759)</w:t>
            </w:r>
          </w:p>
        </w:tc>
        <w:tc>
          <w:tcPr>
            <w:tcW w:w="1418" w:type="dxa"/>
            <w:tcBorders>
              <w:bottom w:val="single" w:sz="4" w:space="0" w:color="auto"/>
            </w:tcBorders>
            <w:shd w:val="clear" w:color="auto" w:fill="auto"/>
          </w:tcPr>
          <w:p w:rsidR="00617CB0" w:rsidRPr="00022D33" w:rsidRDefault="00617CB0" w:rsidP="000D7011">
            <w:pPr>
              <w:pStyle w:val="Tabletext"/>
              <w:jc w:val="right"/>
            </w:pPr>
            <w:r w:rsidRPr="00022D33">
              <w:t>-</w:t>
            </w:r>
          </w:p>
        </w:tc>
        <w:tc>
          <w:tcPr>
            <w:tcW w:w="1418" w:type="dxa"/>
            <w:tcBorders>
              <w:bottom w:val="single" w:sz="4" w:space="0" w:color="auto"/>
            </w:tcBorders>
            <w:shd w:val="clear" w:color="auto" w:fill="auto"/>
          </w:tcPr>
          <w:p w:rsidR="00617CB0" w:rsidRPr="00022D33" w:rsidRDefault="00617CB0" w:rsidP="000D7011">
            <w:pPr>
              <w:pStyle w:val="Tableboldedtext"/>
              <w:jc w:val="right"/>
            </w:pPr>
            <w:r w:rsidRPr="00022D33">
              <w:t>(6,649)</w:t>
            </w:r>
          </w:p>
        </w:tc>
      </w:tr>
      <w:tr w:rsidR="00617CB0" w:rsidRPr="00022D33" w:rsidTr="000D7011">
        <w:tc>
          <w:tcPr>
            <w:tcW w:w="3192" w:type="dxa"/>
            <w:shd w:val="clear" w:color="auto" w:fill="auto"/>
          </w:tcPr>
          <w:p w:rsidR="00617CB0" w:rsidRPr="00022D33" w:rsidRDefault="00617CB0" w:rsidP="000D7011">
            <w:pPr>
              <w:pStyle w:val="Tabletext"/>
              <w:rPr>
                <w:b/>
              </w:rPr>
            </w:pPr>
            <w:r w:rsidRPr="00022D33">
              <w:rPr>
                <w:b/>
              </w:rPr>
              <w:t>Carrying amount at end of period</w:t>
            </w:r>
          </w:p>
        </w:tc>
        <w:tc>
          <w:tcPr>
            <w:tcW w:w="1418" w:type="dxa"/>
            <w:tcBorders>
              <w:top w:val="single" w:sz="4" w:space="0" w:color="auto"/>
              <w:bottom w:val="double" w:sz="4" w:space="0" w:color="auto"/>
            </w:tcBorders>
            <w:shd w:val="clear" w:color="auto" w:fill="auto"/>
          </w:tcPr>
          <w:p w:rsidR="00617CB0" w:rsidRPr="00022D33" w:rsidRDefault="00617CB0" w:rsidP="000D7011">
            <w:pPr>
              <w:pStyle w:val="Tabletext"/>
              <w:jc w:val="right"/>
              <w:rPr>
                <w:b/>
              </w:rPr>
            </w:pPr>
            <w:r w:rsidRPr="00022D33">
              <w:rPr>
                <w:b/>
              </w:rPr>
              <w:t>3,570</w:t>
            </w:r>
          </w:p>
        </w:tc>
        <w:tc>
          <w:tcPr>
            <w:tcW w:w="1418" w:type="dxa"/>
            <w:tcBorders>
              <w:top w:val="single" w:sz="4" w:space="0" w:color="auto"/>
              <w:bottom w:val="double" w:sz="4" w:space="0" w:color="auto"/>
            </w:tcBorders>
            <w:shd w:val="clear" w:color="auto" w:fill="auto"/>
          </w:tcPr>
          <w:p w:rsidR="00617CB0" w:rsidRPr="00022D33" w:rsidRDefault="00617CB0" w:rsidP="000D7011">
            <w:pPr>
              <w:pStyle w:val="Tabletext"/>
              <w:jc w:val="right"/>
              <w:rPr>
                <w:b/>
              </w:rPr>
            </w:pPr>
            <w:r w:rsidRPr="00022D33">
              <w:rPr>
                <w:b/>
              </w:rPr>
              <w:t>21,746</w:t>
            </w:r>
          </w:p>
        </w:tc>
        <w:tc>
          <w:tcPr>
            <w:tcW w:w="1418" w:type="dxa"/>
            <w:tcBorders>
              <w:top w:val="single" w:sz="4" w:space="0" w:color="auto"/>
              <w:bottom w:val="double" w:sz="4" w:space="0" w:color="auto"/>
            </w:tcBorders>
            <w:shd w:val="clear" w:color="auto" w:fill="auto"/>
          </w:tcPr>
          <w:p w:rsidR="00617CB0" w:rsidRPr="00022D33" w:rsidRDefault="00617CB0" w:rsidP="000D7011">
            <w:pPr>
              <w:pStyle w:val="Tabletext"/>
              <w:jc w:val="right"/>
              <w:rPr>
                <w:b/>
              </w:rPr>
            </w:pPr>
            <w:r w:rsidRPr="00022D33">
              <w:rPr>
                <w:b/>
              </w:rPr>
              <w:t>5,069</w:t>
            </w:r>
          </w:p>
        </w:tc>
        <w:tc>
          <w:tcPr>
            <w:tcW w:w="1418" w:type="dxa"/>
            <w:tcBorders>
              <w:top w:val="single" w:sz="4" w:space="0" w:color="auto"/>
              <w:bottom w:val="double" w:sz="4" w:space="0" w:color="auto"/>
            </w:tcBorders>
            <w:shd w:val="clear" w:color="auto" w:fill="auto"/>
          </w:tcPr>
          <w:p w:rsidR="00617CB0" w:rsidRPr="00022D33" w:rsidRDefault="00617CB0" w:rsidP="000D7011">
            <w:pPr>
              <w:pStyle w:val="Tableboldedtext"/>
              <w:jc w:val="right"/>
              <w:rPr>
                <w:spacing w:val="-1"/>
              </w:rPr>
            </w:pPr>
            <w:r w:rsidRPr="00022D33">
              <w:rPr>
                <w:spacing w:val="-1"/>
              </w:rPr>
              <w:t>30,385</w:t>
            </w:r>
          </w:p>
        </w:tc>
      </w:tr>
    </w:tbl>
    <w:p w:rsidR="00617CB0" w:rsidRPr="00022D33" w:rsidRDefault="00617CB0" w:rsidP="00617CB0">
      <w:pPr>
        <w:pStyle w:val="Heading3"/>
      </w:pPr>
      <w:r w:rsidRPr="00022D33">
        <w:t>Note 28. Impairment of assets</w:t>
      </w:r>
    </w:p>
    <w:p w:rsidR="00617CB0" w:rsidRPr="00022D33" w:rsidRDefault="00617CB0" w:rsidP="00617CB0">
      <w:pPr>
        <w:pStyle w:val="BodyText"/>
      </w:pPr>
      <w:r w:rsidRPr="00022D33">
        <w:t>There were no indications of impairment to property, plant, equipment, motor vehicles or intangible assets at 30 June 2016.</w:t>
      </w:r>
    </w:p>
    <w:p w:rsidR="00617CB0" w:rsidRPr="00022D33" w:rsidRDefault="00617CB0" w:rsidP="00617CB0">
      <w:pPr>
        <w:pStyle w:val="BodyText"/>
      </w:pPr>
      <w:r w:rsidRPr="00022D33">
        <w:t>The Department held no goodwill or intangible assets with an indefinite useful life during the reporting period. At the end of the reporting period there were no intangible assets not yet available for use.</w:t>
      </w:r>
    </w:p>
    <w:p w:rsidR="00617CB0" w:rsidRPr="00022D33" w:rsidRDefault="00617CB0" w:rsidP="00617CB0">
      <w:pPr>
        <w:pStyle w:val="Heading3"/>
      </w:pPr>
      <w:r w:rsidRPr="00022D33">
        <w:rPr>
          <w:spacing w:val="-1"/>
        </w:rPr>
        <w:t>Note</w:t>
      </w:r>
      <w:r w:rsidRPr="00022D33">
        <w:t xml:space="preserve"> 29. Payables</w:t>
      </w:r>
    </w:p>
    <w:p w:rsidR="00617CB0" w:rsidRPr="00022D33" w:rsidRDefault="00196F4C" w:rsidP="00617CB0">
      <w:pPr>
        <w:pStyle w:val="Caption"/>
        <w:keepNext/>
        <w:spacing w:after="60"/>
        <w:rPr>
          <w:noProof/>
        </w:rPr>
      </w:pPr>
      <w:fldSimple w:instr=" SEQ Table \* ARABIC ">
        <w:r w:rsidR="00D8778B">
          <w:rPr>
            <w:noProof/>
          </w:rPr>
          <w:t>36</w:t>
        </w:r>
      </w:fldSimple>
      <w:r w:rsidR="00617CB0" w:rsidRPr="00022D33">
        <w:rPr>
          <w:noProof/>
        </w:rPr>
        <w:t xml:space="preserve"> Payables</w:t>
      </w:r>
    </w:p>
    <w:tbl>
      <w:tblPr>
        <w:tblW w:w="0" w:type="auto"/>
        <w:tblLook w:val="04A0" w:firstRow="1" w:lastRow="0" w:firstColumn="1" w:lastColumn="0" w:noHBand="0" w:noVBand="1"/>
      </w:tblPr>
      <w:tblGrid>
        <w:gridCol w:w="5629"/>
        <w:gridCol w:w="1474"/>
        <w:gridCol w:w="1474"/>
      </w:tblGrid>
      <w:tr w:rsidR="00617CB0" w:rsidRPr="00022D33" w:rsidTr="000D7011">
        <w:tc>
          <w:tcPr>
            <w:tcW w:w="5629" w:type="dxa"/>
            <w:shd w:val="clear" w:color="auto" w:fill="auto"/>
          </w:tcPr>
          <w:p w:rsidR="00617CB0" w:rsidRPr="00022D33" w:rsidRDefault="00617CB0" w:rsidP="000D7011">
            <w:pPr>
              <w:pStyle w:val="Tabletext"/>
            </w:pPr>
          </w:p>
        </w:tc>
        <w:tc>
          <w:tcPr>
            <w:tcW w:w="1474" w:type="dxa"/>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shd w:val="clear" w:color="auto" w:fill="auto"/>
          </w:tcPr>
          <w:p w:rsidR="00617CB0" w:rsidRPr="00022D33" w:rsidRDefault="00617CB0" w:rsidP="000D7011">
            <w:pPr>
              <w:pStyle w:val="Tabletext"/>
              <w:rPr>
                <w:u w:val="single"/>
              </w:rPr>
            </w:pPr>
            <w:r w:rsidRPr="00022D33">
              <w:rPr>
                <w:u w:val="single"/>
              </w:rPr>
              <w:t>Current</w:t>
            </w:r>
          </w:p>
        </w:tc>
        <w:tc>
          <w:tcPr>
            <w:tcW w:w="1474" w:type="dxa"/>
          </w:tcPr>
          <w:p w:rsidR="00617CB0" w:rsidRPr="00022D33" w:rsidRDefault="00617CB0" w:rsidP="000D7011">
            <w:pPr>
              <w:pStyle w:val="Tabletext"/>
              <w:jc w:val="right"/>
            </w:pPr>
          </w:p>
        </w:tc>
        <w:tc>
          <w:tcPr>
            <w:tcW w:w="1474" w:type="dxa"/>
            <w:shd w:val="clear" w:color="auto" w:fill="auto"/>
          </w:tcPr>
          <w:p w:rsidR="00617CB0" w:rsidRPr="00022D33" w:rsidRDefault="00617CB0" w:rsidP="000D7011">
            <w:pPr>
              <w:pStyle w:val="Tabletext"/>
              <w:jc w:val="right"/>
            </w:pPr>
          </w:p>
        </w:tc>
      </w:tr>
      <w:tr w:rsidR="00617CB0" w:rsidRPr="00022D33" w:rsidTr="000D7011">
        <w:tc>
          <w:tcPr>
            <w:tcW w:w="5629" w:type="dxa"/>
            <w:shd w:val="clear" w:color="auto" w:fill="auto"/>
          </w:tcPr>
          <w:p w:rsidR="00617CB0" w:rsidRPr="00022D33" w:rsidRDefault="00617CB0" w:rsidP="000D7011">
            <w:pPr>
              <w:pStyle w:val="Tabletext"/>
            </w:pPr>
            <w:r w:rsidRPr="00022D33">
              <w:t xml:space="preserve">Trade payables </w:t>
            </w:r>
          </w:p>
        </w:tc>
        <w:tc>
          <w:tcPr>
            <w:tcW w:w="1474" w:type="dxa"/>
          </w:tcPr>
          <w:p w:rsidR="00617CB0" w:rsidRPr="00022D33" w:rsidRDefault="00617CB0" w:rsidP="000D7011">
            <w:pPr>
              <w:pStyle w:val="Tabletext"/>
              <w:jc w:val="right"/>
            </w:pPr>
            <w:r w:rsidRPr="00022D33">
              <w:t>1,344</w:t>
            </w:r>
          </w:p>
        </w:tc>
        <w:tc>
          <w:tcPr>
            <w:tcW w:w="1474" w:type="dxa"/>
            <w:shd w:val="clear" w:color="auto" w:fill="auto"/>
          </w:tcPr>
          <w:p w:rsidR="00617CB0" w:rsidRPr="00022D33" w:rsidRDefault="00617CB0" w:rsidP="000D7011">
            <w:pPr>
              <w:pStyle w:val="Tabletext"/>
              <w:jc w:val="right"/>
            </w:pPr>
            <w:r w:rsidRPr="00022D33">
              <w:t>2,404</w:t>
            </w:r>
          </w:p>
        </w:tc>
      </w:tr>
      <w:tr w:rsidR="00617CB0" w:rsidRPr="00022D33" w:rsidTr="000D7011">
        <w:tc>
          <w:tcPr>
            <w:tcW w:w="5629" w:type="dxa"/>
            <w:shd w:val="clear" w:color="auto" w:fill="auto"/>
          </w:tcPr>
          <w:p w:rsidR="00617CB0" w:rsidRPr="00022D33" w:rsidRDefault="00617CB0" w:rsidP="000D7011">
            <w:pPr>
              <w:pStyle w:val="Tabletext"/>
            </w:pPr>
            <w:r w:rsidRPr="00022D33">
              <w:t>GST payable</w:t>
            </w:r>
          </w:p>
        </w:tc>
        <w:tc>
          <w:tcPr>
            <w:tcW w:w="1474" w:type="dxa"/>
          </w:tcPr>
          <w:p w:rsidR="00617CB0" w:rsidRPr="00022D33" w:rsidRDefault="00617CB0" w:rsidP="000D7011">
            <w:pPr>
              <w:pStyle w:val="Tabletext"/>
              <w:jc w:val="right"/>
            </w:pPr>
            <w:r w:rsidRPr="00022D33">
              <w:t>1,386</w:t>
            </w:r>
          </w:p>
        </w:tc>
        <w:tc>
          <w:tcPr>
            <w:tcW w:w="1474" w:type="dxa"/>
            <w:shd w:val="clear" w:color="auto" w:fill="auto"/>
          </w:tcPr>
          <w:p w:rsidR="00617CB0" w:rsidRPr="00022D33" w:rsidRDefault="00617CB0" w:rsidP="000D7011">
            <w:pPr>
              <w:pStyle w:val="Tabletext"/>
              <w:jc w:val="right"/>
            </w:pPr>
          </w:p>
        </w:tc>
      </w:tr>
      <w:tr w:rsidR="00617CB0" w:rsidRPr="00022D33" w:rsidTr="000D7011">
        <w:tc>
          <w:tcPr>
            <w:tcW w:w="5629" w:type="dxa"/>
            <w:shd w:val="clear" w:color="auto" w:fill="auto"/>
          </w:tcPr>
          <w:p w:rsidR="00617CB0" w:rsidRPr="00022D33" w:rsidRDefault="00617CB0" w:rsidP="000D7011">
            <w:pPr>
              <w:pStyle w:val="Tabletext"/>
            </w:pPr>
            <w:r w:rsidRPr="00022D33">
              <w:t xml:space="preserve">Accrued salaries </w:t>
            </w:r>
          </w:p>
        </w:tc>
        <w:tc>
          <w:tcPr>
            <w:tcW w:w="1474" w:type="dxa"/>
          </w:tcPr>
          <w:p w:rsidR="00617CB0" w:rsidRPr="00022D33" w:rsidRDefault="00617CB0" w:rsidP="000D7011">
            <w:pPr>
              <w:pStyle w:val="Tabletext"/>
              <w:jc w:val="right"/>
            </w:pPr>
            <w:r w:rsidRPr="00022D33">
              <w:t>439</w:t>
            </w:r>
          </w:p>
        </w:tc>
        <w:tc>
          <w:tcPr>
            <w:tcW w:w="1474" w:type="dxa"/>
            <w:shd w:val="clear" w:color="auto" w:fill="auto"/>
          </w:tcPr>
          <w:p w:rsidR="00617CB0" w:rsidRPr="00022D33" w:rsidRDefault="00617CB0" w:rsidP="000D7011">
            <w:pPr>
              <w:pStyle w:val="Tabletext"/>
              <w:jc w:val="right"/>
            </w:pPr>
            <w:r w:rsidRPr="00022D33">
              <w:t>4,218</w:t>
            </w:r>
          </w:p>
        </w:tc>
      </w:tr>
      <w:tr w:rsidR="00617CB0" w:rsidRPr="00022D33" w:rsidTr="000D7011">
        <w:tc>
          <w:tcPr>
            <w:tcW w:w="5629" w:type="dxa"/>
            <w:shd w:val="clear" w:color="auto" w:fill="auto"/>
          </w:tcPr>
          <w:p w:rsidR="00617CB0" w:rsidRPr="00022D33" w:rsidRDefault="00617CB0" w:rsidP="000D7011">
            <w:pPr>
              <w:pStyle w:val="Tabletext"/>
            </w:pPr>
            <w:r w:rsidRPr="00022D33">
              <w:t xml:space="preserve">Accrued expenses </w:t>
            </w:r>
          </w:p>
        </w:tc>
        <w:tc>
          <w:tcPr>
            <w:tcW w:w="1474" w:type="dxa"/>
          </w:tcPr>
          <w:p w:rsidR="00617CB0" w:rsidRPr="00022D33" w:rsidRDefault="00617CB0" w:rsidP="000D7011">
            <w:pPr>
              <w:pStyle w:val="Tabletext"/>
              <w:jc w:val="right"/>
            </w:pPr>
            <w:r w:rsidRPr="00022D33">
              <w:t>67,181</w:t>
            </w:r>
          </w:p>
        </w:tc>
        <w:tc>
          <w:tcPr>
            <w:tcW w:w="1474" w:type="dxa"/>
            <w:shd w:val="clear" w:color="auto" w:fill="auto"/>
          </w:tcPr>
          <w:p w:rsidR="00617CB0" w:rsidRPr="00022D33" w:rsidRDefault="00617CB0" w:rsidP="000D7011">
            <w:pPr>
              <w:pStyle w:val="Tabletext"/>
              <w:jc w:val="right"/>
            </w:pPr>
            <w:r w:rsidRPr="00022D33">
              <w:t>61,951</w:t>
            </w:r>
          </w:p>
        </w:tc>
      </w:tr>
      <w:tr w:rsidR="00617CB0" w:rsidRPr="00022D33" w:rsidTr="000D7011">
        <w:tc>
          <w:tcPr>
            <w:tcW w:w="5629" w:type="dxa"/>
            <w:shd w:val="clear" w:color="auto" w:fill="auto"/>
          </w:tcPr>
          <w:p w:rsidR="00617CB0" w:rsidRPr="00022D33" w:rsidRDefault="00617CB0" w:rsidP="000D7011">
            <w:pPr>
              <w:pStyle w:val="Tabletext"/>
            </w:pPr>
            <w:r w:rsidRPr="00022D33">
              <w:t>Unearned revenue</w:t>
            </w:r>
          </w:p>
        </w:tc>
        <w:tc>
          <w:tcPr>
            <w:tcW w:w="1474" w:type="dxa"/>
          </w:tcPr>
          <w:p w:rsidR="00617CB0" w:rsidRPr="00022D33" w:rsidRDefault="00617CB0" w:rsidP="000D7011">
            <w:pPr>
              <w:pStyle w:val="Tabletext"/>
              <w:jc w:val="right"/>
            </w:pPr>
            <w:r w:rsidRPr="00022D33">
              <w:t>26,996</w:t>
            </w:r>
          </w:p>
        </w:tc>
        <w:tc>
          <w:tcPr>
            <w:tcW w:w="1474" w:type="dxa"/>
            <w:shd w:val="clear" w:color="auto" w:fill="auto"/>
          </w:tcPr>
          <w:p w:rsidR="00617CB0" w:rsidRPr="00022D33" w:rsidRDefault="00617CB0" w:rsidP="000D7011">
            <w:pPr>
              <w:pStyle w:val="Tabletext"/>
              <w:jc w:val="right"/>
            </w:pPr>
            <w:r w:rsidRPr="00022D33">
              <w:t>19,996</w:t>
            </w:r>
          </w:p>
        </w:tc>
      </w:tr>
      <w:tr w:rsidR="00617CB0" w:rsidRPr="00022D33" w:rsidTr="000D7011">
        <w:tc>
          <w:tcPr>
            <w:tcW w:w="5629" w:type="dxa"/>
            <w:shd w:val="clear" w:color="auto" w:fill="auto"/>
          </w:tcPr>
          <w:p w:rsidR="00617CB0" w:rsidRPr="00022D33" w:rsidRDefault="00617CB0" w:rsidP="000D7011">
            <w:pPr>
              <w:pStyle w:val="Tabletext"/>
            </w:pPr>
            <w:r w:rsidRPr="00022D33">
              <w:t>Interest - Western Australia Treasury Corporation</w:t>
            </w:r>
          </w:p>
        </w:tc>
        <w:tc>
          <w:tcPr>
            <w:tcW w:w="1474" w:type="dxa"/>
          </w:tcPr>
          <w:p w:rsidR="00617CB0" w:rsidRPr="00022D33" w:rsidRDefault="00617CB0" w:rsidP="000D7011">
            <w:pPr>
              <w:pStyle w:val="Tabletext"/>
              <w:jc w:val="right"/>
            </w:pPr>
            <w:r w:rsidRPr="00022D33">
              <w:t>92</w:t>
            </w:r>
          </w:p>
        </w:tc>
        <w:tc>
          <w:tcPr>
            <w:tcW w:w="1474" w:type="dxa"/>
            <w:shd w:val="clear" w:color="auto" w:fill="auto"/>
          </w:tcPr>
          <w:p w:rsidR="00617CB0" w:rsidRPr="00022D33" w:rsidRDefault="00617CB0" w:rsidP="000D7011">
            <w:pPr>
              <w:pStyle w:val="Tabletext"/>
              <w:jc w:val="right"/>
            </w:pPr>
            <w:r w:rsidRPr="00022D33">
              <w:t>135</w:t>
            </w:r>
          </w:p>
        </w:tc>
      </w:tr>
      <w:tr w:rsidR="00617CB0" w:rsidRPr="00022D33" w:rsidTr="000D7011">
        <w:tc>
          <w:tcPr>
            <w:tcW w:w="5629" w:type="dxa"/>
            <w:shd w:val="clear" w:color="auto" w:fill="auto"/>
          </w:tcPr>
          <w:p w:rsidR="00617CB0" w:rsidRPr="00022D33" w:rsidRDefault="00617CB0" w:rsidP="000D7011">
            <w:pPr>
              <w:pStyle w:val="Tabletext"/>
            </w:pPr>
            <w:r w:rsidRPr="00022D33">
              <w:t>Other</w:t>
            </w:r>
          </w:p>
        </w:tc>
        <w:tc>
          <w:tcPr>
            <w:tcW w:w="1474" w:type="dxa"/>
            <w:tcBorders>
              <w:bottom w:val="single" w:sz="4" w:space="0" w:color="auto"/>
            </w:tcBorders>
          </w:tcPr>
          <w:p w:rsidR="00617CB0" w:rsidRPr="00022D33" w:rsidRDefault="00617CB0" w:rsidP="000D7011">
            <w:pPr>
              <w:pStyle w:val="Tabletext"/>
              <w:jc w:val="right"/>
            </w:pPr>
            <w:r w:rsidRPr="00022D33">
              <w:t>994</w:t>
            </w:r>
          </w:p>
        </w:tc>
        <w:tc>
          <w:tcPr>
            <w:tcW w:w="1474" w:type="dxa"/>
            <w:tcBorders>
              <w:bottom w:val="single" w:sz="4" w:space="0" w:color="auto"/>
            </w:tcBorders>
            <w:shd w:val="clear" w:color="auto" w:fill="auto"/>
          </w:tcPr>
          <w:p w:rsidR="00617CB0" w:rsidRPr="00022D33" w:rsidRDefault="00617CB0" w:rsidP="000D7011">
            <w:pPr>
              <w:pStyle w:val="Tabletext"/>
              <w:jc w:val="right"/>
            </w:pPr>
            <w:r w:rsidRPr="00022D33">
              <w:t>541</w:t>
            </w:r>
          </w:p>
        </w:tc>
      </w:tr>
      <w:tr w:rsidR="00617CB0" w:rsidRPr="00022D33" w:rsidTr="000D7011">
        <w:tc>
          <w:tcPr>
            <w:tcW w:w="5629" w:type="dxa"/>
            <w:shd w:val="clear" w:color="auto" w:fill="auto"/>
          </w:tcPr>
          <w:p w:rsidR="00617CB0" w:rsidRPr="00022D33" w:rsidRDefault="00617CB0" w:rsidP="000D7011">
            <w:pPr>
              <w:pStyle w:val="Tabletext"/>
            </w:pPr>
          </w:p>
        </w:tc>
        <w:tc>
          <w:tcPr>
            <w:tcW w:w="1474" w:type="dxa"/>
            <w:tcBorders>
              <w:top w:val="single" w:sz="4" w:space="0" w:color="auto"/>
              <w:bottom w:val="single" w:sz="4" w:space="0" w:color="auto"/>
            </w:tcBorders>
          </w:tcPr>
          <w:p w:rsidR="00617CB0" w:rsidRPr="00022D33" w:rsidRDefault="00617CB0" w:rsidP="000D7011">
            <w:pPr>
              <w:pStyle w:val="Tabletext"/>
              <w:jc w:val="right"/>
            </w:pPr>
            <w:r w:rsidRPr="00022D33">
              <w:t>98,432</w:t>
            </w:r>
          </w:p>
        </w:tc>
        <w:tc>
          <w:tcPr>
            <w:tcW w:w="1474" w:type="dxa"/>
            <w:tcBorders>
              <w:top w:val="single" w:sz="4" w:space="0" w:color="auto"/>
              <w:bottom w:val="single" w:sz="4" w:space="0" w:color="auto"/>
            </w:tcBorders>
            <w:shd w:val="clear" w:color="auto" w:fill="auto"/>
          </w:tcPr>
          <w:p w:rsidR="00617CB0" w:rsidRPr="00022D33" w:rsidRDefault="00617CB0" w:rsidP="000D7011">
            <w:pPr>
              <w:pStyle w:val="Tabletext"/>
              <w:jc w:val="right"/>
            </w:pPr>
            <w:r w:rsidRPr="00022D33">
              <w:t>89,245</w:t>
            </w:r>
          </w:p>
        </w:tc>
      </w:tr>
      <w:tr w:rsidR="00617CB0" w:rsidRPr="00022D33" w:rsidTr="000D7011">
        <w:tc>
          <w:tcPr>
            <w:tcW w:w="5629" w:type="dxa"/>
            <w:shd w:val="clear" w:color="auto" w:fill="auto"/>
          </w:tcPr>
          <w:p w:rsidR="00617CB0" w:rsidRPr="00022D33" w:rsidRDefault="00617CB0" w:rsidP="000D7011">
            <w:pPr>
              <w:pStyle w:val="Tabletext"/>
            </w:pPr>
            <w:r w:rsidRPr="00022D33">
              <w:t xml:space="preserve">Overbillings </w:t>
            </w:r>
            <w:r w:rsidRPr="00022D33">
              <w:rPr>
                <w:vertAlign w:val="superscript"/>
              </w:rPr>
              <w:t>(a)</w:t>
            </w:r>
          </w:p>
        </w:tc>
        <w:tc>
          <w:tcPr>
            <w:tcW w:w="1474" w:type="dxa"/>
            <w:tcBorders>
              <w:top w:val="single" w:sz="4" w:space="0" w:color="auto"/>
              <w:bottom w:val="single" w:sz="4" w:space="0" w:color="auto"/>
            </w:tcBorders>
          </w:tcPr>
          <w:p w:rsidR="00617CB0" w:rsidRPr="00022D33" w:rsidRDefault="00617CB0" w:rsidP="000D7011">
            <w:pPr>
              <w:pStyle w:val="Tabletext"/>
              <w:jc w:val="right"/>
            </w:pPr>
            <w:r w:rsidRPr="00022D33">
              <w:t>203,405</w:t>
            </w:r>
          </w:p>
        </w:tc>
        <w:tc>
          <w:tcPr>
            <w:tcW w:w="1474" w:type="dxa"/>
            <w:tcBorders>
              <w:top w:val="single" w:sz="4" w:space="0" w:color="auto"/>
              <w:bottom w:val="single" w:sz="4" w:space="0" w:color="auto"/>
            </w:tcBorders>
            <w:shd w:val="clear" w:color="auto" w:fill="auto"/>
          </w:tcPr>
          <w:p w:rsidR="00617CB0" w:rsidRPr="00022D33" w:rsidRDefault="00617CB0" w:rsidP="000D7011">
            <w:pPr>
              <w:pStyle w:val="Tabletext"/>
              <w:jc w:val="right"/>
            </w:pPr>
            <w:r w:rsidRPr="00022D33">
              <w:t>226,813</w:t>
            </w:r>
          </w:p>
        </w:tc>
      </w:tr>
      <w:tr w:rsidR="00617CB0" w:rsidRPr="00022D33" w:rsidTr="000D7011">
        <w:tc>
          <w:tcPr>
            <w:tcW w:w="5629" w:type="dxa"/>
            <w:shd w:val="clear" w:color="auto" w:fill="auto"/>
          </w:tcPr>
          <w:p w:rsidR="00617CB0" w:rsidRPr="00022D33" w:rsidRDefault="00617CB0" w:rsidP="000D7011">
            <w:pPr>
              <w:pStyle w:val="Tableboldedtext"/>
            </w:pPr>
            <w:r w:rsidRPr="00022D33">
              <w:t>Total payables</w:t>
            </w:r>
          </w:p>
        </w:tc>
        <w:tc>
          <w:tcPr>
            <w:tcW w:w="1474" w:type="dxa"/>
            <w:tcBorders>
              <w:top w:val="single" w:sz="4" w:space="0" w:color="auto"/>
              <w:bottom w:val="double" w:sz="4" w:space="0" w:color="auto"/>
            </w:tcBorders>
          </w:tcPr>
          <w:p w:rsidR="00617CB0" w:rsidRPr="00022D33" w:rsidRDefault="00617CB0" w:rsidP="000D7011">
            <w:pPr>
              <w:pStyle w:val="Tableboldedtext"/>
              <w:jc w:val="right"/>
            </w:pPr>
            <w:r w:rsidRPr="00022D33">
              <w:t>301,837</w:t>
            </w:r>
          </w:p>
        </w:tc>
        <w:tc>
          <w:tcPr>
            <w:tcW w:w="1474"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316,057</w:t>
            </w:r>
          </w:p>
        </w:tc>
      </w:tr>
    </w:tbl>
    <w:p w:rsidR="00617CB0" w:rsidRPr="00022D33" w:rsidRDefault="00617CB0" w:rsidP="00617CB0">
      <w:pPr>
        <w:pStyle w:val="BodyText"/>
        <w:rPr>
          <w:sz w:val="20"/>
          <w:szCs w:val="20"/>
        </w:rPr>
      </w:pPr>
      <w:r w:rsidRPr="00022D33">
        <w:rPr>
          <w:sz w:val="20"/>
          <w:szCs w:val="20"/>
        </w:rPr>
        <w:t>(a) Billings to clients less contract costs incurred.</w:t>
      </w:r>
    </w:p>
    <w:p w:rsidR="00617CB0" w:rsidRDefault="00617CB0" w:rsidP="00617CB0">
      <w:pPr>
        <w:pStyle w:val="Heading3"/>
        <w:sectPr w:rsidR="00617CB0" w:rsidSect="005F3639">
          <w:pgSz w:w="11906" w:h="16838" w:code="9"/>
          <w:pgMar w:top="1440" w:right="1440" w:bottom="1276" w:left="1440" w:header="0" w:footer="709" w:gutter="0"/>
          <w:cols w:space="708"/>
          <w:docGrid w:linePitch="360"/>
        </w:sectPr>
      </w:pPr>
    </w:p>
    <w:p w:rsidR="00617CB0" w:rsidRPr="00022D33" w:rsidRDefault="00617CB0" w:rsidP="00617CB0">
      <w:pPr>
        <w:pStyle w:val="Heading3"/>
      </w:pPr>
      <w:r w:rsidRPr="00022D33">
        <w:t>Note 30. Borrowings</w:t>
      </w:r>
    </w:p>
    <w:p w:rsidR="00617CB0" w:rsidRPr="00022D33" w:rsidRDefault="00196F4C" w:rsidP="00617CB0">
      <w:pPr>
        <w:pStyle w:val="Caption"/>
        <w:keepNext/>
        <w:spacing w:after="60"/>
        <w:rPr>
          <w:noProof/>
        </w:rPr>
      </w:pPr>
      <w:fldSimple w:instr=" SEQ Table \* ARABIC ">
        <w:r w:rsidR="00D8778B">
          <w:rPr>
            <w:noProof/>
          </w:rPr>
          <w:t>37</w:t>
        </w:r>
      </w:fldSimple>
      <w:r w:rsidR="00617CB0" w:rsidRPr="00022D33">
        <w:rPr>
          <w:noProof/>
        </w:rPr>
        <w:t xml:space="preserve"> Borrowings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bookmarkStart w:id="10" w:name="Note_31._Provisions"/>
            <w:bookmarkEnd w:id="10"/>
          </w:p>
        </w:tc>
        <w:tc>
          <w:tcPr>
            <w:tcW w:w="1474" w:type="dxa"/>
            <w:tcBorders>
              <w:top w:val="nil"/>
              <w:left w:val="nil"/>
              <w:bottom w:val="nil"/>
              <w:right w:val="nil"/>
            </w:tcBorders>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Current</w:t>
            </w:r>
          </w:p>
        </w:tc>
        <w:tc>
          <w:tcPr>
            <w:tcW w:w="1474" w:type="dxa"/>
            <w:tcBorders>
              <w:top w:val="nil"/>
              <w:left w:val="nil"/>
              <w:bottom w:val="nil"/>
              <w:right w:val="nil"/>
            </w:tcBorders>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WATC - Western Australia Treasury Corporation</w:t>
            </w:r>
          </w:p>
        </w:tc>
        <w:tc>
          <w:tcPr>
            <w:tcW w:w="1474" w:type="dxa"/>
            <w:tcBorders>
              <w:top w:val="nil"/>
              <w:left w:val="nil"/>
              <w:bottom w:val="nil"/>
              <w:right w:val="nil"/>
            </w:tcBorders>
          </w:tcPr>
          <w:p w:rsidR="00617CB0" w:rsidRPr="00022D33" w:rsidRDefault="00617CB0" w:rsidP="000D7011">
            <w:pPr>
              <w:pStyle w:val="Tabletext"/>
              <w:jc w:val="right"/>
            </w:pPr>
            <w:r w:rsidRPr="00022D33">
              <w:t>24,881</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34,188</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Heritage Maintenance Payments</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5,421</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rPr>
                <w:w w:val="95"/>
              </w:rPr>
            </w:pPr>
            <w:r w:rsidRPr="00022D33">
              <w:t>5,225</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single" w:sz="4" w:space="0" w:color="auto"/>
              <w:left w:val="nil"/>
              <w:bottom w:val="single" w:sz="4" w:space="0" w:color="auto"/>
              <w:right w:val="nil"/>
            </w:tcBorders>
          </w:tcPr>
          <w:p w:rsidR="00617CB0" w:rsidRPr="00022D33" w:rsidRDefault="00617CB0" w:rsidP="000D7011">
            <w:pPr>
              <w:pStyle w:val="Tableboldedtext"/>
              <w:jc w:val="right"/>
            </w:pPr>
            <w:r w:rsidRPr="00022D33">
              <w:t>30,302</w:t>
            </w:r>
          </w:p>
        </w:tc>
        <w:tc>
          <w:tcPr>
            <w:tcW w:w="1474"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39,413</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Non-current</w:t>
            </w:r>
          </w:p>
        </w:tc>
        <w:tc>
          <w:tcPr>
            <w:tcW w:w="1474" w:type="dxa"/>
            <w:tcBorders>
              <w:top w:val="nil"/>
              <w:left w:val="nil"/>
              <w:bottom w:val="nil"/>
              <w:right w:val="nil"/>
            </w:tcBorders>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WATC</w:t>
            </w:r>
          </w:p>
        </w:tc>
        <w:tc>
          <w:tcPr>
            <w:tcW w:w="1474" w:type="dxa"/>
            <w:tcBorders>
              <w:top w:val="nil"/>
              <w:left w:val="nil"/>
              <w:bottom w:val="nil"/>
              <w:right w:val="nil"/>
            </w:tcBorders>
          </w:tcPr>
          <w:p w:rsidR="00617CB0" w:rsidRPr="00022D33" w:rsidRDefault="00617CB0" w:rsidP="000D7011">
            <w:pPr>
              <w:pStyle w:val="Tabletext"/>
              <w:jc w:val="right"/>
            </w:pPr>
            <w:r w:rsidRPr="00022D33">
              <w:t>50,355</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57,128</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Heritage Maintenance Payments</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47,659</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rPr>
                <w:w w:val="95"/>
              </w:rPr>
            </w:pPr>
            <w:r w:rsidRPr="00022D33">
              <w:t>46,553</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single" w:sz="4" w:space="0" w:color="auto"/>
              <w:left w:val="nil"/>
              <w:bottom w:val="single" w:sz="4" w:space="0" w:color="auto"/>
              <w:right w:val="nil"/>
            </w:tcBorders>
          </w:tcPr>
          <w:p w:rsidR="00617CB0" w:rsidRPr="00022D33" w:rsidRDefault="00617CB0" w:rsidP="000D7011">
            <w:pPr>
              <w:pStyle w:val="Tabletext"/>
              <w:jc w:val="right"/>
            </w:pPr>
            <w:r w:rsidRPr="00022D33">
              <w:t>98,014</w:t>
            </w:r>
          </w:p>
        </w:tc>
        <w:tc>
          <w:tcPr>
            <w:tcW w:w="1474"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pPr>
            <w:r w:rsidRPr="00022D33">
              <w:t>103,681</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r w:rsidRPr="00022D33">
              <w:t>Total borrowings</w:t>
            </w:r>
          </w:p>
        </w:tc>
        <w:tc>
          <w:tcPr>
            <w:tcW w:w="1474" w:type="dxa"/>
            <w:tcBorders>
              <w:top w:val="single" w:sz="4" w:space="0" w:color="auto"/>
              <w:left w:val="nil"/>
              <w:bottom w:val="double" w:sz="4" w:space="0" w:color="auto"/>
              <w:right w:val="nil"/>
            </w:tcBorders>
          </w:tcPr>
          <w:p w:rsidR="00617CB0" w:rsidRPr="00022D33" w:rsidRDefault="00617CB0" w:rsidP="000D7011">
            <w:pPr>
              <w:pStyle w:val="Tableboldedtext"/>
              <w:jc w:val="right"/>
            </w:pPr>
            <w:r w:rsidRPr="00022D33">
              <w:t>128,316</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143,094</w:t>
            </w:r>
          </w:p>
        </w:tc>
      </w:tr>
    </w:tbl>
    <w:p w:rsidR="00617CB0" w:rsidRPr="00022D33" w:rsidRDefault="00617CB0" w:rsidP="00617CB0">
      <w:pPr>
        <w:pStyle w:val="Heading3"/>
      </w:pPr>
      <w:r w:rsidRPr="00022D33">
        <w:t>Note 31. Provisions</w:t>
      </w:r>
    </w:p>
    <w:p w:rsidR="00617CB0" w:rsidRPr="00022D33" w:rsidRDefault="00196F4C" w:rsidP="00617CB0">
      <w:pPr>
        <w:pStyle w:val="Caption"/>
        <w:keepNext/>
        <w:spacing w:after="60"/>
        <w:rPr>
          <w:noProof/>
        </w:rPr>
      </w:pPr>
      <w:fldSimple w:instr=" SEQ Table \* ARABIC ">
        <w:r w:rsidR="00D8778B">
          <w:rPr>
            <w:noProof/>
          </w:rPr>
          <w:t>38</w:t>
        </w:r>
      </w:fldSimple>
      <w:r w:rsidR="00617CB0" w:rsidRPr="00022D33">
        <w:rPr>
          <w:noProof/>
        </w:rPr>
        <w:t xml:space="preserve"> Provisions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tcPr>
          <w:p w:rsidR="00617CB0" w:rsidRPr="00022D33" w:rsidRDefault="00617CB0" w:rsidP="000D7011">
            <w:pPr>
              <w:pStyle w:val="Tableboldedtext"/>
              <w:jc w:val="right"/>
            </w:pPr>
            <w:r w:rsidRPr="00022D33">
              <w:t>201</w:t>
            </w:r>
            <w:r>
              <w:t>6</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Current</w:t>
            </w:r>
          </w:p>
        </w:tc>
        <w:tc>
          <w:tcPr>
            <w:tcW w:w="1474" w:type="dxa"/>
            <w:tcBorders>
              <w:top w:val="nil"/>
              <w:left w:val="nil"/>
              <w:bottom w:val="nil"/>
              <w:right w:val="nil"/>
            </w:tcBorders>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Employee benefits provision</w:t>
            </w:r>
          </w:p>
        </w:tc>
        <w:tc>
          <w:tcPr>
            <w:tcW w:w="1474" w:type="dxa"/>
            <w:tcBorders>
              <w:top w:val="nil"/>
              <w:left w:val="nil"/>
              <w:bottom w:val="nil"/>
              <w:right w:val="nil"/>
            </w:tcBorders>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Annual leave </w:t>
            </w:r>
            <w:r w:rsidRPr="00022D33">
              <w:rPr>
                <w:vertAlign w:val="superscript"/>
              </w:rPr>
              <w:t>(a)</w:t>
            </w:r>
          </w:p>
        </w:tc>
        <w:tc>
          <w:tcPr>
            <w:tcW w:w="1474" w:type="dxa"/>
            <w:tcBorders>
              <w:top w:val="nil"/>
              <w:left w:val="nil"/>
              <w:bottom w:val="nil"/>
              <w:right w:val="nil"/>
            </w:tcBorders>
          </w:tcPr>
          <w:p w:rsidR="00617CB0" w:rsidRPr="00022D33" w:rsidRDefault="00617CB0" w:rsidP="000D7011">
            <w:pPr>
              <w:pStyle w:val="Tabletext"/>
              <w:jc w:val="right"/>
            </w:pPr>
            <w:r w:rsidRPr="00022D33">
              <w:t>10,410</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11,742</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Long service leave </w:t>
            </w:r>
            <w:r w:rsidRPr="00022D33">
              <w:rPr>
                <w:vertAlign w:val="superscript"/>
              </w:rPr>
              <w:t>(b)</w:t>
            </w:r>
          </w:p>
        </w:tc>
        <w:tc>
          <w:tcPr>
            <w:tcW w:w="1474" w:type="dxa"/>
            <w:tcBorders>
              <w:top w:val="nil"/>
              <w:left w:val="nil"/>
              <w:bottom w:val="nil"/>
              <w:right w:val="nil"/>
            </w:tcBorders>
          </w:tcPr>
          <w:p w:rsidR="00617CB0" w:rsidRPr="00022D33" w:rsidRDefault="00617CB0" w:rsidP="000D7011">
            <w:pPr>
              <w:pStyle w:val="Tabletext"/>
              <w:jc w:val="right"/>
            </w:pPr>
            <w:r w:rsidRPr="00022D33">
              <w:t>16,981</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18,080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Deferred salary scheme </w:t>
            </w:r>
            <w:r w:rsidRPr="00022D33">
              <w:rPr>
                <w:vertAlign w:val="superscript"/>
              </w:rPr>
              <w:t>(e)</w:t>
            </w:r>
          </w:p>
        </w:tc>
        <w:tc>
          <w:tcPr>
            <w:tcW w:w="1474" w:type="dxa"/>
            <w:tcBorders>
              <w:top w:val="nil"/>
              <w:left w:val="nil"/>
              <w:bottom w:val="nil"/>
              <w:right w:val="nil"/>
            </w:tcBorders>
          </w:tcPr>
          <w:p w:rsidR="00617CB0" w:rsidRPr="00022D33" w:rsidRDefault="00617CB0" w:rsidP="000D7011">
            <w:pPr>
              <w:pStyle w:val="Tabletext"/>
              <w:jc w:val="right"/>
            </w:pPr>
            <w:r w:rsidRPr="00022D33">
              <w:t>342</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223</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Purchased leave</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106</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101</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single" w:sz="4" w:space="0" w:color="auto"/>
              <w:left w:val="nil"/>
              <w:bottom w:val="single" w:sz="4" w:space="0" w:color="auto"/>
              <w:right w:val="nil"/>
            </w:tcBorders>
          </w:tcPr>
          <w:p w:rsidR="00617CB0" w:rsidRPr="00022D33" w:rsidRDefault="00617CB0" w:rsidP="000D7011">
            <w:pPr>
              <w:pStyle w:val="Tabletext"/>
              <w:jc w:val="right"/>
            </w:pPr>
            <w:r w:rsidRPr="00022D33">
              <w:t>27,839</w:t>
            </w:r>
          </w:p>
        </w:tc>
        <w:tc>
          <w:tcPr>
            <w:tcW w:w="1474"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pPr>
            <w:r w:rsidRPr="00022D33">
              <w:t>30,146</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Other provisions</w:t>
            </w:r>
          </w:p>
        </w:tc>
        <w:tc>
          <w:tcPr>
            <w:tcW w:w="1474" w:type="dxa"/>
            <w:tcBorders>
              <w:top w:val="nil"/>
              <w:left w:val="nil"/>
              <w:bottom w:val="nil"/>
              <w:right w:val="nil"/>
            </w:tcBorders>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Employment on-costs </w:t>
            </w:r>
            <w:r w:rsidRPr="00022D33">
              <w:rPr>
                <w:vertAlign w:val="superscript"/>
              </w:rPr>
              <w:t>(c)</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50</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54</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single" w:sz="4" w:space="0" w:color="auto"/>
              <w:left w:val="nil"/>
              <w:bottom w:val="single" w:sz="4" w:space="0" w:color="auto"/>
              <w:right w:val="nil"/>
            </w:tcBorders>
          </w:tcPr>
          <w:p w:rsidR="00617CB0" w:rsidRPr="00022D33" w:rsidRDefault="00617CB0" w:rsidP="000D7011">
            <w:pPr>
              <w:pStyle w:val="Tabletext"/>
              <w:jc w:val="right"/>
            </w:pPr>
            <w:r w:rsidRPr="00022D33">
              <w:t>50</w:t>
            </w:r>
          </w:p>
        </w:tc>
        <w:tc>
          <w:tcPr>
            <w:tcW w:w="1474"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pPr>
            <w:r w:rsidRPr="00022D33">
              <w:t>54</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r w:rsidRPr="00022D33">
              <w:t>Total current</w:t>
            </w:r>
          </w:p>
        </w:tc>
        <w:tc>
          <w:tcPr>
            <w:tcW w:w="1474" w:type="dxa"/>
            <w:tcBorders>
              <w:top w:val="single" w:sz="4" w:space="0" w:color="auto"/>
              <w:left w:val="nil"/>
              <w:bottom w:val="single" w:sz="4" w:space="0" w:color="auto"/>
              <w:right w:val="nil"/>
            </w:tcBorders>
          </w:tcPr>
          <w:p w:rsidR="00617CB0" w:rsidRPr="00022D33" w:rsidRDefault="00617CB0" w:rsidP="000D7011">
            <w:pPr>
              <w:pStyle w:val="Tableboldedtext"/>
              <w:jc w:val="right"/>
            </w:pPr>
            <w:r w:rsidRPr="00022D33">
              <w:t>27,889</w:t>
            </w:r>
          </w:p>
        </w:tc>
        <w:tc>
          <w:tcPr>
            <w:tcW w:w="1474"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30,200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Non-current</w:t>
            </w:r>
          </w:p>
        </w:tc>
        <w:tc>
          <w:tcPr>
            <w:tcW w:w="1474" w:type="dxa"/>
            <w:tcBorders>
              <w:top w:val="nil"/>
              <w:left w:val="nil"/>
              <w:bottom w:val="nil"/>
              <w:right w:val="nil"/>
            </w:tcBorders>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Employee benefits provision</w:t>
            </w:r>
          </w:p>
        </w:tc>
        <w:tc>
          <w:tcPr>
            <w:tcW w:w="1474" w:type="dxa"/>
            <w:tcBorders>
              <w:top w:val="nil"/>
              <w:left w:val="nil"/>
              <w:bottom w:val="nil"/>
              <w:right w:val="nil"/>
            </w:tcBorders>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Long service leave </w:t>
            </w:r>
            <w:r w:rsidRPr="00022D33">
              <w:rPr>
                <w:vertAlign w:val="superscript"/>
              </w:rPr>
              <w:t>(b)</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6,340</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6,714</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single" w:sz="4" w:space="0" w:color="auto"/>
              <w:left w:val="nil"/>
              <w:bottom w:val="single" w:sz="4" w:space="0" w:color="auto"/>
              <w:right w:val="nil"/>
            </w:tcBorders>
          </w:tcPr>
          <w:p w:rsidR="00617CB0" w:rsidRPr="00022D33" w:rsidRDefault="00617CB0" w:rsidP="000D7011">
            <w:pPr>
              <w:pStyle w:val="Tabletext"/>
              <w:jc w:val="right"/>
            </w:pPr>
            <w:r w:rsidRPr="00022D33">
              <w:t>6,340</w:t>
            </w:r>
          </w:p>
        </w:tc>
        <w:tc>
          <w:tcPr>
            <w:tcW w:w="1474"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pPr>
            <w:r w:rsidRPr="00022D33">
              <w:t>6,714</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Other provisions</w:t>
            </w:r>
          </w:p>
        </w:tc>
        <w:tc>
          <w:tcPr>
            <w:tcW w:w="1474" w:type="dxa"/>
            <w:tcBorders>
              <w:top w:val="nil"/>
              <w:left w:val="nil"/>
              <w:bottom w:val="nil"/>
              <w:right w:val="nil"/>
            </w:tcBorders>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Employment on-costs </w:t>
            </w:r>
            <w:r w:rsidRPr="00022D33">
              <w:rPr>
                <w:vertAlign w:val="superscript"/>
              </w:rPr>
              <w:t>(c)</w:t>
            </w:r>
          </w:p>
        </w:tc>
        <w:tc>
          <w:tcPr>
            <w:tcW w:w="1474" w:type="dxa"/>
            <w:tcBorders>
              <w:top w:val="nil"/>
              <w:left w:val="nil"/>
              <w:bottom w:val="nil"/>
              <w:right w:val="nil"/>
            </w:tcBorders>
          </w:tcPr>
          <w:p w:rsidR="00617CB0" w:rsidRPr="00022D33" w:rsidRDefault="00617CB0" w:rsidP="000D7011">
            <w:pPr>
              <w:pStyle w:val="Tabletext"/>
              <w:jc w:val="right"/>
            </w:pPr>
            <w:r w:rsidRPr="00022D33">
              <w:t>12</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12</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Restoration costs </w:t>
            </w:r>
            <w:r w:rsidRPr="00022D33">
              <w:rPr>
                <w:vertAlign w:val="superscript"/>
              </w:rPr>
              <w:t>(d)</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517</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523</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single" w:sz="4" w:space="0" w:color="auto"/>
              <w:left w:val="nil"/>
              <w:bottom w:val="single" w:sz="4" w:space="0" w:color="auto"/>
              <w:right w:val="nil"/>
            </w:tcBorders>
          </w:tcPr>
          <w:p w:rsidR="00617CB0" w:rsidRPr="00022D33" w:rsidRDefault="00617CB0" w:rsidP="000D7011">
            <w:pPr>
              <w:pStyle w:val="Tabletext"/>
              <w:jc w:val="right"/>
              <w:rPr>
                <w:w w:val="95"/>
              </w:rPr>
            </w:pPr>
            <w:r w:rsidRPr="00022D33">
              <w:rPr>
                <w:w w:val="95"/>
              </w:rPr>
              <w:t>529</w:t>
            </w:r>
          </w:p>
        </w:tc>
        <w:tc>
          <w:tcPr>
            <w:tcW w:w="1474"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pPr>
            <w:r w:rsidRPr="00022D33">
              <w:rPr>
                <w:w w:val="95"/>
              </w:rPr>
              <w:t>535</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p>
        </w:tc>
        <w:tc>
          <w:tcPr>
            <w:tcW w:w="1474" w:type="dxa"/>
            <w:tcBorders>
              <w:top w:val="single" w:sz="4" w:space="0" w:color="auto"/>
              <w:left w:val="nil"/>
              <w:bottom w:val="single" w:sz="4" w:space="0" w:color="auto"/>
              <w:right w:val="nil"/>
            </w:tcBorders>
          </w:tcPr>
          <w:p w:rsidR="00617CB0" w:rsidRPr="00022D33" w:rsidRDefault="00617CB0" w:rsidP="000D7011">
            <w:pPr>
              <w:pStyle w:val="Tableboldedtext"/>
              <w:jc w:val="right"/>
            </w:pPr>
            <w:r w:rsidRPr="00022D33">
              <w:t>6,869</w:t>
            </w:r>
          </w:p>
        </w:tc>
        <w:tc>
          <w:tcPr>
            <w:tcW w:w="1474"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7,250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single" w:sz="4" w:space="0" w:color="auto"/>
              <w:left w:val="nil"/>
              <w:bottom w:val="double" w:sz="4" w:space="0" w:color="auto"/>
              <w:right w:val="nil"/>
            </w:tcBorders>
          </w:tcPr>
          <w:p w:rsidR="00617CB0" w:rsidRPr="00022D33" w:rsidRDefault="00617CB0" w:rsidP="000D7011">
            <w:pPr>
              <w:pStyle w:val="Tableboldedtext"/>
              <w:jc w:val="right"/>
            </w:pPr>
            <w:r w:rsidRPr="00022D33">
              <w:t>34,758</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37,450</w:t>
            </w:r>
          </w:p>
        </w:tc>
      </w:tr>
    </w:tbl>
    <w:p w:rsidR="00617CB0" w:rsidRPr="00022D33" w:rsidRDefault="00617CB0" w:rsidP="000D7011">
      <w:pPr>
        <w:pStyle w:val="BodyText"/>
        <w:numPr>
          <w:ilvl w:val="0"/>
          <w:numId w:val="22"/>
        </w:numPr>
        <w:rPr>
          <w:sz w:val="20"/>
          <w:szCs w:val="20"/>
        </w:rPr>
      </w:pPr>
      <w:r w:rsidRPr="00022D33">
        <w:rPr>
          <w:sz w:val="20"/>
          <w:szCs w:val="20"/>
        </w:rPr>
        <w:t>Annual leave liabilities have been classified as current as there is no unconditional right to defer settlement for at least 12 months after the reporting period. Assessments indicate that actual settlement of the liabilities will occur as follows:</w:t>
      </w:r>
    </w:p>
    <w:p w:rsidR="00617CB0" w:rsidRDefault="00617CB0" w:rsidP="00617CB0">
      <w:pPr>
        <w:pStyle w:val="Caption"/>
        <w:keepNext/>
        <w:spacing w:after="60"/>
        <w:rPr>
          <w:noProof/>
        </w:rPr>
      </w:pPr>
    </w:p>
    <w:p w:rsidR="00617CB0" w:rsidRPr="00022D33" w:rsidRDefault="00196F4C" w:rsidP="00617CB0">
      <w:pPr>
        <w:pStyle w:val="Caption"/>
        <w:keepNext/>
        <w:spacing w:after="60"/>
        <w:rPr>
          <w:noProof/>
        </w:rPr>
      </w:pPr>
      <w:fldSimple w:instr=" SEQ Table \* ARABIC ">
        <w:r w:rsidR="00D8778B">
          <w:rPr>
            <w:noProof/>
          </w:rPr>
          <w:t>39</w:t>
        </w:r>
      </w:fldSimple>
      <w:r w:rsidR="00617CB0" w:rsidRPr="00022D33">
        <w:rPr>
          <w:noProof/>
        </w:rPr>
        <w:t xml:space="preserve"> Annual leave liabilities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Within 12 months of the end of the reporting period</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7,782</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8,695</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More than 12 months after the reporting period</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2,628</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3,046</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10,410</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11,742</w:t>
            </w:r>
          </w:p>
        </w:tc>
      </w:tr>
    </w:tbl>
    <w:p w:rsidR="00617CB0" w:rsidRPr="00022D33" w:rsidRDefault="00617CB0" w:rsidP="000D7011">
      <w:pPr>
        <w:pStyle w:val="BodyText"/>
        <w:numPr>
          <w:ilvl w:val="0"/>
          <w:numId w:val="22"/>
        </w:numPr>
      </w:pPr>
      <w:r w:rsidRPr="00022D33">
        <w:rPr>
          <w:sz w:val="20"/>
          <w:szCs w:val="20"/>
        </w:rPr>
        <w:t>Long service leave liabilities have been classified as current where there is no unconditional right to defer settlement for at least 12 months after the reporting period. Assessments indicate that actual settlement of the liabilities will occur as follows:</w:t>
      </w:r>
    </w:p>
    <w:p w:rsidR="00617CB0" w:rsidRDefault="00617CB0" w:rsidP="00617CB0">
      <w:pPr>
        <w:pStyle w:val="Caption"/>
        <w:keepNext/>
        <w:spacing w:after="60"/>
        <w:rPr>
          <w:noProof/>
        </w:rPr>
      </w:pPr>
    </w:p>
    <w:p w:rsidR="00617CB0" w:rsidRPr="00022D33" w:rsidRDefault="00196F4C" w:rsidP="00617CB0">
      <w:pPr>
        <w:pStyle w:val="Caption"/>
        <w:keepNext/>
        <w:spacing w:after="60"/>
        <w:rPr>
          <w:noProof/>
        </w:rPr>
      </w:pPr>
      <w:fldSimple w:instr=" SEQ Table \* ARABIC ">
        <w:r w:rsidR="00D8778B">
          <w:rPr>
            <w:noProof/>
          </w:rPr>
          <w:t>40</w:t>
        </w:r>
      </w:fldSimple>
      <w:r w:rsidR="00617CB0" w:rsidRPr="00022D33">
        <w:rPr>
          <w:noProof/>
        </w:rPr>
        <w:t xml:space="preserve"> Long service leave liabilities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Within 12 months of the end of the reporting period</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6,586</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6,563</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More than 12 months after the reporting period</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16,735</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18,231</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23,321</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24,794</w:t>
            </w:r>
          </w:p>
        </w:tc>
      </w:tr>
    </w:tbl>
    <w:p w:rsidR="00617CB0" w:rsidRPr="00022D33" w:rsidRDefault="00617CB0" w:rsidP="000D7011">
      <w:pPr>
        <w:pStyle w:val="BodyText"/>
        <w:numPr>
          <w:ilvl w:val="0"/>
          <w:numId w:val="22"/>
        </w:numPr>
        <w:rPr>
          <w:sz w:val="20"/>
          <w:szCs w:val="20"/>
        </w:rPr>
      </w:pPr>
      <w:r w:rsidRPr="00022D33">
        <w:rPr>
          <w:sz w:val="20"/>
          <w:szCs w:val="20"/>
        </w:rPr>
        <w:t>The settlement of annual and long service leave liabilities gives rise to the payment of employment on-costs including workers’ compensation insurance. The provision is the present value of expected future payments. The associated expense, apart from the unwinding of the discount (finance cost), is disclosed in Note 13 ‘Other expenses’.</w:t>
      </w:r>
    </w:p>
    <w:p w:rsidR="00617CB0" w:rsidRPr="00022D33" w:rsidRDefault="00617CB0" w:rsidP="000D7011">
      <w:pPr>
        <w:pStyle w:val="BodyText"/>
        <w:numPr>
          <w:ilvl w:val="0"/>
          <w:numId w:val="22"/>
        </w:numPr>
        <w:rPr>
          <w:sz w:val="20"/>
          <w:szCs w:val="20"/>
        </w:rPr>
      </w:pPr>
      <w:r w:rsidRPr="00022D33">
        <w:rPr>
          <w:sz w:val="20"/>
          <w:szCs w:val="20"/>
        </w:rPr>
        <w:t>This provision is for the rehabilitation of the Mt Walton East Intractable Waste Disposal Facility site.</w:t>
      </w:r>
    </w:p>
    <w:p w:rsidR="00617CB0" w:rsidRPr="00022D33" w:rsidRDefault="00617CB0" w:rsidP="000D7011">
      <w:pPr>
        <w:pStyle w:val="BodyText"/>
        <w:numPr>
          <w:ilvl w:val="0"/>
          <w:numId w:val="22"/>
        </w:numPr>
      </w:pPr>
      <w:r w:rsidRPr="00022D33">
        <w:rPr>
          <w:sz w:val="20"/>
          <w:szCs w:val="20"/>
        </w:rPr>
        <w:t>Deferred salary scheme liabilities have been classified as current where there is no unconditional right to defer settlement for at least 12 months after the end of the reporting period. Actual settlement of the liabilities is expected to occur as follows:</w:t>
      </w:r>
    </w:p>
    <w:p w:rsidR="00617CB0" w:rsidRDefault="00617CB0" w:rsidP="00617CB0">
      <w:pPr>
        <w:pStyle w:val="Caption"/>
        <w:keepNext/>
        <w:spacing w:after="60"/>
      </w:pPr>
    </w:p>
    <w:p w:rsidR="00617CB0" w:rsidRPr="00022D33" w:rsidRDefault="00196F4C" w:rsidP="00617CB0">
      <w:pPr>
        <w:pStyle w:val="Caption"/>
        <w:keepNext/>
        <w:spacing w:after="60"/>
        <w:rPr>
          <w:noProof/>
        </w:rPr>
      </w:pPr>
      <w:fldSimple w:instr=" SEQ Table \* ARABIC ">
        <w:r w:rsidR="00D8778B">
          <w:rPr>
            <w:noProof/>
          </w:rPr>
          <w:t>41</w:t>
        </w:r>
      </w:fldSimple>
      <w:r w:rsidR="00617CB0" w:rsidRPr="00022D33">
        <w:rPr>
          <w:noProof/>
        </w:rPr>
        <w:t xml:space="preserve"> Deferred salary scheme liabilities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Within 12 months of the end of the reporting period</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145</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223</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More than 12 months after the reporting period</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197</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342</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223</w:t>
            </w:r>
          </w:p>
        </w:tc>
      </w:tr>
    </w:tbl>
    <w:p w:rsidR="00617CB0" w:rsidRDefault="00617CB0" w:rsidP="00617CB0">
      <w:pPr>
        <w:pStyle w:val="Heading4"/>
        <w:sectPr w:rsidR="00617CB0" w:rsidSect="005F3639">
          <w:pgSz w:w="11906" w:h="16838" w:code="9"/>
          <w:pgMar w:top="1440" w:right="1440" w:bottom="1276" w:left="1440" w:header="0" w:footer="709" w:gutter="0"/>
          <w:cols w:space="708"/>
          <w:docGrid w:linePitch="360"/>
        </w:sectPr>
      </w:pPr>
    </w:p>
    <w:p w:rsidR="00617CB0" w:rsidRPr="00022D33" w:rsidRDefault="00617CB0" w:rsidP="00617CB0">
      <w:pPr>
        <w:pStyle w:val="Heading4"/>
      </w:pPr>
      <w:r w:rsidRPr="00022D33">
        <w:t>Movements in other provisions</w:t>
      </w:r>
    </w:p>
    <w:p w:rsidR="00617CB0" w:rsidRPr="00022D33" w:rsidRDefault="00196F4C" w:rsidP="00617CB0">
      <w:pPr>
        <w:pStyle w:val="Caption"/>
        <w:keepNext/>
        <w:spacing w:after="60"/>
      </w:pPr>
      <w:fldSimple w:instr=" SEQ Table \* ARABIC ">
        <w:r w:rsidR="00D8778B">
          <w:rPr>
            <w:noProof/>
          </w:rPr>
          <w:t>42</w:t>
        </w:r>
      </w:fldSimple>
      <w:r w:rsidR="00617CB0" w:rsidRPr="00022D33">
        <w:t xml:space="preserve"> Movements in other provisions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Remediation costs provisions</w:t>
            </w:r>
          </w:p>
        </w:tc>
        <w:tc>
          <w:tcPr>
            <w:tcW w:w="1474" w:type="dxa"/>
            <w:tcBorders>
              <w:top w:val="nil"/>
              <w:left w:val="nil"/>
              <w:bottom w:val="nil"/>
              <w:right w:val="nil"/>
            </w:tcBorders>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Carrying amount at start of period</w:t>
            </w:r>
          </w:p>
        </w:tc>
        <w:tc>
          <w:tcPr>
            <w:tcW w:w="1474" w:type="dxa"/>
            <w:tcBorders>
              <w:top w:val="nil"/>
              <w:left w:val="nil"/>
              <w:bottom w:val="nil"/>
              <w:right w:val="nil"/>
            </w:tcBorders>
          </w:tcPr>
          <w:p w:rsidR="00617CB0" w:rsidRPr="00022D33" w:rsidRDefault="00617CB0" w:rsidP="000D7011">
            <w:pPr>
              <w:pStyle w:val="Tabletext"/>
              <w:jc w:val="right"/>
            </w:pPr>
            <w:r w:rsidRPr="00022D33">
              <w:t>523</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522</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Additional provisions recognised</w:t>
            </w:r>
          </w:p>
        </w:tc>
        <w:tc>
          <w:tcPr>
            <w:tcW w:w="1474" w:type="dxa"/>
            <w:tcBorders>
              <w:top w:val="nil"/>
              <w:left w:val="nil"/>
              <w:bottom w:val="nil"/>
              <w:right w:val="nil"/>
            </w:tcBorders>
          </w:tcPr>
          <w:p w:rsidR="00617CB0" w:rsidRPr="00022D33" w:rsidRDefault="00617CB0" w:rsidP="000D7011">
            <w:pPr>
              <w:pStyle w:val="Tabletext"/>
              <w:jc w:val="right"/>
            </w:pPr>
            <w:r w:rsidRPr="00022D33">
              <w:t>-</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Payments/other sacrifices of economic benefits</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(7)</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r w:rsidRPr="00022D33">
              <w:t>Carrying amount at end of period</w:t>
            </w:r>
          </w:p>
        </w:tc>
        <w:tc>
          <w:tcPr>
            <w:tcW w:w="1474" w:type="dxa"/>
            <w:tcBorders>
              <w:top w:val="single" w:sz="4" w:space="0" w:color="auto"/>
              <w:left w:val="nil"/>
              <w:bottom w:val="single" w:sz="4" w:space="0" w:color="auto"/>
              <w:right w:val="nil"/>
            </w:tcBorders>
          </w:tcPr>
          <w:p w:rsidR="00617CB0" w:rsidRPr="00022D33" w:rsidRDefault="00617CB0" w:rsidP="000D7011">
            <w:pPr>
              <w:pStyle w:val="Tableboldedtext"/>
              <w:jc w:val="right"/>
            </w:pPr>
            <w:r w:rsidRPr="00022D33">
              <w:t>517</w:t>
            </w:r>
          </w:p>
        </w:tc>
        <w:tc>
          <w:tcPr>
            <w:tcW w:w="1474"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523</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Employment on-cost provision</w:t>
            </w:r>
          </w:p>
        </w:tc>
        <w:tc>
          <w:tcPr>
            <w:tcW w:w="1474" w:type="dxa"/>
            <w:tcBorders>
              <w:top w:val="nil"/>
              <w:left w:val="nil"/>
              <w:bottom w:val="nil"/>
              <w:right w:val="nil"/>
            </w:tcBorders>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Carrying amount at start of period</w:t>
            </w:r>
          </w:p>
        </w:tc>
        <w:tc>
          <w:tcPr>
            <w:tcW w:w="1474" w:type="dxa"/>
            <w:tcBorders>
              <w:top w:val="nil"/>
              <w:left w:val="nil"/>
              <w:bottom w:val="nil"/>
              <w:right w:val="nil"/>
            </w:tcBorders>
          </w:tcPr>
          <w:p w:rsidR="00617CB0" w:rsidRPr="00022D33" w:rsidRDefault="00617CB0" w:rsidP="000D7011">
            <w:pPr>
              <w:pStyle w:val="Tabletext"/>
              <w:jc w:val="right"/>
            </w:pPr>
            <w:r w:rsidRPr="00022D33">
              <w:t>66</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66</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Additional provisions recognised</w:t>
            </w:r>
          </w:p>
        </w:tc>
        <w:tc>
          <w:tcPr>
            <w:tcW w:w="1474" w:type="dxa"/>
            <w:tcBorders>
              <w:top w:val="nil"/>
              <w:left w:val="nil"/>
              <w:bottom w:val="nil"/>
              <w:right w:val="nil"/>
            </w:tcBorders>
          </w:tcPr>
          <w:p w:rsidR="00617CB0" w:rsidRPr="00022D33" w:rsidRDefault="00617CB0" w:rsidP="000D7011">
            <w:pPr>
              <w:pStyle w:val="Tabletext"/>
              <w:jc w:val="right"/>
            </w:pPr>
            <w:r w:rsidRPr="00022D33">
              <w:t>19</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3</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Payments/other sacrifices of economic benefits</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(24)</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(3)</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r w:rsidRPr="00022D33">
              <w:t>Carrying amount at end of period</w:t>
            </w:r>
          </w:p>
        </w:tc>
        <w:tc>
          <w:tcPr>
            <w:tcW w:w="1474" w:type="dxa"/>
            <w:tcBorders>
              <w:top w:val="single" w:sz="4" w:space="0" w:color="auto"/>
              <w:left w:val="nil"/>
              <w:bottom w:val="single" w:sz="4" w:space="0" w:color="auto"/>
              <w:right w:val="nil"/>
            </w:tcBorders>
          </w:tcPr>
          <w:p w:rsidR="00617CB0" w:rsidRPr="00022D33" w:rsidRDefault="00617CB0" w:rsidP="000D7011">
            <w:pPr>
              <w:pStyle w:val="Tableboldedtext"/>
              <w:jc w:val="right"/>
            </w:pPr>
            <w:r w:rsidRPr="00022D33">
              <w:t>62</w:t>
            </w:r>
          </w:p>
        </w:tc>
        <w:tc>
          <w:tcPr>
            <w:tcW w:w="1474"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66</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single" w:sz="4" w:space="0" w:color="auto"/>
              <w:left w:val="nil"/>
              <w:bottom w:val="double" w:sz="4" w:space="0" w:color="auto"/>
              <w:right w:val="nil"/>
            </w:tcBorders>
          </w:tcPr>
          <w:p w:rsidR="00617CB0" w:rsidRPr="00022D33" w:rsidRDefault="00617CB0" w:rsidP="000D7011">
            <w:pPr>
              <w:pStyle w:val="Tableboldedtext"/>
              <w:jc w:val="right"/>
            </w:pPr>
            <w:r w:rsidRPr="00022D33">
              <w:t>579</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589</w:t>
            </w:r>
          </w:p>
        </w:tc>
      </w:tr>
    </w:tbl>
    <w:p w:rsidR="00617CB0" w:rsidRPr="00022D33" w:rsidRDefault="00617CB0" w:rsidP="00617CB0">
      <w:pPr>
        <w:pStyle w:val="Heading3"/>
      </w:pPr>
      <w:r w:rsidRPr="00022D33">
        <w:t>Note 32. Lease incentives</w:t>
      </w:r>
    </w:p>
    <w:p w:rsidR="00617CB0" w:rsidRPr="00022D33" w:rsidRDefault="00196F4C" w:rsidP="00617CB0">
      <w:pPr>
        <w:pStyle w:val="Caption"/>
        <w:keepNext/>
        <w:spacing w:after="60"/>
      </w:pPr>
      <w:fldSimple w:instr=" SEQ Table \* ARABIC ">
        <w:r w:rsidR="00D8778B">
          <w:rPr>
            <w:noProof/>
          </w:rPr>
          <w:t>43</w:t>
        </w:r>
      </w:fldSimple>
      <w:r w:rsidR="00617CB0" w:rsidRPr="00022D33">
        <w:t xml:space="preserve"> Lease incentives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i/>
              </w:rPr>
            </w:pPr>
            <w:r w:rsidRPr="00022D33">
              <w:rPr>
                <w:i/>
              </w:rPr>
              <w:t>Lease incentives</w:t>
            </w:r>
          </w:p>
        </w:tc>
        <w:tc>
          <w:tcPr>
            <w:tcW w:w="1474" w:type="dxa"/>
            <w:tcBorders>
              <w:top w:val="nil"/>
              <w:left w:val="nil"/>
              <w:bottom w:val="nil"/>
              <w:right w:val="nil"/>
            </w:tcBorders>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Current</w:t>
            </w:r>
          </w:p>
        </w:tc>
        <w:tc>
          <w:tcPr>
            <w:tcW w:w="1474" w:type="dxa"/>
            <w:tcBorders>
              <w:top w:val="nil"/>
              <w:left w:val="nil"/>
              <w:bottom w:val="nil"/>
              <w:right w:val="nil"/>
            </w:tcBorders>
          </w:tcPr>
          <w:p w:rsidR="00617CB0" w:rsidRPr="00022D33" w:rsidRDefault="00617CB0" w:rsidP="000D7011">
            <w:pPr>
              <w:pStyle w:val="Tabletext"/>
              <w:jc w:val="right"/>
            </w:pPr>
            <w:r w:rsidRPr="00022D33">
              <w:t>9,612</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5,747</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Non-current</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85,349</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39,120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p>
        </w:tc>
        <w:tc>
          <w:tcPr>
            <w:tcW w:w="1474" w:type="dxa"/>
            <w:tcBorders>
              <w:top w:val="single" w:sz="4" w:space="0" w:color="auto"/>
              <w:left w:val="nil"/>
              <w:bottom w:val="double" w:sz="4" w:space="0" w:color="auto"/>
              <w:right w:val="nil"/>
            </w:tcBorders>
          </w:tcPr>
          <w:p w:rsidR="00617CB0" w:rsidRPr="00022D33" w:rsidRDefault="00617CB0" w:rsidP="000D7011">
            <w:pPr>
              <w:pStyle w:val="Tableboldedtext"/>
              <w:jc w:val="right"/>
            </w:pPr>
            <w:r w:rsidRPr="00022D33">
              <w:t>94,961</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44,867</w:t>
            </w:r>
          </w:p>
        </w:tc>
      </w:tr>
    </w:tbl>
    <w:p w:rsidR="00617CB0" w:rsidRDefault="00617CB0" w:rsidP="00617CB0">
      <w:pPr>
        <w:pStyle w:val="Heading3"/>
        <w:sectPr w:rsidR="00617CB0" w:rsidSect="005F3639">
          <w:pgSz w:w="11906" w:h="16838" w:code="9"/>
          <w:pgMar w:top="1440" w:right="1440" w:bottom="1276" w:left="1440" w:header="0" w:footer="709" w:gutter="0"/>
          <w:cols w:space="708"/>
          <w:docGrid w:linePitch="360"/>
        </w:sectPr>
      </w:pPr>
    </w:p>
    <w:p w:rsidR="00617CB0" w:rsidRPr="00022D33" w:rsidRDefault="00617CB0" w:rsidP="00617CB0">
      <w:pPr>
        <w:pStyle w:val="Heading3"/>
      </w:pPr>
      <w:r w:rsidRPr="00022D33">
        <w:t>Note 33. Equity</w:t>
      </w:r>
    </w:p>
    <w:p w:rsidR="00617CB0" w:rsidRDefault="00617CB0" w:rsidP="00617CB0">
      <w:pPr>
        <w:pStyle w:val="BodyText"/>
      </w:pPr>
      <w:r w:rsidRPr="00022D33">
        <w:t>The Western Australian Government holds the equity interest in the Department on behalf of the community. Equity represents the residual interest in the net assets of the Department. The asset revaluation surplus represents that portion of equity resulting from the revaluation of non-current assets.</w:t>
      </w:r>
    </w:p>
    <w:p w:rsidR="00617CB0" w:rsidRPr="00022D33" w:rsidRDefault="00617CB0" w:rsidP="00617CB0">
      <w:pPr>
        <w:pStyle w:val="Heading4"/>
      </w:pPr>
      <w:r w:rsidRPr="00022D33">
        <w:t>Contributed equity</w:t>
      </w:r>
    </w:p>
    <w:p w:rsidR="00617CB0" w:rsidRPr="00022D33" w:rsidRDefault="00196F4C" w:rsidP="00617CB0">
      <w:pPr>
        <w:pStyle w:val="Caption"/>
        <w:keepNext/>
        <w:spacing w:after="60"/>
      </w:pPr>
      <w:fldSimple w:instr=" SEQ Table \* ARABIC ">
        <w:r w:rsidR="00D8778B">
          <w:rPr>
            <w:noProof/>
          </w:rPr>
          <w:t>44</w:t>
        </w:r>
      </w:fldSimple>
      <w:r w:rsidR="00617CB0" w:rsidRPr="00022D33">
        <w:t xml:space="preserve"> Contributed equity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BodyText"/>
              <w:spacing w:line="228" w:lineRule="exact"/>
              <w:rPr>
                <w:sz w:val="20"/>
                <w:szCs w:val="20"/>
              </w:rPr>
            </w:pPr>
            <w:r w:rsidRPr="00022D33">
              <w:rPr>
                <w:spacing w:val="-1"/>
                <w:sz w:val="20"/>
                <w:szCs w:val="20"/>
              </w:rPr>
              <w:t>Balance</w:t>
            </w:r>
            <w:r w:rsidRPr="00022D33">
              <w:rPr>
                <w:sz w:val="20"/>
                <w:szCs w:val="20"/>
              </w:rPr>
              <w:t xml:space="preserve"> </w:t>
            </w:r>
            <w:r w:rsidRPr="00022D33">
              <w:rPr>
                <w:spacing w:val="-1"/>
                <w:sz w:val="20"/>
                <w:szCs w:val="20"/>
              </w:rPr>
              <w:t>at</w:t>
            </w:r>
            <w:r w:rsidRPr="00022D33">
              <w:rPr>
                <w:sz w:val="20"/>
                <w:szCs w:val="20"/>
              </w:rPr>
              <w:t xml:space="preserve"> start of period</w:t>
            </w:r>
          </w:p>
        </w:tc>
        <w:tc>
          <w:tcPr>
            <w:tcW w:w="1474" w:type="dxa"/>
            <w:tcBorders>
              <w:top w:val="nil"/>
              <w:left w:val="nil"/>
              <w:bottom w:val="nil"/>
              <w:right w:val="nil"/>
            </w:tcBorders>
          </w:tcPr>
          <w:p w:rsidR="00617CB0" w:rsidRPr="00022D33" w:rsidRDefault="00617CB0" w:rsidP="000D7011">
            <w:pPr>
              <w:pStyle w:val="Tabletext"/>
              <w:jc w:val="right"/>
            </w:pPr>
            <w:r w:rsidRPr="00022D33">
              <w:t>996,594</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979,165</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Contributions by owners</w:t>
            </w:r>
          </w:p>
        </w:tc>
        <w:tc>
          <w:tcPr>
            <w:tcW w:w="1474" w:type="dxa"/>
            <w:tcBorders>
              <w:top w:val="nil"/>
              <w:left w:val="nil"/>
              <w:bottom w:val="nil"/>
              <w:right w:val="nil"/>
            </w:tcBorders>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Capital appropriation</w:t>
            </w:r>
          </w:p>
        </w:tc>
        <w:tc>
          <w:tcPr>
            <w:tcW w:w="1474" w:type="dxa"/>
            <w:tcBorders>
              <w:top w:val="nil"/>
              <w:left w:val="nil"/>
              <w:bottom w:val="nil"/>
              <w:right w:val="nil"/>
            </w:tcBorders>
          </w:tcPr>
          <w:p w:rsidR="00617CB0" w:rsidRPr="00022D33" w:rsidRDefault="00617CB0" w:rsidP="000D7011">
            <w:pPr>
              <w:pStyle w:val="Tabletext"/>
              <w:jc w:val="right"/>
            </w:pPr>
            <w:r w:rsidRPr="00022D33">
              <w:t>84,268</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15,353</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Other contributions by owners</w:t>
            </w:r>
          </w:p>
        </w:tc>
        <w:tc>
          <w:tcPr>
            <w:tcW w:w="1474" w:type="dxa"/>
            <w:tcBorders>
              <w:top w:val="nil"/>
              <w:left w:val="nil"/>
              <w:bottom w:val="nil"/>
              <w:right w:val="nil"/>
            </w:tcBorders>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Regional Infrastructure and Headworks Fund</w:t>
            </w:r>
          </w:p>
        </w:tc>
        <w:tc>
          <w:tcPr>
            <w:tcW w:w="1474" w:type="dxa"/>
            <w:tcBorders>
              <w:top w:val="nil"/>
              <w:left w:val="nil"/>
              <w:bottom w:val="nil"/>
              <w:right w:val="nil"/>
            </w:tcBorders>
          </w:tcPr>
          <w:p w:rsidR="00617CB0" w:rsidRPr="00022D33" w:rsidRDefault="00617CB0" w:rsidP="000D7011">
            <w:pPr>
              <w:pStyle w:val="Tabletext"/>
              <w:jc w:val="right"/>
            </w:pPr>
            <w:r w:rsidRPr="00022D33">
              <w:t>5,250</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500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Transfer of net assets from other agencies:</w:t>
            </w:r>
          </w:p>
        </w:tc>
        <w:tc>
          <w:tcPr>
            <w:tcW w:w="1474" w:type="dxa"/>
            <w:tcBorders>
              <w:top w:val="nil"/>
              <w:left w:val="nil"/>
              <w:bottom w:val="nil"/>
              <w:right w:val="nil"/>
            </w:tcBorders>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Transfer of Government Building Campus Network (GBCN) related assets from Department of Transport: </w:t>
            </w:r>
          </w:p>
        </w:tc>
        <w:tc>
          <w:tcPr>
            <w:tcW w:w="1474" w:type="dxa"/>
            <w:tcBorders>
              <w:top w:val="nil"/>
              <w:left w:val="nil"/>
              <w:bottom w:val="nil"/>
              <w:right w:val="nil"/>
            </w:tcBorders>
          </w:tcPr>
          <w:p w:rsidR="00617CB0" w:rsidRPr="00022D33" w:rsidRDefault="00617CB0" w:rsidP="000D7011">
            <w:pPr>
              <w:pStyle w:val="Tabletext"/>
              <w:jc w:val="right"/>
            </w:pPr>
            <w:r w:rsidRPr="00022D33">
              <w:t>-</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1,097</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Transfer of land (Burswood Stadium) from Department of Land</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480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b/>
              </w:rPr>
            </w:pPr>
            <w:r w:rsidRPr="00022D33">
              <w:rPr>
                <w:b/>
              </w:rPr>
              <w:t>Total contributions by owners</w:t>
            </w:r>
          </w:p>
        </w:tc>
        <w:tc>
          <w:tcPr>
            <w:tcW w:w="1474" w:type="dxa"/>
            <w:tcBorders>
              <w:top w:val="single" w:sz="4" w:space="0" w:color="auto"/>
              <w:left w:val="nil"/>
              <w:bottom w:val="single" w:sz="4" w:space="0" w:color="auto"/>
              <w:right w:val="nil"/>
            </w:tcBorders>
          </w:tcPr>
          <w:p w:rsidR="00617CB0" w:rsidRPr="00022D33" w:rsidRDefault="00617CB0" w:rsidP="000D7011">
            <w:pPr>
              <w:pStyle w:val="Tabletext"/>
              <w:jc w:val="right"/>
              <w:rPr>
                <w:b/>
              </w:rPr>
            </w:pPr>
            <w:r w:rsidRPr="00022D33">
              <w:rPr>
                <w:b/>
              </w:rPr>
              <w:t>5,250</w:t>
            </w:r>
          </w:p>
        </w:tc>
        <w:tc>
          <w:tcPr>
            <w:tcW w:w="1474"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rPr>
                <w:b/>
              </w:rPr>
            </w:pPr>
            <w:r w:rsidRPr="00022D33">
              <w:rPr>
                <w:b/>
              </w:rPr>
              <w:t>2,077</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Distributions to owners</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Transfer of net assets to other agencies:</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Transfer of Fremantle Prison to State Heritage Office</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rPr>
                <w:b w:val="0"/>
              </w:rPr>
            </w:pPr>
            <w:r w:rsidRPr="00022D33">
              <w:rPr>
                <w:b w:val="0"/>
              </w:rPr>
              <w:t>(29,758)</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rPr>
                <w:b w:val="0"/>
              </w:rPr>
            </w:pPr>
            <w:r w:rsidRPr="00022D33">
              <w:rPr>
                <w:b w:val="0"/>
              </w:rPr>
              <w:t>-</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Transfer of Office fit-out and fixed assets appropriation to Western Australia Police</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rPr>
                <w:b w:val="0"/>
              </w:rPr>
            </w:pPr>
            <w:r w:rsidRPr="00022D33">
              <w:rPr>
                <w:b w:val="0"/>
              </w:rPr>
              <w:t>(7,493)</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rPr>
                <w:b w:val="0"/>
              </w:rPr>
            </w:pPr>
            <w:r w:rsidRPr="00022D33">
              <w:rPr>
                <w:b w:val="0"/>
              </w:rPr>
              <w:t>-</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Transfer of office fit-out to the Department of the Attorney General</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boldedtext"/>
              <w:jc w:val="right"/>
              <w:rPr>
                <w:b w:val="0"/>
              </w:rPr>
            </w:pPr>
            <w:r w:rsidRPr="00022D33">
              <w:rPr>
                <w:b w:val="0"/>
              </w:rPr>
              <w:t>(21,918)</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boldedtext"/>
              <w:jc w:val="right"/>
              <w:rPr>
                <w:b w:val="0"/>
              </w:rPr>
            </w:pPr>
            <w:r w:rsidRPr="00022D33">
              <w:rPr>
                <w:b w:val="0"/>
              </w:rPr>
              <w:t>-</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b/>
              </w:rPr>
            </w:pPr>
            <w:r w:rsidRPr="00022D33">
              <w:rPr>
                <w:b/>
              </w:rPr>
              <w:t>Total distributions to owners</w:t>
            </w:r>
          </w:p>
        </w:tc>
        <w:tc>
          <w:tcPr>
            <w:tcW w:w="1474"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(59,169)</w:t>
            </w:r>
          </w:p>
        </w:tc>
        <w:tc>
          <w:tcPr>
            <w:tcW w:w="1474"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b/>
              </w:rPr>
            </w:pPr>
            <w:r w:rsidRPr="00022D33">
              <w:rPr>
                <w:b/>
              </w:rPr>
              <w:t>Balance at end of period</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1,026,943</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996,594</w:t>
            </w:r>
          </w:p>
        </w:tc>
      </w:tr>
    </w:tbl>
    <w:p w:rsidR="00617CB0" w:rsidRDefault="00617CB0" w:rsidP="00617CB0">
      <w:pPr>
        <w:pStyle w:val="Heading4"/>
        <w:sectPr w:rsidR="00617CB0" w:rsidSect="005F3639">
          <w:pgSz w:w="11906" w:h="16838" w:code="9"/>
          <w:pgMar w:top="1440" w:right="1440" w:bottom="1276" w:left="1440" w:header="0" w:footer="709" w:gutter="0"/>
          <w:cols w:space="708"/>
          <w:docGrid w:linePitch="360"/>
        </w:sectPr>
      </w:pPr>
    </w:p>
    <w:p w:rsidR="00617CB0" w:rsidRPr="00022D33" w:rsidRDefault="00617CB0" w:rsidP="00617CB0">
      <w:pPr>
        <w:pStyle w:val="Heading4"/>
      </w:pPr>
      <w:r w:rsidRPr="00022D33">
        <w:t>Reserves</w:t>
      </w:r>
    </w:p>
    <w:p w:rsidR="00617CB0" w:rsidRPr="00022D33" w:rsidRDefault="00196F4C" w:rsidP="00617CB0">
      <w:pPr>
        <w:pStyle w:val="Caption"/>
        <w:keepNext/>
        <w:spacing w:after="60"/>
      </w:pPr>
      <w:fldSimple w:instr=" SEQ Table \* ARABIC ">
        <w:r w:rsidR="00D8778B">
          <w:rPr>
            <w:noProof/>
          </w:rPr>
          <w:t>45</w:t>
        </w:r>
      </w:fldSimple>
      <w:r w:rsidR="00617CB0" w:rsidRPr="00022D33">
        <w:t xml:space="preserve"> Reserves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8577" w:type="dxa"/>
            <w:gridSpan w:val="3"/>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Asset revaluation reserve</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Balance at start of period</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18,665</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32,848</w:t>
            </w:r>
          </w:p>
        </w:tc>
      </w:tr>
      <w:tr w:rsidR="00617CB0" w:rsidRPr="00022D33" w:rsidTr="000D7011">
        <w:tc>
          <w:tcPr>
            <w:tcW w:w="8577" w:type="dxa"/>
            <w:gridSpan w:val="3"/>
            <w:tcBorders>
              <w:top w:val="nil"/>
              <w:left w:val="nil"/>
              <w:bottom w:val="nil"/>
              <w:right w:val="nil"/>
            </w:tcBorders>
            <w:shd w:val="clear" w:color="auto" w:fill="auto"/>
          </w:tcPr>
          <w:p w:rsidR="00617CB0" w:rsidRPr="00022D33" w:rsidRDefault="00617CB0" w:rsidP="000D7011">
            <w:pPr>
              <w:pStyle w:val="Tabletext"/>
            </w:pPr>
            <w:r w:rsidRPr="00022D33">
              <w:t>Net revaluation increments/(decrements):</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Land </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(17,077)</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(453)</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Buildings</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(1,588)</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(13,729)</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b/>
              </w:rPr>
            </w:pPr>
            <w:r w:rsidRPr="00022D33">
              <w:rPr>
                <w:b/>
              </w:rPr>
              <w:t>Balance at end of period</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18,665</w:t>
            </w:r>
          </w:p>
        </w:tc>
      </w:tr>
    </w:tbl>
    <w:p w:rsidR="00617CB0" w:rsidRPr="00022D33" w:rsidRDefault="00617CB0" w:rsidP="00617CB0">
      <w:pPr>
        <w:pStyle w:val="Heading4"/>
      </w:pPr>
      <w:r w:rsidRPr="00022D33">
        <w:t>Accumulated surplus</w:t>
      </w:r>
    </w:p>
    <w:p w:rsidR="00617CB0" w:rsidRPr="00022D33" w:rsidRDefault="00196F4C" w:rsidP="00617CB0">
      <w:pPr>
        <w:pStyle w:val="Caption"/>
        <w:keepNext/>
        <w:spacing w:after="60"/>
      </w:pPr>
      <w:fldSimple w:instr=" SEQ Table \* ARABIC ">
        <w:r w:rsidR="00D8778B">
          <w:rPr>
            <w:noProof/>
          </w:rPr>
          <w:t>46</w:t>
        </w:r>
      </w:fldSimple>
      <w:r w:rsidR="00617CB0" w:rsidRPr="00022D33">
        <w:t xml:space="preserve"> Accumulated surplus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Balance at start of period </w:t>
            </w:r>
          </w:p>
        </w:tc>
        <w:tc>
          <w:tcPr>
            <w:tcW w:w="1474" w:type="dxa"/>
            <w:tcBorders>
              <w:top w:val="nil"/>
              <w:left w:val="nil"/>
              <w:bottom w:val="nil"/>
              <w:right w:val="nil"/>
            </w:tcBorders>
          </w:tcPr>
          <w:p w:rsidR="00617CB0" w:rsidRPr="00022D33" w:rsidRDefault="00617CB0" w:rsidP="000D7011">
            <w:pPr>
              <w:pStyle w:val="Tabletext"/>
              <w:jc w:val="right"/>
            </w:pPr>
            <w:r w:rsidRPr="00022D33">
              <w:t>68,783</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102,682</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Result for the period</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(20,491)</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(33,900)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r w:rsidRPr="00022D33">
              <w:t>Balance at end of period</w:t>
            </w:r>
          </w:p>
        </w:tc>
        <w:tc>
          <w:tcPr>
            <w:tcW w:w="1474" w:type="dxa"/>
            <w:tcBorders>
              <w:top w:val="single" w:sz="4" w:space="0" w:color="auto"/>
              <w:left w:val="nil"/>
              <w:bottom w:val="single" w:sz="4" w:space="0" w:color="auto"/>
              <w:right w:val="nil"/>
            </w:tcBorders>
          </w:tcPr>
          <w:p w:rsidR="00617CB0" w:rsidRPr="00022D33" w:rsidRDefault="00617CB0" w:rsidP="000D7011">
            <w:pPr>
              <w:pStyle w:val="Tableboldedtext"/>
              <w:jc w:val="right"/>
            </w:pPr>
            <w:r w:rsidRPr="00022D33">
              <w:t>48,292</w:t>
            </w:r>
          </w:p>
        </w:tc>
        <w:tc>
          <w:tcPr>
            <w:tcW w:w="1474"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boldedtext"/>
              <w:jc w:val="right"/>
            </w:pPr>
            <w:r w:rsidRPr="00022D33">
              <w:t>68,783</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r w:rsidRPr="00022D33">
              <w:t>Total equity at end of period</w:t>
            </w:r>
          </w:p>
        </w:tc>
        <w:tc>
          <w:tcPr>
            <w:tcW w:w="1474" w:type="dxa"/>
            <w:tcBorders>
              <w:top w:val="single" w:sz="4" w:space="0" w:color="auto"/>
              <w:left w:val="nil"/>
              <w:bottom w:val="double" w:sz="4" w:space="0" w:color="auto"/>
              <w:right w:val="nil"/>
            </w:tcBorders>
          </w:tcPr>
          <w:p w:rsidR="00617CB0" w:rsidRPr="00022D33" w:rsidRDefault="00617CB0" w:rsidP="000D7011">
            <w:pPr>
              <w:pStyle w:val="Tableboldedtext"/>
              <w:jc w:val="right"/>
            </w:pPr>
            <w:r w:rsidRPr="00022D33">
              <w:t>1,075,236</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1,084,042</w:t>
            </w:r>
          </w:p>
        </w:tc>
      </w:tr>
    </w:tbl>
    <w:p w:rsidR="00617CB0" w:rsidRPr="00022D33" w:rsidRDefault="00617CB0" w:rsidP="00617CB0">
      <w:pPr>
        <w:pStyle w:val="Heading3"/>
      </w:pPr>
      <w:r w:rsidRPr="00022D33">
        <w:t>Note 34. Notes to the Statement of Cash Flows</w:t>
      </w:r>
    </w:p>
    <w:p w:rsidR="00617CB0" w:rsidRPr="00022D33" w:rsidRDefault="00617CB0" w:rsidP="00617CB0">
      <w:pPr>
        <w:pStyle w:val="Heading4"/>
      </w:pPr>
      <w:r w:rsidRPr="00022D33">
        <w:t>Reconciliation of cash</w:t>
      </w:r>
    </w:p>
    <w:p w:rsidR="00617CB0" w:rsidRPr="00022D33" w:rsidRDefault="00617CB0" w:rsidP="00617CB0">
      <w:pPr>
        <w:pStyle w:val="Caption"/>
        <w:keepNext/>
      </w:pPr>
      <w:r w:rsidRPr="00022D33">
        <w:rPr>
          <w:rFonts w:eastAsia="Times New Roman"/>
          <w:b w:val="0"/>
          <w:bCs w:val="0"/>
          <w:szCs w:val="24"/>
          <w:lang w:val="x-none" w:eastAsia="en-AU"/>
        </w:rPr>
        <w:t>Cash at the end of the financial year as shown in the Statement of Cash</w:t>
      </w:r>
      <w:r w:rsidRPr="00022D33">
        <w:rPr>
          <w:rFonts w:eastAsia="Times New Roman"/>
          <w:b w:val="0"/>
          <w:bCs w:val="0"/>
          <w:szCs w:val="24"/>
          <w:lang w:eastAsia="en-AU"/>
        </w:rPr>
        <w:t xml:space="preserve"> </w:t>
      </w:r>
      <w:r w:rsidRPr="00022D33">
        <w:rPr>
          <w:rFonts w:eastAsia="Times New Roman"/>
          <w:b w:val="0"/>
          <w:bCs w:val="0"/>
          <w:szCs w:val="24"/>
          <w:lang w:val="x-none" w:eastAsia="en-AU"/>
        </w:rPr>
        <w:t>Flows is reconciled to the related items in the Statement of Financial Position</w:t>
      </w:r>
      <w:r w:rsidRPr="00022D33">
        <w:rPr>
          <w:rFonts w:eastAsia="Times New Roman"/>
          <w:b w:val="0"/>
          <w:bCs w:val="0"/>
          <w:szCs w:val="24"/>
          <w:lang w:eastAsia="en-AU"/>
        </w:rPr>
        <w:t xml:space="preserve"> </w:t>
      </w:r>
      <w:r w:rsidRPr="00022D33">
        <w:rPr>
          <w:rFonts w:eastAsia="Times New Roman"/>
          <w:b w:val="0"/>
          <w:bCs w:val="0"/>
          <w:szCs w:val="24"/>
          <w:lang w:val="x-none" w:eastAsia="en-AU"/>
        </w:rPr>
        <w:t>as follows:</w:t>
      </w:r>
    </w:p>
    <w:p w:rsidR="00617CB0" w:rsidRPr="00022D33" w:rsidRDefault="00196F4C" w:rsidP="00617CB0">
      <w:pPr>
        <w:pStyle w:val="Caption"/>
        <w:keepNext/>
        <w:spacing w:after="60"/>
      </w:pPr>
      <w:fldSimple w:instr=" SEQ Table \* ARABIC ">
        <w:r w:rsidR="00D8778B">
          <w:rPr>
            <w:noProof/>
          </w:rPr>
          <w:t>47</w:t>
        </w:r>
      </w:fldSimple>
      <w:r w:rsidR="00617CB0" w:rsidRPr="00022D33">
        <w:t xml:space="preserve"> Reconciliation of cash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Cash and cash equivalents </w:t>
            </w:r>
            <w:r w:rsidRPr="00022D33">
              <w:rPr>
                <w:vertAlign w:val="superscript"/>
              </w:rPr>
              <w:t>(a)</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85,247</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58,905</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Restricted cash and cash equivalents </w:t>
            </w:r>
            <w:r w:rsidRPr="00022D33">
              <w:rPr>
                <w:vertAlign w:val="superscript"/>
              </w:rPr>
              <w:t>(b)</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12,983</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14,887</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r w:rsidRPr="00022D33">
              <w:t>Balance at end of period</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98,230</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73,792</w:t>
            </w:r>
          </w:p>
        </w:tc>
      </w:tr>
    </w:tbl>
    <w:p w:rsidR="00617CB0" w:rsidRPr="00022D33" w:rsidRDefault="00617CB0" w:rsidP="000D7011">
      <w:pPr>
        <w:pStyle w:val="BodyText"/>
        <w:numPr>
          <w:ilvl w:val="0"/>
          <w:numId w:val="23"/>
        </w:numPr>
        <w:rPr>
          <w:sz w:val="20"/>
          <w:szCs w:val="20"/>
        </w:rPr>
      </w:pPr>
      <w:r w:rsidRPr="00022D33">
        <w:rPr>
          <w:sz w:val="20"/>
          <w:szCs w:val="20"/>
        </w:rPr>
        <w:t>Refer also to Note 18 'Cash and cash equivalents'.</w:t>
      </w:r>
    </w:p>
    <w:p w:rsidR="00617CB0" w:rsidRPr="00022D33" w:rsidRDefault="00617CB0" w:rsidP="000D7011">
      <w:pPr>
        <w:pStyle w:val="BodyText"/>
        <w:numPr>
          <w:ilvl w:val="0"/>
          <w:numId w:val="23"/>
        </w:numPr>
      </w:pPr>
      <w:r w:rsidRPr="00022D33">
        <w:rPr>
          <w:sz w:val="20"/>
          <w:szCs w:val="20"/>
        </w:rPr>
        <w:t>Refer also to Note 19 'Restricted cash and cash equivalents'</w:t>
      </w:r>
      <w:r w:rsidRPr="00022D33">
        <w:t>.</w:t>
      </w:r>
    </w:p>
    <w:p w:rsidR="00617CB0" w:rsidRDefault="00617CB0" w:rsidP="00617CB0">
      <w:pPr>
        <w:pStyle w:val="Heading4"/>
        <w:sectPr w:rsidR="00617CB0" w:rsidSect="005F3639">
          <w:pgSz w:w="11906" w:h="16838" w:code="9"/>
          <w:pgMar w:top="1440" w:right="1440" w:bottom="1276" w:left="1440" w:header="0" w:footer="709" w:gutter="0"/>
          <w:cols w:space="708"/>
          <w:docGrid w:linePitch="360"/>
        </w:sectPr>
      </w:pPr>
      <w:bookmarkStart w:id="11" w:name="Note_35._Services_provided_free_of_charg"/>
      <w:bookmarkEnd w:id="11"/>
    </w:p>
    <w:p w:rsidR="00617CB0" w:rsidRPr="00022D33" w:rsidRDefault="00617CB0" w:rsidP="00617CB0">
      <w:pPr>
        <w:pStyle w:val="Heading4"/>
      </w:pPr>
      <w:r w:rsidRPr="00022D33">
        <w:t>Reconciliation of net cost of services to net cash flows provided by/(used in) operating activities</w:t>
      </w:r>
    </w:p>
    <w:p w:rsidR="00617CB0" w:rsidRPr="00022D33" w:rsidRDefault="00617CB0" w:rsidP="00617CB0">
      <w:pPr>
        <w:pStyle w:val="Tablenotetext"/>
      </w:pPr>
    </w:p>
    <w:p w:rsidR="00617CB0" w:rsidRPr="00022D33" w:rsidRDefault="00196F4C" w:rsidP="00617CB0">
      <w:pPr>
        <w:pStyle w:val="Caption"/>
        <w:keepNext/>
        <w:spacing w:after="60"/>
      </w:pPr>
      <w:fldSimple w:instr=" SEQ Table \* ARABIC ">
        <w:r w:rsidR="00D8778B">
          <w:rPr>
            <w:noProof/>
          </w:rPr>
          <w:t>48</w:t>
        </w:r>
      </w:fldSimple>
      <w:r w:rsidR="00617CB0" w:rsidRPr="00022D33">
        <w:t xml:space="preserve"> Reconciliation of net cost of services to net cash flows provided by/(used in) operating activities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p>
        </w:tc>
        <w:tc>
          <w:tcPr>
            <w:tcW w:w="1474"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b/>
                <w:sz w:val="20"/>
                <w:szCs w:val="20"/>
                <w:lang w:eastAsia="en-AU"/>
              </w:rPr>
            </w:pPr>
            <w:r w:rsidRPr="00022D33">
              <w:rPr>
                <w:rFonts w:ascii="Arial" w:eastAsia="Times New Roman" w:hAnsi="Arial" w:cs="Arial"/>
                <w:b/>
                <w:sz w:val="20"/>
                <w:szCs w:val="20"/>
                <w:lang w:eastAsia="en-AU"/>
              </w:rPr>
              <w:t>2016</w:t>
            </w:r>
          </w:p>
          <w:p w:rsidR="00617CB0" w:rsidRPr="00022D33" w:rsidRDefault="00617CB0" w:rsidP="000D7011">
            <w:pPr>
              <w:spacing w:before="60" w:after="60" w:line="240" w:lineRule="auto"/>
              <w:jc w:val="right"/>
              <w:rPr>
                <w:rFonts w:ascii="Arial" w:eastAsia="Times New Roman" w:hAnsi="Arial" w:cs="Arial"/>
                <w:b/>
                <w:sz w:val="20"/>
                <w:szCs w:val="20"/>
                <w:lang w:eastAsia="en-AU"/>
              </w:rPr>
            </w:pPr>
            <w:r w:rsidRPr="00022D33">
              <w:rPr>
                <w:rFonts w:ascii="Arial" w:eastAsia="Times New Roman" w:hAnsi="Arial" w:cs="Arial"/>
                <w:b/>
                <w:sz w:val="20"/>
                <w:szCs w:val="20"/>
                <w:lang w:eastAsia="en-AU"/>
              </w:rPr>
              <w:t>$000</w:t>
            </w:r>
          </w:p>
        </w:tc>
        <w:tc>
          <w:tcPr>
            <w:tcW w:w="1474"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b/>
                <w:sz w:val="20"/>
                <w:szCs w:val="20"/>
                <w:lang w:eastAsia="en-AU"/>
              </w:rPr>
            </w:pPr>
            <w:r w:rsidRPr="00022D33">
              <w:rPr>
                <w:rFonts w:ascii="Arial" w:eastAsia="Times New Roman" w:hAnsi="Arial" w:cs="Arial"/>
                <w:b/>
                <w:sz w:val="20"/>
                <w:szCs w:val="20"/>
                <w:lang w:eastAsia="en-AU"/>
              </w:rPr>
              <w:t>2015</w:t>
            </w:r>
          </w:p>
          <w:p w:rsidR="00617CB0" w:rsidRPr="00022D33" w:rsidRDefault="00617CB0" w:rsidP="000D7011">
            <w:pPr>
              <w:spacing w:before="60" w:after="60" w:line="240" w:lineRule="auto"/>
              <w:jc w:val="right"/>
              <w:rPr>
                <w:rFonts w:ascii="Arial" w:eastAsia="Times New Roman" w:hAnsi="Arial" w:cs="Arial"/>
                <w:b/>
                <w:sz w:val="20"/>
                <w:szCs w:val="20"/>
                <w:lang w:eastAsia="en-AU"/>
              </w:rPr>
            </w:pPr>
            <w:r w:rsidRPr="00022D33">
              <w:rPr>
                <w:rFonts w:ascii="Arial" w:eastAsia="Times New Roman" w:hAnsi="Arial" w:cs="Arial"/>
                <w:b/>
                <w:sz w:val="20"/>
                <w:szCs w:val="20"/>
                <w:lang w:eastAsia="en-AU"/>
              </w:rPr>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widowControl w:val="0"/>
              <w:kinsoku w:val="0"/>
              <w:overflowPunct w:val="0"/>
              <w:autoSpaceDE w:val="0"/>
              <w:autoSpaceDN w:val="0"/>
              <w:adjustRightInd w:val="0"/>
              <w:spacing w:before="141" w:after="0" w:line="228" w:lineRule="exact"/>
              <w:rPr>
                <w:rFonts w:ascii="Arial" w:eastAsia="Times New Roman" w:hAnsi="Arial" w:cs="Arial"/>
                <w:sz w:val="20"/>
                <w:szCs w:val="20"/>
                <w:lang w:eastAsia="en-AU"/>
              </w:rPr>
            </w:pPr>
            <w:r w:rsidRPr="00022D33">
              <w:rPr>
                <w:rFonts w:ascii="Arial" w:eastAsia="Times New Roman" w:hAnsi="Arial" w:cs="Arial"/>
                <w:sz w:val="20"/>
                <w:szCs w:val="20"/>
                <w:lang w:eastAsia="en-AU"/>
              </w:rPr>
              <w:t xml:space="preserve">Net </w:t>
            </w:r>
            <w:r w:rsidRPr="00022D33">
              <w:rPr>
                <w:rFonts w:ascii="Arial" w:eastAsia="Times New Roman" w:hAnsi="Arial" w:cs="Arial"/>
                <w:spacing w:val="-1"/>
                <w:sz w:val="20"/>
                <w:szCs w:val="20"/>
                <w:lang w:eastAsia="en-AU"/>
              </w:rPr>
              <w:t>cost</w:t>
            </w:r>
            <w:r w:rsidRPr="00022D33">
              <w:rPr>
                <w:rFonts w:ascii="Arial" w:eastAsia="Times New Roman" w:hAnsi="Arial" w:cs="Arial"/>
                <w:sz w:val="20"/>
                <w:szCs w:val="20"/>
                <w:lang w:eastAsia="en-AU"/>
              </w:rPr>
              <w:t xml:space="preserve"> of services</w:t>
            </w:r>
          </w:p>
        </w:tc>
        <w:tc>
          <w:tcPr>
            <w:tcW w:w="1474"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(224,068)</w:t>
            </w:r>
          </w:p>
        </w:tc>
        <w:tc>
          <w:tcPr>
            <w:tcW w:w="1474"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(226,180)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p>
        </w:tc>
        <w:tc>
          <w:tcPr>
            <w:tcW w:w="1474"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p>
        </w:tc>
        <w:tc>
          <w:tcPr>
            <w:tcW w:w="1474"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u w:val="single"/>
                <w:lang w:eastAsia="en-AU"/>
              </w:rPr>
            </w:pPr>
            <w:r w:rsidRPr="00022D33">
              <w:rPr>
                <w:rFonts w:ascii="Arial" w:eastAsia="Times New Roman" w:hAnsi="Arial" w:cs="Arial"/>
                <w:spacing w:val="-1"/>
                <w:sz w:val="20"/>
                <w:szCs w:val="20"/>
                <w:u w:val="single"/>
                <w:lang w:eastAsia="en-AU"/>
              </w:rPr>
              <w:t>Non-cash items</w:t>
            </w:r>
          </w:p>
        </w:tc>
        <w:tc>
          <w:tcPr>
            <w:tcW w:w="1474"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p>
        </w:tc>
        <w:tc>
          <w:tcPr>
            <w:tcW w:w="1474"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 xml:space="preserve">Depreciation and amortisation expense </w:t>
            </w:r>
            <w:r w:rsidRPr="00022D33">
              <w:rPr>
                <w:rFonts w:ascii="Arial" w:eastAsia="Times New Roman" w:hAnsi="Arial" w:cs="Arial"/>
                <w:spacing w:val="-1"/>
                <w:sz w:val="20"/>
                <w:szCs w:val="20"/>
                <w:vertAlign w:val="superscript"/>
                <w:lang w:eastAsia="en-AU"/>
              </w:rPr>
              <w:t>(Note 9)</w:t>
            </w:r>
          </w:p>
        </w:tc>
        <w:tc>
          <w:tcPr>
            <w:tcW w:w="1474"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79,031</w:t>
            </w:r>
          </w:p>
        </w:tc>
        <w:tc>
          <w:tcPr>
            <w:tcW w:w="1474"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83,187</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Doubtful debts expense</w:t>
            </w:r>
          </w:p>
        </w:tc>
        <w:tc>
          <w:tcPr>
            <w:tcW w:w="1474"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3</w:t>
            </w:r>
          </w:p>
        </w:tc>
        <w:tc>
          <w:tcPr>
            <w:tcW w:w="1474"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1</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 xml:space="preserve">Services received free of charge </w:t>
            </w:r>
            <w:r w:rsidRPr="00022D33">
              <w:rPr>
                <w:rFonts w:ascii="Arial" w:eastAsia="Times New Roman" w:hAnsi="Arial" w:cs="Arial"/>
                <w:spacing w:val="-1"/>
                <w:sz w:val="20"/>
                <w:szCs w:val="20"/>
                <w:vertAlign w:val="superscript"/>
                <w:lang w:eastAsia="en-AU"/>
              </w:rPr>
              <w:t>(Note 17)</w:t>
            </w:r>
          </w:p>
        </w:tc>
        <w:tc>
          <w:tcPr>
            <w:tcW w:w="1474"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14,518</w:t>
            </w:r>
          </w:p>
        </w:tc>
        <w:tc>
          <w:tcPr>
            <w:tcW w:w="1474"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14,065</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 xml:space="preserve">Gain on revaluation increment </w:t>
            </w:r>
            <w:r w:rsidRPr="00022D33">
              <w:rPr>
                <w:rFonts w:ascii="Arial" w:eastAsia="Times New Roman" w:hAnsi="Arial" w:cs="Arial"/>
                <w:spacing w:val="-1"/>
                <w:sz w:val="20"/>
                <w:szCs w:val="20"/>
                <w:vertAlign w:val="superscript"/>
                <w:lang w:eastAsia="en-AU"/>
              </w:rPr>
              <w:t>(Note 16)</w:t>
            </w:r>
          </w:p>
        </w:tc>
        <w:tc>
          <w:tcPr>
            <w:tcW w:w="1474"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w:t>
            </w:r>
          </w:p>
        </w:tc>
        <w:tc>
          <w:tcPr>
            <w:tcW w:w="1474"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 xml:space="preserve">Loss on revaluation decrement </w:t>
            </w:r>
            <w:r w:rsidRPr="00022D33">
              <w:rPr>
                <w:rFonts w:ascii="Arial" w:eastAsia="Times New Roman" w:hAnsi="Arial" w:cs="Arial"/>
                <w:spacing w:val="-1"/>
                <w:sz w:val="20"/>
                <w:szCs w:val="20"/>
                <w:vertAlign w:val="superscript"/>
                <w:lang w:eastAsia="en-AU"/>
              </w:rPr>
              <w:t>(Note 13)</w:t>
            </w:r>
          </w:p>
        </w:tc>
        <w:tc>
          <w:tcPr>
            <w:tcW w:w="1474"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49,848</w:t>
            </w:r>
          </w:p>
        </w:tc>
        <w:tc>
          <w:tcPr>
            <w:tcW w:w="1474"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 xml:space="preserve">Gain on disposal of property, plant and equipment </w:t>
            </w:r>
            <w:r w:rsidRPr="00022D33">
              <w:rPr>
                <w:rFonts w:ascii="Arial" w:eastAsia="Times New Roman" w:hAnsi="Arial" w:cs="Arial"/>
                <w:spacing w:val="-1"/>
                <w:sz w:val="20"/>
                <w:szCs w:val="20"/>
                <w:vertAlign w:val="superscript"/>
                <w:lang w:eastAsia="en-AU"/>
              </w:rPr>
              <w:t>(Note 15)</w:t>
            </w:r>
          </w:p>
        </w:tc>
        <w:tc>
          <w:tcPr>
            <w:tcW w:w="1474"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(665)</w:t>
            </w:r>
          </w:p>
        </w:tc>
        <w:tc>
          <w:tcPr>
            <w:tcW w:w="1474"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(1,420)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u w:val="single"/>
                <w:lang w:eastAsia="en-AU"/>
              </w:rPr>
            </w:pPr>
            <w:r w:rsidRPr="00022D33">
              <w:rPr>
                <w:rFonts w:ascii="Arial" w:eastAsia="Times New Roman" w:hAnsi="Arial" w:cs="Arial"/>
                <w:spacing w:val="-1"/>
                <w:sz w:val="20"/>
                <w:szCs w:val="20"/>
                <w:u w:val="single"/>
                <w:lang w:eastAsia="en-AU"/>
              </w:rPr>
              <w:t>Increase/(decrease) in assets</w:t>
            </w:r>
          </w:p>
        </w:tc>
        <w:tc>
          <w:tcPr>
            <w:tcW w:w="1474"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p>
        </w:tc>
        <w:tc>
          <w:tcPr>
            <w:tcW w:w="1474"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 xml:space="preserve">Current receivables </w:t>
            </w:r>
            <w:r w:rsidRPr="00022D33">
              <w:rPr>
                <w:rFonts w:ascii="Arial" w:eastAsia="Times New Roman" w:hAnsi="Arial" w:cs="Arial"/>
                <w:spacing w:val="-1"/>
                <w:sz w:val="20"/>
                <w:szCs w:val="20"/>
                <w:vertAlign w:val="superscript"/>
                <w:lang w:eastAsia="en-AU"/>
              </w:rPr>
              <w:t>(a)</w:t>
            </w:r>
          </w:p>
        </w:tc>
        <w:tc>
          <w:tcPr>
            <w:tcW w:w="1474"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(24,546)</w:t>
            </w:r>
          </w:p>
        </w:tc>
        <w:tc>
          <w:tcPr>
            <w:tcW w:w="1474"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(158,029)</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Current inventories</w:t>
            </w:r>
          </w:p>
        </w:tc>
        <w:tc>
          <w:tcPr>
            <w:tcW w:w="1474"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w:t>
            </w:r>
          </w:p>
        </w:tc>
        <w:tc>
          <w:tcPr>
            <w:tcW w:w="1474"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1</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Other current assets</w:t>
            </w:r>
          </w:p>
        </w:tc>
        <w:tc>
          <w:tcPr>
            <w:tcW w:w="1474"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194</w:t>
            </w:r>
          </w:p>
        </w:tc>
        <w:tc>
          <w:tcPr>
            <w:tcW w:w="1474"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7</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p>
        </w:tc>
        <w:tc>
          <w:tcPr>
            <w:tcW w:w="1474"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p>
        </w:tc>
        <w:tc>
          <w:tcPr>
            <w:tcW w:w="1474"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u w:val="single"/>
                <w:lang w:eastAsia="en-AU"/>
              </w:rPr>
            </w:pPr>
            <w:r w:rsidRPr="00022D33">
              <w:rPr>
                <w:rFonts w:ascii="Arial" w:eastAsia="Times New Roman" w:hAnsi="Arial" w:cs="Arial"/>
                <w:spacing w:val="-1"/>
                <w:sz w:val="20"/>
                <w:szCs w:val="20"/>
                <w:u w:val="single"/>
                <w:lang w:eastAsia="en-AU"/>
              </w:rPr>
              <w:t>Increase/(decrease) in liabilities</w:t>
            </w:r>
          </w:p>
        </w:tc>
        <w:tc>
          <w:tcPr>
            <w:tcW w:w="1474"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p>
        </w:tc>
        <w:tc>
          <w:tcPr>
            <w:tcW w:w="1474"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 xml:space="preserve">Current payables </w:t>
            </w:r>
            <w:r w:rsidRPr="00022D33">
              <w:rPr>
                <w:rFonts w:ascii="Arial" w:eastAsia="Times New Roman" w:hAnsi="Arial" w:cs="Arial"/>
                <w:spacing w:val="-1"/>
                <w:sz w:val="20"/>
                <w:szCs w:val="20"/>
                <w:vertAlign w:val="superscript"/>
                <w:lang w:eastAsia="en-AU"/>
              </w:rPr>
              <w:t>(a)</w:t>
            </w:r>
          </w:p>
        </w:tc>
        <w:tc>
          <w:tcPr>
            <w:tcW w:w="1474"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15,598</w:t>
            </w:r>
          </w:p>
        </w:tc>
        <w:tc>
          <w:tcPr>
            <w:tcW w:w="1474"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101,335</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Accrued salaries</w:t>
            </w:r>
          </w:p>
        </w:tc>
        <w:tc>
          <w:tcPr>
            <w:tcW w:w="1474"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(3,276)</w:t>
            </w:r>
          </w:p>
        </w:tc>
        <w:tc>
          <w:tcPr>
            <w:tcW w:w="1474"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(3,344)</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 xml:space="preserve">Unearned revenues </w:t>
            </w:r>
          </w:p>
        </w:tc>
        <w:tc>
          <w:tcPr>
            <w:tcW w:w="1474"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(1,198)</w:t>
            </w:r>
          </w:p>
        </w:tc>
        <w:tc>
          <w:tcPr>
            <w:tcW w:w="1474"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(5,488)</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Employee benefits</w:t>
            </w:r>
          </w:p>
        </w:tc>
        <w:tc>
          <w:tcPr>
            <w:tcW w:w="1474"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(2,695)</w:t>
            </w:r>
          </w:p>
        </w:tc>
        <w:tc>
          <w:tcPr>
            <w:tcW w:w="1474"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2,077</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 xml:space="preserve">Other non-current liabilities </w:t>
            </w:r>
          </w:p>
        </w:tc>
        <w:tc>
          <w:tcPr>
            <w:tcW w:w="1474"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39,638</w:t>
            </w:r>
          </w:p>
        </w:tc>
        <w:tc>
          <w:tcPr>
            <w:tcW w:w="1474"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12,164</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 xml:space="preserve">Net GST receipts/(payments) </w:t>
            </w:r>
            <w:r w:rsidRPr="00022D33">
              <w:rPr>
                <w:rFonts w:ascii="Arial" w:eastAsia="Times New Roman" w:hAnsi="Arial" w:cs="Arial"/>
                <w:spacing w:val="-1"/>
                <w:sz w:val="20"/>
                <w:szCs w:val="20"/>
                <w:vertAlign w:val="superscript"/>
                <w:lang w:eastAsia="en-AU"/>
              </w:rPr>
              <w:t>(b)</w:t>
            </w:r>
          </w:p>
        </w:tc>
        <w:tc>
          <w:tcPr>
            <w:tcW w:w="1474" w:type="dxa"/>
            <w:tcBorders>
              <w:top w:val="nil"/>
              <w:left w:val="nil"/>
              <w:bottom w:val="nil"/>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4,716</w:t>
            </w:r>
          </w:p>
        </w:tc>
        <w:tc>
          <w:tcPr>
            <w:tcW w:w="1474" w:type="dxa"/>
            <w:tcBorders>
              <w:top w:val="nil"/>
              <w:left w:val="nil"/>
              <w:bottom w:val="nil"/>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19,118</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 xml:space="preserve">Change in GST in receivables/payables </w:t>
            </w:r>
            <w:r w:rsidRPr="00022D33">
              <w:rPr>
                <w:rFonts w:ascii="Arial" w:eastAsia="Times New Roman" w:hAnsi="Arial" w:cs="Arial"/>
                <w:spacing w:val="-1"/>
                <w:sz w:val="20"/>
                <w:szCs w:val="20"/>
                <w:vertAlign w:val="superscript"/>
                <w:lang w:eastAsia="en-AU"/>
              </w:rPr>
              <w:t>(c)</w:t>
            </w:r>
          </w:p>
        </w:tc>
        <w:tc>
          <w:tcPr>
            <w:tcW w:w="1474" w:type="dxa"/>
            <w:tcBorders>
              <w:top w:val="nil"/>
              <w:left w:val="nil"/>
              <w:bottom w:val="single" w:sz="4" w:space="0" w:color="auto"/>
              <w:right w:val="nil"/>
            </w:tcBorders>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(4,162)</w:t>
            </w:r>
          </w:p>
        </w:tc>
        <w:tc>
          <w:tcPr>
            <w:tcW w:w="1474" w:type="dxa"/>
            <w:tcBorders>
              <w:top w:val="nil"/>
              <w:left w:val="nil"/>
              <w:bottom w:val="single" w:sz="4" w:space="0" w:color="auto"/>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spacing w:val="-1"/>
                <w:sz w:val="20"/>
                <w:szCs w:val="20"/>
                <w:lang w:eastAsia="en-AU"/>
              </w:rPr>
            </w:pPr>
            <w:r w:rsidRPr="00022D33">
              <w:rPr>
                <w:rFonts w:ascii="Arial" w:eastAsia="Times New Roman" w:hAnsi="Arial" w:cs="Arial"/>
                <w:spacing w:val="-1"/>
                <w:sz w:val="20"/>
                <w:szCs w:val="20"/>
                <w:lang w:eastAsia="en-AU"/>
              </w:rPr>
              <w:t>4,500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spacing w:before="60" w:after="60" w:line="240" w:lineRule="auto"/>
              <w:rPr>
                <w:rFonts w:ascii="Arial" w:eastAsia="Times New Roman" w:hAnsi="Arial" w:cs="Arial"/>
                <w:b/>
                <w:sz w:val="20"/>
                <w:szCs w:val="20"/>
                <w:lang w:eastAsia="en-AU"/>
              </w:rPr>
            </w:pPr>
            <w:r w:rsidRPr="00022D33">
              <w:rPr>
                <w:rFonts w:ascii="Arial" w:eastAsia="Times New Roman" w:hAnsi="Arial" w:cs="Arial"/>
                <w:b/>
                <w:sz w:val="20"/>
                <w:szCs w:val="20"/>
                <w:lang w:eastAsia="en-AU"/>
              </w:rPr>
              <w:t>Net cash used in operating activities</w:t>
            </w:r>
          </w:p>
        </w:tc>
        <w:tc>
          <w:tcPr>
            <w:tcW w:w="1474" w:type="dxa"/>
            <w:tcBorders>
              <w:top w:val="single" w:sz="4" w:space="0" w:color="auto"/>
              <w:left w:val="nil"/>
              <w:bottom w:val="double" w:sz="4" w:space="0" w:color="auto"/>
              <w:right w:val="nil"/>
            </w:tcBorders>
          </w:tcPr>
          <w:p w:rsidR="00617CB0" w:rsidRPr="00022D33" w:rsidRDefault="00617CB0" w:rsidP="000D7011">
            <w:pPr>
              <w:spacing w:before="60" w:after="60" w:line="240" w:lineRule="auto"/>
              <w:jc w:val="right"/>
              <w:rPr>
                <w:rFonts w:ascii="Arial" w:eastAsia="Times New Roman" w:hAnsi="Arial" w:cs="Arial"/>
                <w:b/>
                <w:sz w:val="20"/>
                <w:szCs w:val="20"/>
                <w:lang w:eastAsia="en-AU"/>
              </w:rPr>
            </w:pPr>
            <w:r w:rsidRPr="00022D33">
              <w:rPr>
                <w:rFonts w:ascii="Arial" w:eastAsia="Times New Roman" w:hAnsi="Arial" w:cs="Arial"/>
                <w:b/>
                <w:sz w:val="20"/>
                <w:szCs w:val="20"/>
                <w:lang w:eastAsia="en-AU"/>
              </w:rPr>
              <w:t>(57,062)</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spacing w:before="60" w:after="60" w:line="240" w:lineRule="auto"/>
              <w:jc w:val="right"/>
              <w:rPr>
                <w:rFonts w:ascii="Arial" w:eastAsia="Times New Roman" w:hAnsi="Arial" w:cs="Arial"/>
                <w:b/>
                <w:sz w:val="20"/>
                <w:szCs w:val="20"/>
                <w:lang w:eastAsia="en-AU"/>
              </w:rPr>
            </w:pPr>
            <w:r w:rsidRPr="00022D33">
              <w:rPr>
                <w:rFonts w:ascii="Arial" w:eastAsia="Times New Roman" w:hAnsi="Arial" w:cs="Arial"/>
                <w:b/>
                <w:sz w:val="20"/>
                <w:szCs w:val="20"/>
                <w:lang w:eastAsia="en-AU"/>
              </w:rPr>
              <w:t>(157,987)</w:t>
            </w:r>
          </w:p>
        </w:tc>
      </w:tr>
    </w:tbl>
    <w:p w:rsidR="00617CB0" w:rsidRPr="00022D33" w:rsidRDefault="00617CB0" w:rsidP="000D7011">
      <w:pPr>
        <w:pStyle w:val="BodyText"/>
        <w:numPr>
          <w:ilvl w:val="0"/>
          <w:numId w:val="24"/>
        </w:numPr>
        <w:rPr>
          <w:sz w:val="20"/>
          <w:szCs w:val="20"/>
        </w:rPr>
      </w:pPr>
      <w:r w:rsidRPr="00022D33">
        <w:rPr>
          <w:sz w:val="20"/>
          <w:szCs w:val="20"/>
        </w:rPr>
        <w:t>Note that the Australian Taxation Office (ATO) receivable/payable in respect of GST and the receivable/payable in respect of the sale/purchase of non-current assets are not included in these items as they do not form part of the reconciling items.</w:t>
      </w:r>
    </w:p>
    <w:p w:rsidR="00617CB0" w:rsidRPr="00022D33" w:rsidRDefault="00617CB0" w:rsidP="000D7011">
      <w:pPr>
        <w:pStyle w:val="BodyText"/>
        <w:numPr>
          <w:ilvl w:val="0"/>
          <w:numId w:val="24"/>
        </w:numPr>
        <w:rPr>
          <w:sz w:val="20"/>
          <w:szCs w:val="20"/>
        </w:rPr>
      </w:pPr>
      <w:r w:rsidRPr="00022D33">
        <w:rPr>
          <w:sz w:val="20"/>
          <w:szCs w:val="20"/>
        </w:rPr>
        <w:t>This is the net GST paid/received, i.e. cash transactions.</w:t>
      </w:r>
    </w:p>
    <w:p w:rsidR="00617CB0" w:rsidRPr="00022D33" w:rsidRDefault="00617CB0" w:rsidP="000D7011">
      <w:pPr>
        <w:pStyle w:val="BodyText"/>
        <w:numPr>
          <w:ilvl w:val="0"/>
          <w:numId w:val="24"/>
        </w:numPr>
        <w:rPr>
          <w:sz w:val="20"/>
          <w:szCs w:val="20"/>
        </w:rPr>
      </w:pPr>
      <w:r w:rsidRPr="00022D33">
        <w:rPr>
          <w:sz w:val="20"/>
          <w:szCs w:val="20"/>
        </w:rPr>
        <w:t>This reverses out the GST in receivables and payables.</w:t>
      </w:r>
    </w:p>
    <w:p w:rsidR="00617CB0" w:rsidRDefault="00617CB0" w:rsidP="00617CB0">
      <w:pPr>
        <w:pStyle w:val="Heading3"/>
        <w:sectPr w:rsidR="00617CB0" w:rsidSect="005F3639">
          <w:pgSz w:w="11906" w:h="16838" w:code="9"/>
          <w:pgMar w:top="1440" w:right="1440" w:bottom="1276" w:left="1440" w:header="0" w:footer="709" w:gutter="0"/>
          <w:cols w:space="708"/>
          <w:docGrid w:linePitch="360"/>
        </w:sectPr>
      </w:pPr>
    </w:p>
    <w:p w:rsidR="00617CB0" w:rsidRPr="00022D33" w:rsidRDefault="00617CB0" w:rsidP="00617CB0">
      <w:pPr>
        <w:pStyle w:val="Heading3"/>
      </w:pPr>
      <w:r w:rsidRPr="00022D33">
        <w:t>Note 35. Services provided free of charge</w:t>
      </w:r>
    </w:p>
    <w:p w:rsidR="00617CB0" w:rsidRPr="00022D33" w:rsidRDefault="00196F4C" w:rsidP="00617CB0">
      <w:pPr>
        <w:pStyle w:val="Caption"/>
        <w:keepNext/>
        <w:spacing w:after="60"/>
      </w:pPr>
      <w:fldSimple w:instr=" SEQ Table \* ARABIC ">
        <w:r w:rsidR="00D8778B">
          <w:rPr>
            <w:noProof/>
          </w:rPr>
          <w:t>49</w:t>
        </w:r>
      </w:fldSimple>
      <w:r w:rsidR="00617CB0" w:rsidRPr="00022D33">
        <w:t xml:space="preserve"> Services provided free of charge</w:t>
      </w:r>
    </w:p>
    <w:p w:rsidR="00617CB0" w:rsidRPr="00022D33" w:rsidRDefault="00617CB0" w:rsidP="00617CB0">
      <w:pPr>
        <w:pStyle w:val="BodyText"/>
      </w:pPr>
      <w:r w:rsidRPr="00022D33">
        <w:t>During the year the following services were provided to other agencies free of charge for functions outside the normal operations of the Department: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Department of Education</w:t>
            </w:r>
          </w:p>
        </w:tc>
        <w:tc>
          <w:tcPr>
            <w:tcW w:w="1474" w:type="dxa"/>
            <w:tcBorders>
              <w:top w:val="nil"/>
              <w:left w:val="nil"/>
              <w:bottom w:val="nil"/>
              <w:right w:val="nil"/>
            </w:tcBorders>
          </w:tcPr>
          <w:p w:rsidR="00617CB0" w:rsidRPr="00022D33" w:rsidRDefault="00617CB0" w:rsidP="000D7011">
            <w:pPr>
              <w:pStyle w:val="Tabletext"/>
              <w:jc w:val="right"/>
            </w:pPr>
            <w:r w:rsidRPr="00022D33">
              <w:t>19,040</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19,705</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W</w:t>
            </w:r>
            <w:r>
              <w:t xml:space="preserve">estern </w:t>
            </w:r>
            <w:r w:rsidRPr="00022D33">
              <w:t>A</w:t>
            </w:r>
            <w:r>
              <w:t>ustralia</w:t>
            </w:r>
            <w:r w:rsidRPr="00022D33">
              <w:t xml:space="preserve"> Police</w:t>
            </w:r>
          </w:p>
        </w:tc>
        <w:tc>
          <w:tcPr>
            <w:tcW w:w="1474" w:type="dxa"/>
            <w:tcBorders>
              <w:top w:val="nil"/>
              <w:left w:val="nil"/>
              <w:bottom w:val="nil"/>
              <w:right w:val="nil"/>
            </w:tcBorders>
          </w:tcPr>
          <w:p w:rsidR="00617CB0" w:rsidRPr="00022D33" w:rsidRDefault="00617CB0" w:rsidP="000D7011">
            <w:pPr>
              <w:pStyle w:val="Tabletext"/>
              <w:jc w:val="right"/>
            </w:pPr>
            <w:r w:rsidRPr="00022D33">
              <w:t>4,338</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5,772</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Department of Health</w:t>
            </w:r>
          </w:p>
        </w:tc>
        <w:tc>
          <w:tcPr>
            <w:tcW w:w="1474" w:type="dxa"/>
            <w:tcBorders>
              <w:top w:val="nil"/>
              <w:left w:val="nil"/>
              <w:bottom w:val="nil"/>
              <w:right w:val="nil"/>
            </w:tcBorders>
          </w:tcPr>
          <w:p w:rsidR="00617CB0" w:rsidRPr="00022D33" w:rsidRDefault="00617CB0" w:rsidP="000D7011">
            <w:pPr>
              <w:pStyle w:val="Tabletext"/>
              <w:jc w:val="right"/>
            </w:pPr>
            <w:r w:rsidRPr="00022D33">
              <w:t>4,259</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4,741</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Department of the Premier and Cabinet</w:t>
            </w:r>
          </w:p>
        </w:tc>
        <w:tc>
          <w:tcPr>
            <w:tcW w:w="1474" w:type="dxa"/>
            <w:tcBorders>
              <w:top w:val="nil"/>
              <w:left w:val="nil"/>
              <w:bottom w:val="nil"/>
              <w:right w:val="nil"/>
            </w:tcBorders>
          </w:tcPr>
          <w:p w:rsidR="00617CB0" w:rsidRPr="00022D33" w:rsidRDefault="00617CB0" w:rsidP="000D7011">
            <w:pPr>
              <w:pStyle w:val="Tabletext"/>
              <w:jc w:val="right"/>
            </w:pPr>
            <w:r w:rsidRPr="00022D33">
              <w:t>4,207</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4,364</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Department of Corrective Services</w:t>
            </w:r>
          </w:p>
        </w:tc>
        <w:tc>
          <w:tcPr>
            <w:tcW w:w="1474" w:type="dxa"/>
            <w:tcBorders>
              <w:top w:val="nil"/>
              <w:left w:val="nil"/>
              <w:bottom w:val="nil"/>
              <w:right w:val="nil"/>
            </w:tcBorders>
          </w:tcPr>
          <w:p w:rsidR="00617CB0" w:rsidRPr="00022D33" w:rsidRDefault="00617CB0" w:rsidP="000D7011">
            <w:pPr>
              <w:pStyle w:val="Tabletext"/>
              <w:jc w:val="right"/>
            </w:pPr>
            <w:r w:rsidRPr="00022D33">
              <w:t>2,458</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2,782</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Department of the Attorney General</w:t>
            </w:r>
          </w:p>
        </w:tc>
        <w:tc>
          <w:tcPr>
            <w:tcW w:w="1474" w:type="dxa"/>
            <w:tcBorders>
              <w:top w:val="nil"/>
              <w:left w:val="nil"/>
              <w:bottom w:val="nil"/>
              <w:right w:val="nil"/>
            </w:tcBorders>
          </w:tcPr>
          <w:p w:rsidR="00617CB0" w:rsidRPr="00022D33" w:rsidRDefault="00617CB0" w:rsidP="000D7011">
            <w:pPr>
              <w:pStyle w:val="Tabletext"/>
              <w:jc w:val="right"/>
            </w:pPr>
            <w:r w:rsidRPr="00022D33">
              <w:t>2,473</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1,268</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Department of Planning</w:t>
            </w:r>
          </w:p>
        </w:tc>
        <w:tc>
          <w:tcPr>
            <w:tcW w:w="1474" w:type="dxa"/>
            <w:tcBorders>
              <w:top w:val="nil"/>
              <w:left w:val="nil"/>
              <w:bottom w:val="nil"/>
              <w:right w:val="nil"/>
            </w:tcBorders>
          </w:tcPr>
          <w:p w:rsidR="00617CB0" w:rsidRPr="00022D33" w:rsidRDefault="00617CB0" w:rsidP="000D7011">
            <w:pPr>
              <w:pStyle w:val="Tabletext"/>
              <w:jc w:val="right"/>
            </w:pPr>
            <w:r w:rsidRPr="00022D33">
              <w:t>1,172</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1,248</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Department of Training and Workforce Development</w:t>
            </w:r>
          </w:p>
        </w:tc>
        <w:tc>
          <w:tcPr>
            <w:tcW w:w="1474" w:type="dxa"/>
            <w:tcBorders>
              <w:top w:val="nil"/>
              <w:left w:val="nil"/>
              <w:bottom w:val="nil"/>
              <w:right w:val="nil"/>
            </w:tcBorders>
          </w:tcPr>
          <w:p w:rsidR="00617CB0" w:rsidRPr="00022D33" w:rsidRDefault="00617CB0" w:rsidP="000D7011">
            <w:pPr>
              <w:pStyle w:val="Tabletext"/>
              <w:jc w:val="right"/>
            </w:pPr>
            <w:r w:rsidRPr="00022D33">
              <w:t>891</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1,165</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Department of Child Protection and Family Support</w:t>
            </w:r>
          </w:p>
        </w:tc>
        <w:tc>
          <w:tcPr>
            <w:tcW w:w="1474" w:type="dxa"/>
            <w:tcBorders>
              <w:top w:val="nil"/>
              <w:left w:val="nil"/>
              <w:bottom w:val="nil"/>
              <w:right w:val="nil"/>
            </w:tcBorders>
          </w:tcPr>
          <w:p w:rsidR="00617CB0" w:rsidRPr="00022D33" w:rsidRDefault="00617CB0" w:rsidP="000D7011">
            <w:pPr>
              <w:pStyle w:val="Tabletext"/>
              <w:jc w:val="right"/>
            </w:pPr>
            <w:r w:rsidRPr="00022D33">
              <w:t>933</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1,113</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Department of Transport</w:t>
            </w:r>
          </w:p>
        </w:tc>
        <w:tc>
          <w:tcPr>
            <w:tcW w:w="1474" w:type="dxa"/>
            <w:tcBorders>
              <w:top w:val="nil"/>
              <w:left w:val="nil"/>
              <w:bottom w:val="nil"/>
              <w:right w:val="nil"/>
            </w:tcBorders>
          </w:tcPr>
          <w:p w:rsidR="00617CB0" w:rsidRPr="00022D33" w:rsidRDefault="00617CB0" w:rsidP="000D7011">
            <w:pPr>
              <w:pStyle w:val="Tabletext"/>
              <w:jc w:val="right"/>
            </w:pPr>
            <w:r w:rsidRPr="00022D33">
              <w:t>1,190</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1,026</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Department of Commerce</w:t>
            </w:r>
          </w:p>
        </w:tc>
        <w:tc>
          <w:tcPr>
            <w:tcW w:w="1474" w:type="dxa"/>
            <w:tcBorders>
              <w:top w:val="nil"/>
              <w:left w:val="nil"/>
              <w:bottom w:val="nil"/>
              <w:right w:val="nil"/>
            </w:tcBorders>
          </w:tcPr>
          <w:p w:rsidR="00617CB0" w:rsidRPr="00022D33" w:rsidRDefault="00617CB0" w:rsidP="000D7011">
            <w:pPr>
              <w:pStyle w:val="Tabletext"/>
              <w:jc w:val="right"/>
            </w:pPr>
            <w:r w:rsidRPr="00022D33">
              <w:t>768</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909</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Department of Treasury</w:t>
            </w:r>
          </w:p>
        </w:tc>
        <w:tc>
          <w:tcPr>
            <w:tcW w:w="1474" w:type="dxa"/>
            <w:tcBorders>
              <w:top w:val="nil"/>
              <w:left w:val="nil"/>
              <w:bottom w:val="nil"/>
              <w:right w:val="nil"/>
            </w:tcBorders>
          </w:tcPr>
          <w:p w:rsidR="00617CB0" w:rsidRPr="00022D33" w:rsidRDefault="00617CB0" w:rsidP="000D7011">
            <w:pPr>
              <w:pStyle w:val="Tabletext"/>
              <w:jc w:val="right"/>
            </w:pPr>
            <w:r w:rsidRPr="00022D33">
              <w:t>729</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798</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Department of Culture and the Arts</w:t>
            </w:r>
          </w:p>
        </w:tc>
        <w:tc>
          <w:tcPr>
            <w:tcW w:w="1474" w:type="dxa"/>
            <w:tcBorders>
              <w:top w:val="nil"/>
              <w:left w:val="nil"/>
              <w:bottom w:val="nil"/>
              <w:right w:val="nil"/>
            </w:tcBorders>
          </w:tcPr>
          <w:p w:rsidR="00617CB0" w:rsidRPr="00022D33" w:rsidRDefault="00617CB0" w:rsidP="000D7011">
            <w:pPr>
              <w:pStyle w:val="Tabletext"/>
              <w:jc w:val="right"/>
            </w:pPr>
            <w:r w:rsidRPr="00022D33">
              <w:t>748</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757</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Department of Local Government and Communities</w:t>
            </w:r>
          </w:p>
        </w:tc>
        <w:tc>
          <w:tcPr>
            <w:tcW w:w="1474" w:type="dxa"/>
            <w:tcBorders>
              <w:top w:val="nil"/>
              <w:left w:val="nil"/>
              <w:bottom w:val="nil"/>
              <w:right w:val="nil"/>
            </w:tcBorders>
          </w:tcPr>
          <w:p w:rsidR="00617CB0" w:rsidRPr="00022D33" w:rsidRDefault="00617CB0" w:rsidP="000D7011">
            <w:pPr>
              <w:pStyle w:val="Tabletext"/>
              <w:jc w:val="right"/>
            </w:pPr>
            <w:r w:rsidRPr="00022D33">
              <w:t>591</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599</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Disability Services Commission</w:t>
            </w:r>
          </w:p>
        </w:tc>
        <w:tc>
          <w:tcPr>
            <w:tcW w:w="1474" w:type="dxa"/>
            <w:tcBorders>
              <w:top w:val="nil"/>
              <w:left w:val="nil"/>
              <w:bottom w:val="nil"/>
              <w:right w:val="nil"/>
            </w:tcBorders>
          </w:tcPr>
          <w:p w:rsidR="00617CB0" w:rsidRPr="00022D33" w:rsidRDefault="00617CB0" w:rsidP="000D7011">
            <w:pPr>
              <w:pStyle w:val="Tabletext"/>
              <w:jc w:val="right"/>
            </w:pPr>
            <w:r w:rsidRPr="00022D33">
              <w:t>555</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590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Department of Aboriginal Affairs</w:t>
            </w:r>
          </w:p>
        </w:tc>
        <w:tc>
          <w:tcPr>
            <w:tcW w:w="1474" w:type="dxa"/>
            <w:tcBorders>
              <w:top w:val="nil"/>
              <w:left w:val="nil"/>
              <w:bottom w:val="nil"/>
              <w:right w:val="nil"/>
            </w:tcBorders>
          </w:tcPr>
          <w:p w:rsidR="00617CB0" w:rsidRPr="00022D33" w:rsidRDefault="00617CB0" w:rsidP="000D7011">
            <w:pPr>
              <w:pStyle w:val="Tabletext"/>
              <w:jc w:val="right"/>
            </w:pPr>
            <w:r w:rsidRPr="00022D33">
              <w:t>572</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579</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Office of the Auditor General</w:t>
            </w:r>
          </w:p>
        </w:tc>
        <w:tc>
          <w:tcPr>
            <w:tcW w:w="1474" w:type="dxa"/>
            <w:tcBorders>
              <w:top w:val="nil"/>
              <w:left w:val="nil"/>
              <w:bottom w:val="nil"/>
              <w:right w:val="nil"/>
            </w:tcBorders>
          </w:tcPr>
          <w:p w:rsidR="00617CB0" w:rsidRPr="00022D33" w:rsidRDefault="00617CB0" w:rsidP="000D7011">
            <w:pPr>
              <w:pStyle w:val="Tabletext"/>
              <w:jc w:val="right"/>
            </w:pPr>
            <w:r w:rsidRPr="00022D33">
              <w:t>503</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503</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Others (a)</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4,579</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4,925</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notetext"/>
            </w:pPr>
          </w:p>
        </w:tc>
        <w:tc>
          <w:tcPr>
            <w:tcW w:w="1474" w:type="dxa"/>
            <w:tcBorders>
              <w:top w:val="single" w:sz="4" w:space="0" w:color="auto"/>
              <w:left w:val="nil"/>
              <w:bottom w:val="double" w:sz="4" w:space="0" w:color="auto"/>
              <w:right w:val="nil"/>
            </w:tcBorders>
          </w:tcPr>
          <w:p w:rsidR="00617CB0" w:rsidRPr="00022D33" w:rsidRDefault="00617CB0" w:rsidP="000D7011">
            <w:pPr>
              <w:pStyle w:val="Tableboldedtext"/>
              <w:jc w:val="right"/>
            </w:pPr>
            <w:r w:rsidRPr="00022D33">
              <w:t>50,006</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52,843</w:t>
            </w:r>
          </w:p>
        </w:tc>
      </w:tr>
    </w:tbl>
    <w:p w:rsidR="00617CB0" w:rsidRPr="00022D33" w:rsidRDefault="00617CB0" w:rsidP="000D7011">
      <w:pPr>
        <w:pStyle w:val="BodyText"/>
        <w:numPr>
          <w:ilvl w:val="0"/>
          <w:numId w:val="25"/>
        </w:numPr>
        <w:rPr>
          <w:sz w:val="20"/>
          <w:szCs w:val="20"/>
        </w:rPr>
      </w:pPr>
      <w:r w:rsidRPr="00022D33">
        <w:rPr>
          <w:sz w:val="20"/>
          <w:szCs w:val="20"/>
        </w:rPr>
        <w:t>Includes 46 agencies in 2015 and 48 agencies in 2016 with individual services provided free of charge which are each less than $500,000.</w:t>
      </w:r>
    </w:p>
    <w:p w:rsidR="00617CB0" w:rsidRPr="00022D33" w:rsidRDefault="00617CB0" w:rsidP="00617CB0">
      <w:pPr>
        <w:pStyle w:val="Heading3"/>
      </w:pPr>
      <w:r w:rsidRPr="00022D33">
        <w:t>Note 36. Commitments</w:t>
      </w:r>
    </w:p>
    <w:p w:rsidR="00617CB0" w:rsidRPr="00022D33" w:rsidRDefault="00617CB0" w:rsidP="00617CB0">
      <w:pPr>
        <w:pStyle w:val="Heading4"/>
      </w:pPr>
      <w:r w:rsidRPr="00022D33">
        <w:t>Non–cancellable operating lease commitments</w:t>
      </w:r>
    </w:p>
    <w:p w:rsidR="00617CB0" w:rsidRPr="00022D33" w:rsidRDefault="00196F4C" w:rsidP="00617CB0">
      <w:pPr>
        <w:pStyle w:val="Caption"/>
        <w:keepNext/>
        <w:spacing w:after="60"/>
      </w:pPr>
      <w:fldSimple w:instr=" SEQ Table \* ARABIC ">
        <w:r w:rsidR="00D8778B">
          <w:rPr>
            <w:noProof/>
          </w:rPr>
          <w:t>50</w:t>
        </w:r>
      </w:fldSimple>
      <w:r w:rsidR="00617CB0" w:rsidRPr="00022D33">
        <w:t xml:space="preserve"> Non–cancellable operating lease commitments</w:t>
      </w:r>
    </w:p>
    <w:p w:rsidR="00617CB0" w:rsidRPr="00022D33" w:rsidRDefault="00617CB0" w:rsidP="00617CB0">
      <w:pPr>
        <w:pStyle w:val="BodyText"/>
      </w:pPr>
      <w:r w:rsidRPr="00022D33">
        <w:t>Commitments for minimum lease payments are payable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Within 1 year</w:t>
            </w:r>
          </w:p>
        </w:tc>
        <w:tc>
          <w:tcPr>
            <w:tcW w:w="1474" w:type="dxa"/>
            <w:tcBorders>
              <w:top w:val="nil"/>
              <w:left w:val="nil"/>
              <w:bottom w:val="nil"/>
              <w:right w:val="nil"/>
            </w:tcBorders>
          </w:tcPr>
          <w:p w:rsidR="00617CB0" w:rsidRPr="00022D33" w:rsidRDefault="00617CB0" w:rsidP="000D7011">
            <w:pPr>
              <w:pStyle w:val="Tabletext"/>
              <w:jc w:val="right"/>
            </w:pPr>
            <w:r w:rsidRPr="00022D33">
              <w:t>10,979</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7,836</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Later than 1 year and not later than 5 years</w:t>
            </w:r>
          </w:p>
        </w:tc>
        <w:tc>
          <w:tcPr>
            <w:tcW w:w="1474" w:type="dxa"/>
            <w:tcBorders>
              <w:top w:val="nil"/>
              <w:left w:val="nil"/>
              <w:bottom w:val="nil"/>
              <w:right w:val="nil"/>
            </w:tcBorders>
          </w:tcPr>
          <w:p w:rsidR="00617CB0" w:rsidRPr="00022D33" w:rsidRDefault="00617CB0" w:rsidP="000D7011">
            <w:pPr>
              <w:pStyle w:val="Tabletext"/>
              <w:jc w:val="right"/>
            </w:pPr>
            <w:r w:rsidRPr="00022D33">
              <w:t>42,395</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21,780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Later than 5 years</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39,951</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25,504</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p>
        </w:tc>
        <w:tc>
          <w:tcPr>
            <w:tcW w:w="1474" w:type="dxa"/>
            <w:tcBorders>
              <w:top w:val="single" w:sz="4" w:space="0" w:color="auto"/>
              <w:left w:val="nil"/>
              <w:bottom w:val="double" w:sz="4" w:space="0" w:color="auto"/>
              <w:right w:val="nil"/>
            </w:tcBorders>
          </w:tcPr>
          <w:p w:rsidR="00617CB0" w:rsidRPr="00022D33" w:rsidRDefault="00617CB0" w:rsidP="000D7011">
            <w:pPr>
              <w:pStyle w:val="Tableboldedtext"/>
              <w:jc w:val="right"/>
            </w:pPr>
            <w:r w:rsidRPr="00022D33">
              <w:t>93,325</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55,120</w:t>
            </w:r>
          </w:p>
        </w:tc>
      </w:tr>
    </w:tbl>
    <w:p w:rsidR="00617CB0" w:rsidRDefault="00617CB0" w:rsidP="00617CB0">
      <w:pPr>
        <w:pStyle w:val="BodyText"/>
      </w:pPr>
    </w:p>
    <w:p w:rsidR="00617CB0" w:rsidRPr="00022D33" w:rsidRDefault="00617CB0" w:rsidP="00617CB0">
      <w:pPr>
        <w:pStyle w:val="BodyText"/>
      </w:pPr>
      <w:r w:rsidRPr="00022D33">
        <w:t>The property leases are non-cancellable and have terms ranging from 1 year to 15 years, with rent generally payable monthly in advance. Depending on the terms and conditions of the lease concerned, rent review provisions exist which generally result in rental increases throughout the lease terms. Options exist in most leases which permit leases to be extended under the prevailing lease terms and conditions, resulting in leases being extended beyond their original lease term.</w:t>
      </w:r>
    </w:p>
    <w:p w:rsidR="00617CB0" w:rsidRPr="00022D33" w:rsidRDefault="00617CB0" w:rsidP="00617CB0">
      <w:pPr>
        <w:pStyle w:val="Heading4"/>
        <w:rPr>
          <w:sz w:val="14"/>
          <w:szCs w:val="14"/>
        </w:rPr>
      </w:pPr>
      <w:bookmarkStart w:id="12" w:name="Note_37._Contingent_liabilities_and_cont"/>
      <w:bookmarkEnd w:id="12"/>
      <w:r w:rsidRPr="00022D33">
        <w:t>Capital expenditure commitments</w:t>
      </w:r>
    </w:p>
    <w:p w:rsidR="00617CB0" w:rsidRPr="00022D33" w:rsidRDefault="00617CB0" w:rsidP="00617CB0">
      <w:pPr>
        <w:pStyle w:val="BodyText"/>
        <w:spacing w:after="141"/>
      </w:pPr>
      <w:r w:rsidRPr="00022D33">
        <w:t>Capital expenditure commitments, being contracted capital expenditure additional to the amounts reported in the financial statements, are payable as follows:</w:t>
      </w:r>
    </w:p>
    <w:p w:rsidR="00617CB0" w:rsidRDefault="00617CB0" w:rsidP="00617CB0">
      <w:pPr>
        <w:pStyle w:val="Caption"/>
        <w:keepNext/>
        <w:spacing w:after="60"/>
      </w:pPr>
    </w:p>
    <w:p w:rsidR="00617CB0" w:rsidRPr="00022D33" w:rsidRDefault="00196F4C" w:rsidP="00617CB0">
      <w:pPr>
        <w:pStyle w:val="Caption"/>
        <w:keepNext/>
        <w:spacing w:after="60"/>
      </w:pPr>
      <w:fldSimple w:instr=" SEQ Table \* ARABIC ">
        <w:r w:rsidR="00D8778B">
          <w:rPr>
            <w:noProof/>
          </w:rPr>
          <w:t>51</w:t>
        </w:r>
      </w:fldSimple>
      <w:r w:rsidR="00617CB0" w:rsidRPr="00022D33">
        <w:t xml:space="preserve"> Capital expenditure commitments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Within 1 year </w:t>
            </w:r>
            <w:r w:rsidRPr="00022D33">
              <w:rPr>
                <w:vertAlign w:val="superscript"/>
              </w:rPr>
              <w:t>(a)</w:t>
            </w:r>
          </w:p>
        </w:tc>
        <w:tc>
          <w:tcPr>
            <w:tcW w:w="1474" w:type="dxa"/>
            <w:tcBorders>
              <w:top w:val="nil"/>
              <w:left w:val="nil"/>
              <w:bottom w:val="nil"/>
              <w:right w:val="nil"/>
            </w:tcBorders>
          </w:tcPr>
          <w:p w:rsidR="00617CB0" w:rsidRPr="00022D33" w:rsidRDefault="00617CB0" w:rsidP="000D7011">
            <w:pPr>
              <w:pStyle w:val="Tabletext"/>
              <w:jc w:val="right"/>
            </w:pPr>
            <w:r w:rsidRPr="00022D33">
              <w:t>48,406</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53,096</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Later than 1 year and not later than 5 years</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p>
        </w:tc>
        <w:tc>
          <w:tcPr>
            <w:tcW w:w="1474" w:type="dxa"/>
            <w:tcBorders>
              <w:top w:val="single" w:sz="4" w:space="0" w:color="auto"/>
              <w:left w:val="nil"/>
              <w:bottom w:val="double" w:sz="4" w:space="0" w:color="auto"/>
              <w:right w:val="nil"/>
            </w:tcBorders>
          </w:tcPr>
          <w:p w:rsidR="00617CB0" w:rsidRPr="00022D33" w:rsidRDefault="00617CB0" w:rsidP="000D7011">
            <w:pPr>
              <w:pStyle w:val="Tableboldedtext"/>
              <w:jc w:val="right"/>
            </w:pPr>
            <w:r w:rsidRPr="00022D33">
              <w:t>48,406</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53,096</w:t>
            </w:r>
          </w:p>
        </w:tc>
      </w:tr>
    </w:tbl>
    <w:p w:rsidR="00617CB0" w:rsidRPr="00022D33" w:rsidRDefault="00617CB0" w:rsidP="000D7011">
      <w:pPr>
        <w:pStyle w:val="BodyText"/>
        <w:numPr>
          <w:ilvl w:val="0"/>
          <w:numId w:val="26"/>
        </w:numPr>
        <w:rPr>
          <w:sz w:val="20"/>
          <w:szCs w:val="20"/>
        </w:rPr>
      </w:pPr>
      <w:r w:rsidRPr="00022D33">
        <w:rPr>
          <w:sz w:val="20"/>
          <w:szCs w:val="20"/>
        </w:rPr>
        <w:t>The 2015 figure was restated to reflect finalised Building Management and Works capital commitments.</w:t>
      </w:r>
    </w:p>
    <w:p w:rsidR="00617CB0" w:rsidRPr="00022D33" w:rsidRDefault="00617CB0" w:rsidP="00617CB0">
      <w:pPr>
        <w:pStyle w:val="Heading4"/>
      </w:pPr>
      <w:r w:rsidRPr="00022D33">
        <w:t>Other expenditure commitments</w:t>
      </w:r>
    </w:p>
    <w:p w:rsidR="00617CB0" w:rsidRPr="00022D33" w:rsidRDefault="00617CB0" w:rsidP="00617CB0">
      <w:pPr>
        <w:pStyle w:val="BodyText"/>
        <w:spacing w:after="141"/>
      </w:pPr>
      <w:r w:rsidRPr="00022D33">
        <w:t>Other expenditure commitments contracted for at the end of the reporting period but not recognised as liabilities, are payable as follows:</w:t>
      </w:r>
    </w:p>
    <w:p w:rsidR="00617CB0" w:rsidRDefault="00617CB0" w:rsidP="00617CB0">
      <w:pPr>
        <w:pStyle w:val="Caption"/>
        <w:keepNext/>
        <w:spacing w:after="60"/>
      </w:pPr>
    </w:p>
    <w:p w:rsidR="00617CB0" w:rsidRPr="00022D33" w:rsidRDefault="00196F4C" w:rsidP="00617CB0">
      <w:pPr>
        <w:pStyle w:val="Caption"/>
        <w:keepNext/>
        <w:spacing w:after="60"/>
      </w:pPr>
      <w:fldSimple w:instr=" SEQ Table \* ARABIC ">
        <w:r w:rsidR="00D8778B">
          <w:rPr>
            <w:noProof/>
          </w:rPr>
          <w:t>52</w:t>
        </w:r>
      </w:fldSimple>
      <w:r w:rsidR="00617CB0" w:rsidRPr="00022D33">
        <w:t xml:space="preserve"> Other expenditure commitments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Within 1 year</w:t>
            </w:r>
          </w:p>
        </w:tc>
        <w:tc>
          <w:tcPr>
            <w:tcW w:w="1474" w:type="dxa"/>
            <w:tcBorders>
              <w:top w:val="nil"/>
              <w:left w:val="nil"/>
              <w:bottom w:val="nil"/>
              <w:right w:val="nil"/>
            </w:tcBorders>
          </w:tcPr>
          <w:p w:rsidR="00617CB0" w:rsidRPr="00022D33" w:rsidRDefault="00617CB0" w:rsidP="000D7011">
            <w:pPr>
              <w:pStyle w:val="Tabletext"/>
              <w:jc w:val="right"/>
            </w:pPr>
            <w:r w:rsidRPr="00022D33">
              <w:t>6,727</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4,616</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Later than 1 year and not later than 5 years </w:t>
            </w:r>
          </w:p>
        </w:tc>
        <w:tc>
          <w:tcPr>
            <w:tcW w:w="1474" w:type="dxa"/>
            <w:tcBorders>
              <w:top w:val="nil"/>
              <w:left w:val="nil"/>
              <w:bottom w:val="single" w:sz="4" w:space="0" w:color="auto"/>
              <w:right w:val="nil"/>
            </w:tcBorders>
          </w:tcPr>
          <w:p w:rsidR="00617CB0" w:rsidRPr="00022D33" w:rsidRDefault="00617CB0" w:rsidP="000D7011">
            <w:pPr>
              <w:pStyle w:val="Tabletext"/>
              <w:jc w:val="right"/>
            </w:pP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p>
        </w:tc>
        <w:tc>
          <w:tcPr>
            <w:tcW w:w="1474" w:type="dxa"/>
            <w:tcBorders>
              <w:top w:val="single" w:sz="4" w:space="0" w:color="auto"/>
              <w:left w:val="nil"/>
              <w:bottom w:val="double" w:sz="4" w:space="0" w:color="auto"/>
              <w:right w:val="nil"/>
            </w:tcBorders>
          </w:tcPr>
          <w:p w:rsidR="00617CB0" w:rsidRPr="00022D33" w:rsidRDefault="00617CB0" w:rsidP="000D7011">
            <w:pPr>
              <w:pStyle w:val="Tableboldedtext"/>
              <w:jc w:val="right"/>
            </w:pPr>
            <w:r w:rsidRPr="00022D33">
              <w:t>6,727</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4,616</w:t>
            </w:r>
          </w:p>
        </w:tc>
      </w:tr>
    </w:tbl>
    <w:p w:rsidR="00617CB0" w:rsidRDefault="00617CB0" w:rsidP="00617CB0">
      <w:pPr>
        <w:pStyle w:val="Heading4"/>
        <w:sectPr w:rsidR="00617CB0" w:rsidSect="005F3639">
          <w:pgSz w:w="11906" w:h="16838" w:code="9"/>
          <w:pgMar w:top="1440" w:right="1440" w:bottom="1276" w:left="1440" w:header="0" w:footer="709" w:gutter="0"/>
          <w:cols w:space="708"/>
          <w:docGrid w:linePitch="360"/>
        </w:sectPr>
      </w:pPr>
    </w:p>
    <w:p w:rsidR="00617CB0" w:rsidRPr="00022D33" w:rsidRDefault="00617CB0" w:rsidP="00617CB0">
      <w:pPr>
        <w:pStyle w:val="Heading4"/>
      </w:pPr>
      <w:r w:rsidRPr="00022D33">
        <w:t>Other operating lease receivables</w:t>
      </w:r>
    </w:p>
    <w:p w:rsidR="00617CB0" w:rsidRPr="00022D33" w:rsidRDefault="00617CB0" w:rsidP="00617CB0">
      <w:pPr>
        <w:pStyle w:val="BodyText"/>
        <w:spacing w:after="141"/>
      </w:pPr>
      <w:r w:rsidRPr="00022D33">
        <w:t>Reflects State Fleet operating lease receivables for vehicles owned by the Department. As at balance date, the future minimum lease payments under non-cancellable operating lease arrangements were distributed as follows:</w:t>
      </w:r>
    </w:p>
    <w:p w:rsidR="00617CB0" w:rsidRDefault="00617CB0" w:rsidP="00617CB0">
      <w:pPr>
        <w:pStyle w:val="Caption"/>
        <w:keepNext/>
        <w:spacing w:after="60"/>
      </w:pPr>
    </w:p>
    <w:p w:rsidR="00617CB0" w:rsidRPr="00022D33" w:rsidRDefault="00196F4C" w:rsidP="00617CB0">
      <w:pPr>
        <w:pStyle w:val="Caption"/>
        <w:keepNext/>
        <w:spacing w:after="60"/>
      </w:pPr>
      <w:fldSimple w:instr=" SEQ Table \* ARABIC ">
        <w:r w:rsidR="00D8778B">
          <w:rPr>
            <w:noProof/>
          </w:rPr>
          <w:t>53</w:t>
        </w:r>
      </w:fldSimple>
      <w:r w:rsidR="00617CB0" w:rsidRPr="00022D33">
        <w:t xml:space="preserve"> Other operating lease receivables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i/>
              </w:rPr>
            </w:pPr>
            <w:r w:rsidRPr="00022D33">
              <w:rPr>
                <w:i/>
              </w:rPr>
              <w:t>Current</w:t>
            </w:r>
          </w:p>
        </w:tc>
        <w:tc>
          <w:tcPr>
            <w:tcW w:w="1474" w:type="dxa"/>
            <w:tcBorders>
              <w:top w:val="nil"/>
              <w:left w:val="nil"/>
              <w:bottom w:val="nil"/>
              <w:right w:val="nil"/>
            </w:tcBorders>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Not later than 1 year</w:t>
            </w:r>
          </w:p>
        </w:tc>
        <w:tc>
          <w:tcPr>
            <w:tcW w:w="1474" w:type="dxa"/>
            <w:tcBorders>
              <w:top w:val="nil"/>
              <w:left w:val="nil"/>
              <w:bottom w:val="nil"/>
              <w:right w:val="nil"/>
            </w:tcBorders>
          </w:tcPr>
          <w:p w:rsidR="00617CB0" w:rsidRPr="00022D33" w:rsidRDefault="00617CB0" w:rsidP="000D7011">
            <w:pPr>
              <w:pStyle w:val="Tabletext"/>
              <w:jc w:val="right"/>
            </w:pPr>
            <w:r w:rsidRPr="00022D33">
              <w:t>47,239</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49,994</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i/>
              </w:rPr>
            </w:pPr>
            <w:r w:rsidRPr="00022D33">
              <w:rPr>
                <w:i/>
              </w:rPr>
              <w:t>Non-current</w:t>
            </w:r>
          </w:p>
        </w:tc>
        <w:tc>
          <w:tcPr>
            <w:tcW w:w="1474" w:type="dxa"/>
            <w:tcBorders>
              <w:top w:val="nil"/>
              <w:left w:val="nil"/>
              <w:bottom w:val="nil"/>
              <w:right w:val="nil"/>
            </w:tcBorders>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Later than 1 year and not later than 5 years</w:t>
            </w:r>
          </w:p>
        </w:tc>
        <w:tc>
          <w:tcPr>
            <w:tcW w:w="1474" w:type="dxa"/>
            <w:tcBorders>
              <w:top w:val="nil"/>
              <w:left w:val="nil"/>
              <w:bottom w:val="nil"/>
              <w:right w:val="nil"/>
            </w:tcBorders>
          </w:tcPr>
          <w:p w:rsidR="00617CB0" w:rsidRPr="00022D33" w:rsidRDefault="00617CB0" w:rsidP="000D7011">
            <w:pPr>
              <w:pStyle w:val="Tabletext"/>
              <w:jc w:val="right"/>
            </w:pPr>
            <w:r w:rsidRPr="00022D33">
              <w:t>55,709</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49,693</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Later than 5 years </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450</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191</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single" w:sz="4" w:space="0" w:color="auto"/>
              <w:left w:val="nil"/>
              <w:bottom w:val="single" w:sz="4" w:space="0" w:color="auto"/>
              <w:right w:val="nil"/>
            </w:tcBorders>
          </w:tcPr>
          <w:p w:rsidR="00617CB0" w:rsidRPr="00022D33" w:rsidRDefault="00617CB0" w:rsidP="000D7011">
            <w:pPr>
              <w:pStyle w:val="Tabletext"/>
              <w:jc w:val="right"/>
            </w:pPr>
            <w:r w:rsidRPr="00022D33">
              <w:t>56,159</w:t>
            </w:r>
          </w:p>
        </w:tc>
        <w:tc>
          <w:tcPr>
            <w:tcW w:w="1474"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pPr>
            <w:r w:rsidRPr="00022D33">
              <w:t>49,884</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p>
        </w:tc>
        <w:tc>
          <w:tcPr>
            <w:tcW w:w="1474" w:type="dxa"/>
            <w:tcBorders>
              <w:top w:val="single" w:sz="4" w:space="0" w:color="auto"/>
              <w:left w:val="nil"/>
              <w:bottom w:val="double" w:sz="4" w:space="0" w:color="auto"/>
              <w:right w:val="nil"/>
            </w:tcBorders>
          </w:tcPr>
          <w:p w:rsidR="00617CB0" w:rsidRPr="00022D33" w:rsidRDefault="00617CB0" w:rsidP="000D7011">
            <w:pPr>
              <w:pStyle w:val="Tableboldedtext"/>
              <w:jc w:val="right"/>
            </w:pPr>
            <w:r w:rsidRPr="00022D33">
              <w:t>103,398</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99,878</w:t>
            </w:r>
          </w:p>
        </w:tc>
      </w:tr>
    </w:tbl>
    <w:p w:rsidR="00617CB0" w:rsidRPr="00022D33" w:rsidRDefault="00617CB0" w:rsidP="00617CB0">
      <w:pPr>
        <w:pStyle w:val="Heading3"/>
      </w:pPr>
      <w:r w:rsidRPr="00022D33">
        <w:rPr>
          <w:spacing w:val="-1"/>
        </w:rPr>
        <w:t>Note</w:t>
      </w:r>
      <w:r w:rsidRPr="00022D33">
        <w:t xml:space="preserve"> 37. </w:t>
      </w:r>
      <w:r w:rsidRPr="00022D33">
        <w:rPr>
          <w:spacing w:val="-1"/>
        </w:rPr>
        <w:t>Contingent</w:t>
      </w:r>
      <w:r w:rsidRPr="00022D33">
        <w:t xml:space="preserve"> liabilities and</w:t>
      </w:r>
      <w:r w:rsidRPr="00022D33">
        <w:rPr>
          <w:spacing w:val="24"/>
        </w:rPr>
        <w:t xml:space="preserve"> </w:t>
      </w:r>
      <w:r w:rsidRPr="00022D33">
        <w:rPr>
          <w:spacing w:val="-1"/>
        </w:rPr>
        <w:t>contingent</w:t>
      </w:r>
      <w:r w:rsidRPr="00022D33">
        <w:t xml:space="preserve"> assets</w:t>
      </w:r>
    </w:p>
    <w:p w:rsidR="00617CB0" w:rsidRPr="00022D33" w:rsidRDefault="00617CB0" w:rsidP="00617CB0">
      <w:pPr>
        <w:pStyle w:val="Heading4"/>
      </w:pPr>
      <w:r w:rsidRPr="00022D33">
        <w:rPr>
          <w:spacing w:val="-1"/>
        </w:rPr>
        <w:t>Contingent</w:t>
      </w:r>
      <w:r w:rsidRPr="00022D33">
        <w:t xml:space="preserve"> liabilities</w:t>
      </w:r>
    </w:p>
    <w:p w:rsidR="00617CB0" w:rsidRPr="00022D33" w:rsidRDefault="00617CB0" w:rsidP="00617CB0">
      <w:pPr>
        <w:pStyle w:val="BodyText"/>
      </w:pPr>
      <w:r w:rsidRPr="00022D33">
        <w:t>The following contingent liabilities are additional to the liabilities included in the financial statements:</w:t>
      </w:r>
      <w:r>
        <w:br/>
      </w:r>
    </w:p>
    <w:p w:rsidR="00617CB0" w:rsidRPr="00022D33" w:rsidRDefault="00196F4C" w:rsidP="00617CB0">
      <w:pPr>
        <w:pStyle w:val="Caption"/>
        <w:keepNext/>
        <w:spacing w:after="60"/>
      </w:pPr>
      <w:fldSimple w:instr=" SEQ Table \* ARABIC ">
        <w:r w:rsidR="00D8778B">
          <w:rPr>
            <w:noProof/>
          </w:rPr>
          <w:t>54</w:t>
        </w:r>
      </w:fldSimple>
      <w:r w:rsidR="00617CB0" w:rsidRPr="00022D33">
        <w:t xml:space="preserve"> Contingent liabilities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BodyText"/>
              <w:spacing w:line="228" w:lineRule="exact"/>
              <w:rPr>
                <w:spacing w:val="-1"/>
                <w:sz w:val="20"/>
                <w:szCs w:val="20"/>
              </w:rPr>
            </w:pPr>
            <w:r w:rsidRPr="00022D33">
              <w:rPr>
                <w:spacing w:val="-1"/>
                <w:sz w:val="20"/>
                <w:szCs w:val="20"/>
              </w:rPr>
              <w:t>Contract</w:t>
            </w:r>
            <w:r w:rsidRPr="00022D33">
              <w:rPr>
                <w:sz w:val="20"/>
                <w:szCs w:val="20"/>
              </w:rPr>
              <w:t xml:space="preserve"> Claims in D</w:t>
            </w:r>
            <w:r w:rsidRPr="00022D33">
              <w:rPr>
                <w:spacing w:val="-1"/>
                <w:sz w:val="20"/>
                <w:szCs w:val="20"/>
              </w:rPr>
              <w:t>ispute</w:t>
            </w:r>
          </w:p>
        </w:tc>
        <w:tc>
          <w:tcPr>
            <w:tcW w:w="1474" w:type="dxa"/>
            <w:tcBorders>
              <w:top w:val="nil"/>
              <w:left w:val="nil"/>
              <w:bottom w:val="nil"/>
              <w:right w:val="nil"/>
            </w:tcBorders>
          </w:tcPr>
          <w:p w:rsidR="00617CB0" w:rsidRPr="00022D33" w:rsidRDefault="00617CB0" w:rsidP="000D7011">
            <w:pPr>
              <w:pStyle w:val="Tabletext"/>
              <w:jc w:val="right"/>
            </w:pPr>
            <w:r w:rsidRPr="00022D33">
              <w:t>4,124</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5,715</w:t>
            </w:r>
          </w:p>
        </w:tc>
      </w:tr>
    </w:tbl>
    <w:p w:rsidR="00617CB0" w:rsidRPr="00022D33" w:rsidRDefault="00617CB0" w:rsidP="00617CB0">
      <w:pPr>
        <w:pStyle w:val="BodyText"/>
      </w:pPr>
      <w:r w:rsidRPr="00022D33">
        <w:t>The contingent liabilities relate to construction works.</w:t>
      </w:r>
    </w:p>
    <w:p w:rsidR="00617CB0" w:rsidRPr="00022D33" w:rsidRDefault="00617CB0" w:rsidP="00617CB0">
      <w:pPr>
        <w:pStyle w:val="BodyText"/>
        <w:rPr>
          <w:i/>
        </w:rPr>
      </w:pPr>
      <w:r w:rsidRPr="00022D33">
        <w:rPr>
          <w:i/>
        </w:rPr>
        <w:t>Contaminated Sites Act 2003</w:t>
      </w:r>
    </w:p>
    <w:p w:rsidR="00617CB0" w:rsidRPr="00022D33" w:rsidRDefault="00617CB0" w:rsidP="00617CB0">
      <w:pPr>
        <w:pStyle w:val="BodyText"/>
      </w:pPr>
      <w:r w:rsidRPr="00022D33">
        <w:t>Under the Contaminated Sites Act 2003, the Department of Finance is required to report known and suspected contaminated sites to the Department of Environment Regulation (DER). In accordance with the Act, DER classifies these sites on the basis of the risk to human health, the environment and environmental values. Where sites are classified as contaminated - remediation required or possibly contaminated – investigation required, the Department may have a liability in respect of investigation or remediation expenses.</w:t>
      </w:r>
    </w:p>
    <w:p w:rsidR="00617CB0" w:rsidRPr="00022D33" w:rsidRDefault="00617CB0" w:rsidP="00617CB0">
      <w:pPr>
        <w:pStyle w:val="BodyText"/>
      </w:pPr>
      <w:r w:rsidRPr="00022D33">
        <w:t>The Department has reported one suspected contaminated site to DER. This was classified as possibly contaminated-investigation required. The Department is unable to assess the likely outcome of the classification process and accordingly it is not practicable to estimate the potential financial effect or to identify the uncertainties relating to the amount or timing of any outflows. Whilst there is no possibility of reimbursement of any future expenses that may be incurred in the remediation of these sites, the Department may apply for funding from the Contaminated Sites Management Account to undertake further investigative work or to meet remediation costs that may be required.</w:t>
      </w:r>
    </w:p>
    <w:p w:rsidR="00617CB0" w:rsidRPr="00022D33" w:rsidRDefault="00617CB0" w:rsidP="00617CB0">
      <w:pPr>
        <w:pStyle w:val="Heading4"/>
        <w:rPr>
          <w:spacing w:val="-1"/>
        </w:rPr>
      </w:pPr>
      <w:r w:rsidRPr="00022D33">
        <w:rPr>
          <w:spacing w:val="-1"/>
        </w:rPr>
        <w:t>Contingent assets</w:t>
      </w:r>
    </w:p>
    <w:p w:rsidR="00617CB0" w:rsidRPr="00022D33" w:rsidRDefault="00617CB0" w:rsidP="00617CB0">
      <w:pPr>
        <w:pStyle w:val="BodyText"/>
      </w:pPr>
      <w:r w:rsidRPr="00022D33">
        <w:t>The following contingent assets are additional to the assets included in the financial statements.</w:t>
      </w:r>
      <w:r>
        <w:br/>
      </w:r>
    </w:p>
    <w:p w:rsidR="00617CB0" w:rsidRPr="00022D33" w:rsidRDefault="00196F4C" w:rsidP="00617CB0">
      <w:pPr>
        <w:pStyle w:val="Caption"/>
        <w:keepNext/>
        <w:spacing w:after="60"/>
      </w:pPr>
      <w:fldSimple w:instr=" SEQ Table \* ARABIC ">
        <w:r w:rsidR="00D8778B">
          <w:rPr>
            <w:noProof/>
          </w:rPr>
          <w:t>55</w:t>
        </w:r>
      </w:fldSimple>
      <w:r w:rsidR="00617CB0" w:rsidRPr="00022D33">
        <w:t xml:space="preserve"> Contingent assets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Litigation in progress</w:t>
            </w:r>
          </w:p>
        </w:tc>
        <w:tc>
          <w:tcPr>
            <w:tcW w:w="1474" w:type="dxa"/>
            <w:tcBorders>
              <w:top w:val="nil"/>
              <w:left w:val="nil"/>
              <w:bottom w:val="nil"/>
              <w:right w:val="nil"/>
            </w:tcBorders>
          </w:tcPr>
          <w:p w:rsidR="00617CB0" w:rsidRPr="00022D33" w:rsidRDefault="00617CB0" w:rsidP="000D7011">
            <w:pPr>
              <w:pStyle w:val="Tabletext"/>
              <w:jc w:val="right"/>
            </w:pPr>
            <w:r w:rsidRPr="00022D33">
              <w:t>21,267</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18,616</w:t>
            </w:r>
          </w:p>
        </w:tc>
      </w:tr>
    </w:tbl>
    <w:p w:rsidR="00617CB0" w:rsidRPr="00022D33" w:rsidRDefault="00617CB0" w:rsidP="00617CB0">
      <w:pPr>
        <w:pStyle w:val="BodyText"/>
      </w:pPr>
      <w:r w:rsidRPr="00022D33">
        <w:t xml:space="preserve">Contingent assets are mainly attributable to disputes concerning the </w:t>
      </w:r>
      <w:r w:rsidRPr="00175B2A">
        <w:rPr>
          <w:i/>
        </w:rPr>
        <w:t>Construction Contract Act 2004</w:t>
      </w:r>
      <w:r w:rsidRPr="00022D33">
        <w:t>.</w:t>
      </w:r>
    </w:p>
    <w:p w:rsidR="00617CB0" w:rsidRPr="00022D33" w:rsidRDefault="00617CB0" w:rsidP="00617CB0">
      <w:pPr>
        <w:pStyle w:val="Heading3"/>
      </w:pPr>
      <w:r w:rsidRPr="00022D33">
        <w:t>Note 38. Related bodies and affiliated bodies</w:t>
      </w:r>
    </w:p>
    <w:p w:rsidR="00617CB0" w:rsidRPr="00022D33" w:rsidRDefault="00617CB0" w:rsidP="00617CB0">
      <w:pPr>
        <w:pStyle w:val="Heading3"/>
        <w:rPr>
          <w:b w:val="0"/>
          <w:sz w:val="24"/>
          <w:szCs w:val="24"/>
        </w:rPr>
      </w:pPr>
      <w:r w:rsidRPr="00022D33">
        <w:rPr>
          <w:b w:val="0"/>
          <w:sz w:val="24"/>
          <w:szCs w:val="24"/>
        </w:rPr>
        <w:t>The Department has no related bodies or affiliated bodies.</w:t>
      </w:r>
    </w:p>
    <w:p w:rsidR="00617CB0" w:rsidRPr="00022D33" w:rsidRDefault="00617CB0" w:rsidP="00617CB0">
      <w:pPr>
        <w:pStyle w:val="Heading3"/>
      </w:pPr>
      <w:r w:rsidRPr="00022D33">
        <w:t>Note 39. Events occurring after the end of the reporting period</w:t>
      </w:r>
    </w:p>
    <w:p w:rsidR="00617CB0" w:rsidRPr="00022D33" w:rsidRDefault="00617CB0" w:rsidP="00617CB0">
      <w:pPr>
        <w:pStyle w:val="Heading3"/>
        <w:rPr>
          <w:b w:val="0"/>
          <w:sz w:val="24"/>
          <w:szCs w:val="24"/>
        </w:rPr>
      </w:pPr>
      <w:r w:rsidRPr="00022D33">
        <w:rPr>
          <w:b w:val="0"/>
          <w:sz w:val="24"/>
          <w:szCs w:val="24"/>
        </w:rPr>
        <w:t>The Department is unaware of any event occurring after reporting date that would materially affect the Financial Statements.</w:t>
      </w:r>
    </w:p>
    <w:p w:rsidR="00617CB0" w:rsidRPr="00022D33" w:rsidRDefault="00617CB0" w:rsidP="00617CB0">
      <w:pPr>
        <w:pStyle w:val="Heading3"/>
      </w:pPr>
      <w:r w:rsidRPr="00022D33">
        <w:t>Note 40. Financial instruments</w:t>
      </w:r>
    </w:p>
    <w:p w:rsidR="00617CB0" w:rsidRPr="00022D33" w:rsidRDefault="00617CB0" w:rsidP="00617CB0">
      <w:pPr>
        <w:pStyle w:val="Heading4"/>
        <w:rPr>
          <w:spacing w:val="-1"/>
        </w:rPr>
      </w:pPr>
      <w:r w:rsidRPr="00022D33">
        <w:rPr>
          <w:spacing w:val="-1"/>
        </w:rPr>
        <w:t>(a) Financial risk management objectives and policies</w:t>
      </w:r>
    </w:p>
    <w:p w:rsidR="00617CB0" w:rsidRPr="00022D33" w:rsidRDefault="00617CB0" w:rsidP="00617CB0">
      <w:pPr>
        <w:pStyle w:val="Heading3"/>
        <w:rPr>
          <w:b w:val="0"/>
          <w:sz w:val="24"/>
          <w:szCs w:val="24"/>
        </w:rPr>
      </w:pPr>
      <w:r w:rsidRPr="00022D33">
        <w:rPr>
          <w:b w:val="0"/>
          <w:sz w:val="24"/>
          <w:szCs w:val="24"/>
        </w:rPr>
        <w:t>Financial instruments held by the Department are cash and cash equivalents, restricted cash and cash equivalents, borrowings, finance leases, Treasurer’s advances, loans and receivables and payables. The Department has limited exposure to financial risks. The Department’s overall risk management program focuses on managing the following risks.</w:t>
      </w:r>
    </w:p>
    <w:p w:rsidR="00617CB0" w:rsidRPr="00022D33" w:rsidRDefault="00617CB0" w:rsidP="00617CB0">
      <w:pPr>
        <w:pStyle w:val="BodyText"/>
        <w:rPr>
          <w:bCs/>
          <w:i/>
          <w:iCs/>
          <w:szCs w:val="26"/>
          <w:lang w:eastAsia="en-US"/>
        </w:rPr>
      </w:pPr>
      <w:r w:rsidRPr="00022D33">
        <w:rPr>
          <w:bCs/>
          <w:i/>
          <w:iCs/>
          <w:szCs w:val="26"/>
          <w:lang w:eastAsia="en-US"/>
        </w:rPr>
        <w:t>Credit risk</w:t>
      </w:r>
    </w:p>
    <w:p w:rsidR="00617CB0" w:rsidRPr="00022D33" w:rsidRDefault="00617CB0" w:rsidP="00617CB0">
      <w:pPr>
        <w:pStyle w:val="BodyText"/>
        <w:rPr>
          <w:bCs/>
          <w:iCs/>
          <w:szCs w:val="26"/>
          <w:lang w:eastAsia="en-US"/>
        </w:rPr>
      </w:pPr>
      <w:r w:rsidRPr="00022D33">
        <w:rPr>
          <w:bCs/>
          <w:iCs/>
          <w:szCs w:val="26"/>
          <w:lang w:eastAsia="en-US"/>
        </w:rPr>
        <w:t xml:space="preserve">Credit risk arises when there is the possibility of the Department’s receivables defaulting on their contractual obligations resulting in financial loss to the Department. </w:t>
      </w:r>
    </w:p>
    <w:p w:rsidR="00617CB0" w:rsidRPr="00022D33" w:rsidRDefault="00617CB0" w:rsidP="00617CB0">
      <w:pPr>
        <w:pStyle w:val="BodyText"/>
        <w:rPr>
          <w:bCs/>
          <w:iCs/>
          <w:szCs w:val="26"/>
          <w:lang w:eastAsia="en-US"/>
        </w:rPr>
      </w:pPr>
      <w:r w:rsidRPr="00022D33">
        <w:rPr>
          <w:bCs/>
          <w:iCs/>
          <w:szCs w:val="26"/>
          <w:lang w:eastAsia="en-US"/>
        </w:rPr>
        <w:t>The maximum exposure to credit risk at the end of the reporting period in relation to each class of recognised financial assets is the gross carrying amount of those assets inclusive of any provisions for impairment as shown in the table at Note 40(c) ‘Financial instrument disclosures’ and Note 20 ‘Receivables’.</w:t>
      </w:r>
    </w:p>
    <w:p w:rsidR="00617CB0" w:rsidRPr="00022D33" w:rsidRDefault="00617CB0" w:rsidP="00617CB0">
      <w:pPr>
        <w:pStyle w:val="BodyText"/>
        <w:rPr>
          <w:bCs/>
          <w:iCs/>
          <w:szCs w:val="26"/>
          <w:lang w:eastAsia="en-US"/>
        </w:rPr>
      </w:pPr>
      <w:r w:rsidRPr="00022D33">
        <w:rPr>
          <w:bCs/>
          <w:iCs/>
          <w:szCs w:val="26"/>
          <w:lang w:eastAsia="en-US"/>
        </w:rPr>
        <w:t>Credit risk associated with the Department’s financial assets is minimal because the main receivable is the amount receivable for services (holding account). For receivables other than government, the Department trades only with recognised, creditworthy third parties. The Department has policies in place to ensure that sales of products and services are made to customers with an appropriate credit history. In addition, receivable balances are monitored on an ongoing basis with the result that the Department’s exposure to bad debts is minimal. At the end of the reporting period there were no significant concentrations of credit risk.</w:t>
      </w:r>
    </w:p>
    <w:p w:rsidR="00617CB0" w:rsidRPr="00022D33" w:rsidRDefault="00617CB0" w:rsidP="00617CB0">
      <w:pPr>
        <w:pStyle w:val="BodyText"/>
        <w:rPr>
          <w:bCs/>
          <w:i/>
          <w:iCs/>
          <w:szCs w:val="26"/>
          <w:lang w:eastAsia="en-US"/>
        </w:rPr>
      </w:pPr>
      <w:r w:rsidRPr="00022D33">
        <w:rPr>
          <w:bCs/>
          <w:i/>
          <w:iCs/>
          <w:szCs w:val="26"/>
          <w:lang w:eastAsia="en-US"/>
        </w:rPr>
        <w:t>Liquidity risk</w:t>
      </w:r>
    </w:p>
    <w:p w:rsidR="00617CB0" w:rsidRPr="00022D33" w:rsidRDefault="00617CB0" w:rsidP="00617CB0">
      <w:pPr>
        <w:pStyle w:val="BodyText"/>
        <w:rPr>
          <w:bCs/>
          <w:iCs/>
          <w:szCs w:val="26"/>
          <w:lang w:eastAsia="en-US"/>
        </w:rPr>
      </w:pPr>
      <w:r w:rsidRPr="00022D33">
        <w:rPr>
          <w:bCs/>
          <w:iCs/>
          <w:szCs w:val="26"/>
          <w:lang w:eastAsia="en-US"/>
        </w:rPr>
        <w:t>Liquidity risk arises when the Department is unable to meet its financial obligations as they fall due.</w:t>
      </w:r>
    </w:p>
    <w:p w:rsidR="00617CB0" w:rsidRPr="00022D33" w:rsidRDefault="00617CB0" w:rsidP="00617CB0">
      <w:pPr>
        <w:pStyle w:val="BodyText"/>
        <w:rPr>
          <w:bCs/>
          <w:iCs/>
          <w:szCs w:val="26"/>
          <w:lang w:eastAsia="en-US"/>
        </w:rPr>
      </w:pPr>
      <w:r w:rsidRPr="00022D33">
        <w:rPr>
          <w:bCs/>
          <w:iCs/>
          <w:szCs w:val="26"/>
          <w:lang w:eastAsia="en-US"/>
        </w:rPr>
        <w:t>The Department is exposed to liquidity risk through its trading in the normal course of business.</w:t>
      </w:r>
    </w:p>
    <w:p w:rsidR="00617CB0" w:rsidRPr="00022D33" w:rsidRDefault="00617CB0" w:rsidP="00617CB0">
      <w:pPr>
        <w:pStyle w:val="BodyText"/>
      </w:pPr>
      <w:r w:rsidRPr="00022D33">
        <w:rPr>
          <w:bCs/>
          <w:iCs/>
          <w:szCs w:val="26"/>
          <w:lang w:eastAsia="en-US"/>
        </w:rPr>
        <w:t>The Department has appropriate procedures to manage cash flows including drawdowns of appropriations by monitoring forecast cash flows to ensure that sufficient funds are available to meet its commitments.</w:t>
      </w:r>
    </w:p>
    <w:p w:rsidR="00617CB0" w:rsidRPr="00A325B0" w:rsidRDefault="00617CB0" w:rsidP="00617CB0">
      <w:pPr>
        <w:pStyle w:val="BodyText"/>
        <w:rPr>
          <w:bCs/>
          <w:iCs/>
          <w:szCs w:val="26"/>
          <w:lang w:eastAsia="en-US"/>
        </w:rPr>
      </w:pPr>
      <w:r w:rsidRPr="00A325B0">
        <w:rPr>
          <w:bCs/>
          <w:iCs/>
          <w:szCs w:val="26"/>
          <w:lang w:eastAsia="en-US"/>
        </w:rPr>
        <w:t>The Department has a facility agreement in place with the Western Australian</w:t>
      </w:r>
      <w:r>
        <w:rPr>
          <w:bCs/>
          <w:iCs/>
          <w:szCs w:val="26"/>
          <w:lang w:eastAsia="en-US"/>
        </w:rPr>
        <w:t xml:space="preserve"> </w:t>
      </w:r>
      <w:r w:rsidRPr="00A325B0">
        <w:rPr>
          <w:bCs/>
          <w:iCs/>
          <w:szCs w:val="26"/>
          <w:lang w:eastAsia="en-US"/>
        </w:rPr>
        <w:t>Treasury Corporation (WATC) to borrow up to $250,000,000 to meet State</w:t>
      </w:r>
      <w:r>
        <w:rPr>
          <w:bCs/>
          <w:iCs/>
          <w:szCs w:val="26"/>
          <w:lang w:eastAsia="en-US"/>
        </w:rPr>
        <w:t xml:space="preserve"> </w:t>
      </w:r>
      <w:r w:rsidRPr="00A325B0">
        <w:rPr>
          <w:bCs/>
          <w:iCs/>
          <w:szCs w:val="26"/>
          <w:lang w:eastAsia="en-US"/>
        </w:rPr>
        <w:t>Fleet contractual requirements, purchase vehicles and provide working</w:t>
      </w:r>
      <w:r>
        <w:rPr>
          <w:bCs/>
          <w:iCs/>
          <w:szCs w:val="26"/>
          <w:lang w:eastAsia="en-US"/>
        </w:rPr>
        <w:t xml:space="preserve"> </w:t>
      </w:r>
      <w:r w:rsidRPr="00A325B0">
        <w:rPr>
          <w:bCs/>
          <w:iCs/>
          <w:szCs w:val="26"/>
          <w:lang w:eastAsia="en-US"/>
        </w:rPr>
        <w:t>capital. As at 30 June 2016 $75,236,000 was drawn against the facility.</w:t>
      </w:r>
    </w:p>
    <w:p w:rsidR="00617CB0" w:rsidRPr="00022D33" w:rsidRDefault="00617CB0" w:rsidP="00617CB0">
      <w:pPr>
        <w:pStyle w:val="BodyText"/>
        <w:rPr>
          <w:bCs/>
          <w:i/>
          <w:iCs/>
          <w:szCs w:val="26"/>
        </w:rPr>
      </w:pPr>
      <w:r w:rsidRPr="00022D33">
        <w:rPr>
          <w:bCs/>
          <w:i/>
          <w:iCs/>
          <w:szCs w:val="26"/>
        </w:rPr>
        <w:t>Market risk</w:t>
      </w:r>
    </w:p>
    <w:p w:rsidR="00617CB0" w:rsidRPr="00022D33" w:rsidRDefault="00617CB0" w:rsidP="00617CB0">
      <w:pPr>
        <w:pStyle w:val="BodyText"/>
        <w:rPr>
          <w:bCs/>
          <w:iCs/>
          <w:szCs w:val="26"/>
        </w:rPr>
      </w:pPr>
      <w:r w:rsidRPr="00022D33">
        <w:rPr>
          <w:bCs/>
          <w:iCs/>
          <w:szCs w:val="26"/>
        </w:rPr>
        <w:t>Market risk is the risk that changes in market prices such as foreign exchange rates and interest rates will affect the Department’s income or the value of its holdings of financial instruments. The Department does not trade in foreign currency and is not materially exposed to other price risks (for example, equity securities or commodity prices changes). The Department’s exposure to market risk for changes in interest rates relates primarily to the long-term debt obligations.</w:t>
      </w:r>
    </w:p>
    <w:p w:rsidR="00617CB0" w:rsidRPr="00022D33" w:rsidRDefault="00617CB0" w:rsidP="00617CB0">
      <w:pPr>
        <w:pStyle w:val="BodyText"/>
      </w:pPr>
      <w:r w:rsidRPr="00022D33">
        <w:rPr>
          <w:bCs/>
          <w:iCs/>
          <w:szCs w:val="26"/>
        </w:rPr>
        <w:t xml:space="preserve">All borrowings are due to the WATC and are repayable at fixed rates with varying maturities. Other than as detailed in the interest rate sensitivity analysis table at Note 40(c), the Department is not exposed to interest rate risk because the majority of cash and cash equivalents and restricted cash are non-interest bearing and it has no borrowings other than the Treasurer’s advance (non-interest bearing), WATC borrowings and finance leases </w:t>
      </w:r>
      <w:r w:rsidRPr="00022D33">
        <w:rPr>
          <w:bCs/>
          <w:iCs/>
          <w:szCs w:val="26"/>
          <w:lang w:eastAsia="en-US"/>
        </w:rPr>
        <w:t>(fixed interest rate).</w:t>
      </w:r>
    </w:p>
    <w:p w:rsidR="00617CB0" w:rsidRPr="00022D33" w:rsidRDefault="00617CB0" w:rsidP="00617CB0">
      <w:pPr>
        <w:pStyle w:val="Heading4"/>
      </w:pPr>
      <w:r w:rsidRPr="00022D33">
        <w:t>(b) Categories of financial instruments</w:t>
      </w:r>
    </w:p>
    <w:p w:rsidR="00617CB0" w:rsidRDefault="00617CB0" w:rsidP="00617CB0">
      <w:pPr>
        <w:pStyle w:val="BodyText"/>
        <w:sectPr w:rsidR="00617CB0" w:rsidSect="005F3639">
          <w:pgSz w:w="11906" w:h="16838" w:code="9"/>
          <w:pgMar w:top="1440" w:right="1440" w:bottom="1276" w:left="1440" w:header="0" w:footer="709" w:gutter="0"/>
          <w:cols w:space="708"/>
          <w:docGrid w:linePitch="360"/>
        </w:sectPr>
      </w:pPr>
      <w:r w:rsidRPr="00022D33">
        <w:t>In addition to cash and bank overdraft, the carrying amounts of each of the following categories of financial assets and financial liabilities at the end of the reporting period are as follows:</w:t>
      </w:r>
      <w:r>
        <w:br/>
      </w:r>
    </w:p>
    <w:p w:rsidR="00617CB0" w:rsidRPr="00022D33" w:rsidRDefault="00196F4C" w:rsidP="00617CB0">
      <w:pPr>
        <w:pStyle w:val="Caption"/>
        <w:keepNext/>
        <w:spacing w:after="60"/>
      </w:pPr>
      <w:fldSimple w:instr=" SEQ Table \* ARABIC ">
        <w:r w:rsidR="00D8778B">
          <w:rPr>
            <w:noProof/>
          </w:rPr>
          <w:t>56</w:t>
        </w:r>
      </w:fldSimple>
      <w:r w:rsidR="00617CB0" w:rsidRPr="00022D33">
        <w:t xml:space="preserve"> Categories of financial instruments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Financial Assets</w:t>
            </w:r>
          </w:p>
        </w:tc>
        <w:tc>
          <w:tcPr>
            <w:tcW w:w="1474" w:type="dxa"/>
            <w:tcBorders>
              <w:top w:val="nil"/>
              <w:left w:val="nil"/>
              <w:bottom w:val="nil"/>
              <w:right w:val="nil"/>
            </w:tcBorders>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Cash and cash equivalents</w:t>
            </w:r>
          </w:p>
        </w:tc>
        <w:tc>
          <w:tcPr>
            <w:tcW w:w="1474" w:type="dxa"/>
            <w:tcBorders>
              <w:top w:val="nil"/>
              <w:left w:val="nil"/>
              <w:bottom w:val="nil"/>
              <w:right w:val="nil"/>
            </w:tcBorders>
          </w:tcPr>
          <w:p w:rsidR="00617CB0" w:rsidRPr="00022D33" w:rsidRDefault="00617CB0" w:rsidP="000D7011">
            <w:pPr>
              <w:pStyle w:val="Tabletext"/>
              <w:jc w:val="right"/>
            </w:pPr>
            <w:r w:rsidRPr="00022D33">
              <w:t>85,247</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58,905</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Restricted cash and cash equivalents</w:t>
            </w:r>
          </w:p>
        </w:tc>
        <w:tc>
          <w:tcPr>
            <w:tcW w:w="1474" w:type="dxa"/>
            <w:tcBorders>
              <w:top w:val="nil"/>
              <w:left w:val="nil"/>
              <w:bottom w:val="nil"/>
              <w:right w:val="nil"/>
            </w:tcBorders>
          </w:tcPr>
          <w:p w:rsidR="00617CB0" w:rsidRPr="00022D33" w:rsidRDefault="00617CB0" w:rsidP="000D7011">
            <w:pPr>
              <w:pStyle w:val="Tabletext"/>
              <w:jc w:val="right"/>
            </w:pPr>
            <w:r w:rsidRPr="00022D33">
              <w:t>12,983</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14,887</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Receivables </w:t>
            </w:r>
            <w:r w:rsidRPr="00022D33">
              <w:rPr>
                <w:vertAlign w:val="superscript"/>
              </w:rPr>
              <w:t>(a)</w:t>
            </w:r>
          </w:p>
        </w:tc>
        <w:tc>
          <w:tcPr>
            <w:tcW w:w="1474" w:type="dxa"/>
            <w:tcBorders>
              <w:top w:val="nil"/>
              <w:left w:val="nil"/>
              <w:bottom w:val="nil"/>
              <w:right w:val="nil"/>
            </w:tcBorders>
          </w:tcPr>
          <w:p w:rsidR="00617CB0" w:rsidRPr="00022D33" w:rsidRDefault="00617CB0" w:rsidP="000D7011">
            <w:pPr>
              <w:pStyle w:val="Tabletext"/>
              <w:jc w:val="right"/>
            </w:pPr>
            <w:r w:rsidRPr="00022D33">
              <w:t>309,036</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303,996</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Finance lease receivables</w:t>
            </w:r>
          </w:p>
        </w:tc>
        <w:tc>
          <w:tcPr>
            <w:tcW w:w="1474" w:type="dxa"/>
            <w:tcBorders>
              <w:top w:val="nil"/>
              <w:left w:val="nil"/>
              <w:bottom w:val="nil"/>
              <w:right w:val="nil"/>
            </w:tcBorders>
          </w:tcPr>
          <w:p w:rsidR="00617CB0" w:rsidRPr="00022D33" w:rsidRDefault="00617CB0" w:rsidP="000D7011">
            <w:pPr>
              <w:pStyle w:val="Tabletext"/>
              <w:jc w:val="right"/>
            </w:pPr>
            <w:r w:rsidRPr="00022D33">
              <w:t>1,797</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2,148</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Amounts receivable for services</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411,714</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382,151</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single" w:sz="4" w:space="0" w:color="auto"/>
              <w:left w:val="nil"/>
              <w:bottom w:val="double" w:sz="4" w:space="0" w:color="auto"/>
              <w:right w:val="nil"/>
            </w:tcBorders>
          </w:tcPr>
          <w:p w:rsidR="00617CB0" w:rsidRPr="00022D33" w:rsidRDefault="00617CB0" w:rsidP="000D7011">
            <w:pPr>
              <w:pStyle w:val="Tableboldedtext"/>
              <w:jc w:val="right"/>
            </w:pPr>
            <w:r w:rsidRPr="00022D33">
              <w:t>820,777</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762,087</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Financial Liabilities</w:t>
            </w:r>
          </w:p>
        </w:tc>
        <w:tc>
          <w:tcPr>
            <w:tcW w:w="1474" w:type="dxa"/>
            <w:tcBorders>
              <w:top w:val="nil"/>
              <w:left w:val="nil"/>
              <w:bottom w:val="nil"/>
              <w:right w:val="nil"/>
            </w:tcBorders>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Payables </w:t>
            </w:r>
            <w:r w:rsidRPr="00022D33">
              <w:rPr>
                <w:vertAlign w:val="superscript"/>
              </w:rPr>
              <w:t>(b)</w:t>
            </w:r>
          </w:p>
        </w:tc>
        <w:tc>
          <w:tcPr>
            <w:tcW w:w="1474" w:type="dxa"/>
            <w:tcBorders>
              <w:top w:val="nil"/>
              <w:left w:val="nil"/>
              <w:bottom w:val="nil"/>
              <w:right w:val="nil"/>
            </w:tcBorders>
          </w:tcPr>
          <w:p w:rsidR="00617CB0" w:rsidRPr="00022D33" w:rsidRDefault="00617CB0" w:rsidP="000D7011">
            <w:pPr>
              <w:pStyle w:val="Tabletext"/>
              <w:jc w:val="right"/>
            </w:pPr>
            <w:r w:rsidRPr="00022D33">
              <w:t>70,050</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t>69,249</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WATC borrowings</w:t>
            </w:r>
          </w:p>
        </w:tc>
        <w:tc>
          <w:tcPr>
            <w:tcW w:w="1474" w:type="dxa"/>
            <w:tcBorders>
              <w:top w:val="nil"/>
              <w:left w:val="nil"/>
              <w:bottom w:val="nil"/>
              <w:right w:val="nil"/>
            </w:tcBorders>
          </w:tcPr>
          <w:p w:rsidR="00617CB0" w:rsidRPr="00022D33" w:rsidRDefault="00617CB0" w:rsidP="000D7011">
            <w:pPr>
              <w:pStyle w:val="Tabletext"/>
              <w:jc w:val="right"/>
            </w:pPr>
            <w:r w:rsidRPr="00022D33">
              <w:t>75,236</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91,316</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Heritage Maintenance Payments</w:t>
            </w:r>
          </w:p>
        </w:tc>
        <w:tc>
          <w:tcPr>
            <w:tcW w:w="1474" w:type="dxa"/>
            <w:tcBorders>
              <w:top w:val="nil"/>
              <w:left w:val="nil"/>
              <w:bottom w:val="nil"/>
              <w:right w:val="nil"/>
            </w:tcBorders>
          </w:tcPr>
          <w:p w:rsidR="00617CB0" w:rsidRPr="00022D33" w:rsidRDefault="00617CB0" w:rsidP="000D7011">
            <w:pPr>
              <w:pStyle w:val="Tabletext"/>
              <w:jc w:val="right"/>
            </w:pPr>
            <w:r w:rsidRPr="00022D33">
              <w:t>53,080</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51,778</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Unearned revenue - construction project in progress</w:t>
            </w:r>
          </w:p>
        </w:tc>
        <w:tc>
          <w:tcPr>
            <w:tcW w:w="1474" w:type="dxa"/>
            <w:tcBorders>
              <w:top w:val="nil"/>
              <w:left w:val="nil"/>
              <w:bottom w:val="nil"/>
              <w:right w:val="nil"/>
            </w:tcBorders>
          </w:tcPr>
          <w:p w:rsidR="00617CB0" w:rsidRPr="00022D33" w:rsidRDefault="00617CB0" w:rsidP="000D7011">
            <w:pPr>
              <w:pStyle w:val="Tabletext"/>
              <w:jc w:val="right"/>
            </w:pPr>
            <w:r w:rsidRPr="00022D33">
              <w:t>203,405</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226,813</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single" w:sz="4" w:space="0" w:color="auto"/>
              <w:left w:val="nil"/>
              <w:bottom w:val="double" w:sz="4" w:space="0" w:color="auto"/>
              <w:right w:val="nil"/>
            </w:tcBorders>
          </w:tcPr>
          <w:p w:rsidR="00617CB0" w:rsidRPr="00022D33" w:rsidRDefault="00617CB0" w:rsidP="000D7011">
            <w:pPr>
              <w:pStyle w:val="Tableboldedtext"/>
              <w:jc w:val="right"/>
            </w:pPr>
            <w:r w:rsidRPr="00022D33">
              <w:t>401,771</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t>43</w:t>
            </w:r>
            <w:r w:rsidRPr="00022D33">
              <w:t>9,152</w:t>
            </w:r>
          </w:p>
        </w:tc>
      </w:tr>
    </w:tbl>
    <w:p w:rsidR="00617CB0" w:rsidRPr="00022D33" w:rsidRDefault="00617CB0" w:rsidP="00617CB0">
      <w:pPr>
        <w:pStyle w:val="BodyText"/>
        <w:numPr>
          <w:ilvl w:val="0"/>
          <w:numId w:val="16"/>
        </w:numPr>
        <w:rPr>
          <w:sz w:val="20"/>
          <w:szCs w:val="20"/>
        </w:rPr>
      </w:pPr>
      <w:r w:rsidRPr="00022D33">
        <w:rPr>
          <w:sz w:val="20"/>
          <w:szCs w:val="20"/>
        </w:rPr>
        <w:t>The amount of receivables excludes GST recoverable from the ATO (statutory receivable).</w:t>
      </w:r>
    </w:p>
    <w:p w:rsidR="00617CB0" w:rsidRPr="00022D33" w:rsidRDefault="00617CB0" w:rsidP="00617CB0">
      <w:pPr>
        <w:pStyle w:val="BodyText"/>
        <w:numPr>
          <w:ilvl w:val="0"/>
          <w:numId w:val="16"/>
        </w:numPr>
        <w:rPr>
          <w:sz w:val="20"/>
          <w:szCs w:val="20"/>
        </w:rPr>
      </w:pPr>
      <w:r w:rsidRPr="00022D33">
        <w:rPr>
          <w:sz w:val="20"/>
          <w:szCs w:val="20"/>
        </w:rPr>
        <w:t>The amount of payables excludes GST payable to the ATO (statutory payable). The 2015 value is lower by $19,996,000 as a result of the removal of unearned revenue.</w:t>
      </w:r>
    </w:p>
    <w:p w:rsidR="00617CB0" w:rsidRPr="00022D33" w:rsidRDefault="00617CB0" w:rsidP="00617CB0">
      <w:pPr>
        <w:pStyle w:val="Heading4"/>
      </w:pPr>
      <w:r w:rsidRPr="00022D33">
        <w:t>(c) Financial instrument disclosures</w:t>
      </w:r>
    </w:p>
    <w:p w:rsidR="00617CB0" w:rsidRPr="00022D33" w:rsidRDefault="00617CB0" w:rsidP="00617CB0">
      <w:pPr>
        <w:pStyle w:val="Heading5"/>
        <w:rPr>
          <w:b w:val="0"/>
          <w:i/>
        </w:rPr>
      </w:pPr>
      <w:r w:rsidRPr="00022D33">
        <w:rPr>
          <w:b w:val="0"/>
          <w:i/>
        </w:rPr>
        <w:t>Credit risk and interest rate exposures</w:t>
      </w:r>
    </w:p>
    <w:p w:rsidR="00617CB0" w:rsidRPr="00022D33" w:rsidRDefault="00617CB0" w:rsidP="00617CB0">
      <w:pPr>
        <w:pStyle w:val="Heading5"/>
        <w:rPr>
          <w:b w:val="0"/>
          <w:bCs w:val="0"/>
          <w:iCs w:val="0"/>
          <w:szCs w:val="24"/>
          <w:lang w:eastAsia="en-AU"/>
        </w:rPr>
      </w:pPr>
      <w:r w:rsidRPr="00022D33">
        <w:rPr>
          <w:b w:val="0"/>
          <w:bCs w:val="0"/>
          <w:iCs w:val="0"/>
          <w:szCs w:val="24"/>
          <w:lang w:eastAsia="en-AU"/>
        </w:rPr>
        <w:t>The following table discloses the Department’s maximum exposure to credit risk, interest rate exposures and the ageing analysis of financial assets. The Department’s maximum exposure to credit risk at the end of the reporting period is the carrying amount of financial assets as shown below. The table discloses the ageing of financial assets that are past due but not impaired and impaired financial assets. The table is based on information provided to senior management of the Department.</w:t>
      </w:r>
    </w:p>
    <w:p w:rsidR="00617CB0" w:rsidRPr="00022D33" w:rsidRDefault="00617CB0" w:rsidP="00617CB0">
      <w:pPr>
        <w:pStyle w:val="Heading5"/>
        <w:rPr>
          <w:b w:val="0"/>
          <w:bCs w:val="0"/>
          <w:iCs w:val="0"/>
          <w:szCs w:val="24"/>
          <w:lang w:eastAsia="en-AU"/>
        </w:rPr>
      </w:pPr>
      <w:r w:rsidRPr="00022D33">
        <w:rPr>
          <w:b w:val="0"/>
          <w:bCs w:val="0"/>
          <w:iCs w:val="0"/>
          <w:szCs w:val="24"/>
          <w:lang w:eastAsia="en-AU"/>
        </w:rPr>
        <w:t xml:space="preserve">The Department does not hold any collateral as security or other credit enhancement relating to the financial assets it holds. </w:t>
      </w:r>
    </w:p>
    <w:p w:rsidR="00617CB0" w:rsidRPr="00022D33" w:rsidRDefault="00617CB0" w:rsidP="00617CB0">
      <w:pPr>
        <w:pStyle w:val="Heading5"/>
      </w:pPr>
      <w:r w:rsidRPr="00022D33">
        <w:br w:type="page"/>
        <w:t>Ageing analysis of financial assets</w:t>
      </w:r>
    </w:p>
    <w:p w:rsidR="00617CB0" w:rsidRPr="00022D33" w:rsidRDefault="00196F4C" w:rsidP="00617CB0">
      <w:pPr>
        <w:pStyle w:val="Caption"/>
        <w:keepNext/>
        <w:spacing w:after="60"/>
      </w:pPr>
      <w:fldSimple w:instr=" SEQ Table \* ARABIC ">
        <w:r w:rsidR="00D8778B">
          <w:rPr>
            <w:noProof/>
          </w:rPr>
          <w:t>57</w:t>
        </w:r>
      </w:fldSimple>
      <w:r w:rsidR="00617CB0" w:rsidRPr="00022D33">
        <w:t xml:space="preserve"> Ageing analysis of financial assets</w:t>
      </w:r>
    </w:p>
    <w:tbl>
      <w:tblPr>
        <w:tblW w:w="9714" w:type="dxa"/>
        <w:tblLook w:val="04A0" w:firstRow="1" w:lastRow="0" w:firstColumn="1" w:lastColumn="0" w:noHBand="0" w:noVBand="1"/>
      </w:tblPr>
      <w:tblGrid>
        <w:gridCol w:w="1767"/>
        <w:gridCol w:w="1039"/>
        <w:gridCol w:w="1050"/>
        <w:gridCol w:w="1034"/>
        <w:gridCol w:w="988"/>
        <w:gridCol w:w="988"/>
        <w:gridCol w:w="899"/>
        <w:gridCol w:w="899"/>
        <w:gridCol w:w="1050"/>
      </w:tblGrid>
      <w:tr w:rsidR="00617CB0" w:rsidRPr="00022D33" w:rsidTr="000D7011">
        <w:tc>
          <w:tcPr>
            <w:tcW w:w="1767" w:type="dxa"/>
            <w:shd w:val="clear" w:color="auto" w:fill="auto"/>
          </w:tcPr>
          <w:p w:rsidR="00617CB0" w:rsidRPr="00022D33" w:rsidRDefault="00617CB0" w:rsidP="000D7011">
            <w:pPr>
              <w:pStyle w:val="BodyText"/>
            </w:pPr>
          </w:p>
        </w:tc>
        <w:tc>
          <w:tcPr>
            <w:tcW w:w="1039" w:type="dxa"/>
            <w:shd w:val="clear" w:color="auto" w:fill="auto"/>
          </w:tcPr>
          <w:p w:rsidR="00617CB0" w:rsidRPr="00022D33" w:rsidRDefault="00617CB0" w:rsidP="000D7011">
            <w:pPr>
              <w:pStyle w:val="BodyText"/>
              <w:spacing w:line="230" w:lineRule="auto"/>
              <w:ind w:left="85" w:right="17" w:hanging="66"/>
              <w:rPr>
                <w:b/>
                <w:bCs/>
                <w:w w:val="95"/>
                <w:sz w:val="19"/>
                <w:szCs w:val="19"/>
              </w:rPr>
            </w:pPr>
          </w:p>
        </w:tc>
        <w:tc>
          <w:tcPr>
            <w:tcW w:w="1050" w:type="dxa"/>
            <w:tcBorders>
              <w:right w:val="single" w:sz="4" w:space="0" w:color="auto"/>
            </w:tcBorders>
            <w:shd w:val="clear" w:color="auto" w:fill="auto"/>
          </w:tcPr>
          <w:p w:rsidR="00617CB0" w:rsidRPr="00022D33" w:rsidRDefault="00617CB0" w:rsidP="000D7011">
            <w:pPr>
              <w:pStyle w:val="BodyText"/>
              <w:spacing w:line="215" w:lineRule="exact"/>
              <w:ind w:left="68"/>
              <w:rPr>
                <w:b/>
                <w:bCs/>
                <w:spacing w:val="-1"/>
                <w:w w:val="95"/>
                <w:sz w:val="19"/>
                <w:szCs w:val="19"/>
              </w:rPr>
            </w:pPr>
          </w:p>
        </w:tc>
        <w:tc>
          <w:tcPr>
            <w:tcW w:w="4808" w:type="dxa"/>
            <w:gridSpan w:val="5"/>
            <w:tcBorders>
              <w:left w:val="single" w:sz="4" w:space="0" w:color="auto"/>
              <w:right w:val="single" w:sz="4" w:space="0" w:color="auto"/>
            </w:tcBorders>
            <w:shd w:val="clear" w:color="auto" w:fill="auto"/>
          </w:tcPr>
          <w:p w:rsidR="00617CB0" w:rsidRPr="00022D33" w:rsidRDefault="00617CB0" w:rsidP="000D7011">
            <w:pPr>
              <w:pStyle w:val="BodyText"/>
              <w:jc w:val="center"/>
            </w:pPr>
            <w:r w:rsidRPr="00022D33">
              <w:rPr>
                <w:b/>
                <w:bCs/>
                <w:spacing w:val="-2"/>
                <w:sz w:val="20"/>
                <w:szCs w:val="20"/>
              </w:rPr>
              <w:t>Past</w:t>
            </w:r>
            <w:r w:rsidRPr="00022D33">
              <w:rPr>
                <w:b/>
                <w:bCs/>
                <w:spacing w:val="-26"/>
                <w:sz w:val="20"/>
                <w:szCs w:val="20"/>
              </w:rPr>
              <w:t xml:space="preserve"> </w:t>
            </w:r>
            <w:r w:rsidRPr="00022D33">
              <w:rPr>
                <w:b/>
                <w:bCs/>
                <w:sz w:val="20"/>
                <w:szCs w:val="20"/>
              </w:rPr>
              <w:t>due</w:t>
            </w:r>
            <w:r w:rsidRPr="00022D33">
              <w:rPr>
                <w:b/>
                <w:bCs/>
                <w:spacing w:val="-26"/>
                <w:sz w:val="20"/>
                <w:szCs w:val="20"/>
              </w:rPr>
              <w:t xml:space="preserve"> </w:t>
            </w:r>
            <w:r w:rsidRPr="00022D33">
              <w:rPr>
                <w:b/>
                <w:bCs/>
                <w:sz w:val="20"/>
                <w:szCs w:val="20"/>
              </w:rPr>
              <w:t>but</w:t>
            </w:r>
            <w:r w:rsidRPr="00022D33">
              <w:rPr>
                <w:b/>
                <w:bCs/>
                <w:spacing w:val="-26"/>
                <w:sz w:val="20"/>
                <w:szCs w:val="20"/>
              </w:rPr>
              <w:t xml:space="preserve"> </w:t>
            </w:r>
            <w:r w:rsidRPr="00022D33">
              <w:rPr>
                <w:b/>
                <w:bCs/>
                <w:sz w:val="20"/>
                <w:szCs w:val="20"/>
              </w:rPr>
              <w:t>not</w:t>
            </w:r>
            <w:r w:rsidRPr="00022D33">
              <w:rPr>
                <w:b/>
                <w:bCs/>
                <w:spacing w:val="-26"/>
                <w:sz w:val="20"/>
                <w:szCs w:val="20"/>
              </w:rPr>
              <w:t xml:space="preserve"> </w:t>
            </w:r>
            <w:r w:rsidRPr="00022D33">
              <w:rPr>
                <w:b/>
                <w:bCs/>
                <w:spacing w:val="-2"/>
                <w:sz w:val="20"/>
                <w:szCs w:val="20"/>
              </w:rPr>
              <w:t>impaired</w:t>
            </w:r>
          </w:p>
        </w:tc>
        <w:tc>
          <w:tcPr>
            <w:tcW w:w="1050" w:type="dxa"/>
            <w:tcBorders>
              <w:left w:val="single" w:sz="4" w:space="0" w:color="auto"/>
            </w:tcBorders>
            <w:shd w:val="clear" w:color="auto" w:fill="auto"/>
          </w:tcPr>
          <w:p w:rsidR="00617CB0" w:rsidRPr="00022D33" w:rsidRDefault="00617CB0" w:rsidP="000D7011">
            <w:pPr>
              <w:pStyle w:val="BodyText"/>
            </w:pPr>
          </w:p>
        </w:tc>
      </w:tr>
      <w:tr w:rsidR="00617CB0" w:rsidRPr="00022D33" w:rsidTr="00DF0535">
        <w:tc>
          <w:tcPr>
            <w:tcW w:w="1767" w:type="dxa"/>
            <w:shd w:val="clear" w:color="auto" w:fill="auto"/>
          </w:tcPr>
          <w:p w:rsidR="00617CB0" w:rsidRPr="00022D33" w:rsidRDefault="00617CB0" w:rsidP="000D7011">
            <w:pPr>
              <w:pStyle w:val="BodyText"/>
            </w:pPr>
          </w:p>
        </w:tc>
        <w:tc>
          <w:tcPr>
            <w:tcW w:w="1039" w:type="dxa"/>
            <w:shd w:val="clear" w:color="auto" w:fill="auto"/>
          </w:tcPr>
          <w:p w:rsidR="00617CB0" w:rsidRPr="00022D33" w:rsidRDefault="00617CB0" w:rsidP="000D7011">
            <w:pPr>
              <w:pStyle w:val="Tableboldedtext"/>
              <w:jc w:val="right"/>
            </w:pPr>
            <w:r w:rsidRPr="00022D33">
              <w:t>Carrying amount $000</w:t>
            </w:r>
          </w:p>
        </w:tc>
        <w:tc>
          <w:tcPr>
            <w:tcW w:w="1050" w:type="dxa"/>
            <w:tcBorders>
              <w:right w:val="single" w:sz="4" w:space="0" w:color="auto"/>
            </w:tcBorders>
            <w:shd w:val="clear" w:color="auto" w:fill="auto"/>
          </w:tcPr>
          <w:p w:rsidR="00617CB0" w:rsidRPr="00022D33" w:rsidRDefault="00617CB0" w:rsidP="000D7011">
            <w:pPr>
              <w:pStyle w:val="Tableboldedtext"/>
              <w:jc w:val="right"/>
            </w:pPr>
            <w:r w:rsidRPr="00022D33">
              <w:t>Not past due and not impaired $000</w:t>
            </w:r>
          </w:p>
        </w:tc>
        <w:tc>
          <w:tcPr>
            <w:tcW w:w="1034" w:type="dxa"/>
            <w:tcBorders>
              <w:left w:val="single" w:sz="4" w:space="0" w:color="auto"/>
            </w:tcBorders>
            <w:shd w:val="clear" w:color="auto" w:fill="auto"/>
          </w:tcPr>
          <w:p w:rsidR="00617CB0" w:rsidRPr="00022D33" w:rsidRDefault="00617CB0" w:rsidP="000D7011">
            <w:pPr>
              <w:pStyle w:val="Tableboldedtext"/>
              <w:jc w:val="right"/>
            </w:pPr>
            <w:r w:rsidRPr="00022D33">
              <w:t>Up to 1 month $000</w:t>
            </w:r>
          </w:p>
        </w:tc>
        <w:tc>
          <w:tcPr>
            <w:tcW w:w="988" w:type="dxa"/>
            <w:shd w:val="clear" w:color="auto" w:fill="auto"/>
          </w:tcPr>
          <w:p w:rsidR="00617CB0" w:rsidRPr="00022D33" w:rsidRDefault="00617CB0" w:rsidP="000D7011">
            <w:pPr>
              <w:pStyle w:val="Tableboldedtext"/>
              <w:jc w:val="right"/>
            </w:pPr>
            <w:r w:rsidRPr="00022D33">
              <w:t>1-3 months $000</w:t>
            </w:r>
          </w:p>
        </w:tc>
        <w:tc>
          <w:tcPr>
            <w:tcW w:w="988" w:type="dxa"/>
            <w:shd w:val="clear" w:color="auto" w:fill="auto"/>
          </w:tcPr>
          <w:p w:rsidR="00617CB0" w:rsidRPr="00022D33" w:rsidRDefault="00617CB0" w:rsidP="000D7011">
            <w:pPr>
              <w:pStyle w:val="Tableboldedtext"/>
              <w:jc w:val="right"/>
            </w:pPr>
            <w:r w:rsidRPr="00022D33">
              <w:t>3 months to 1 year $000</w:t>
            </w:r>
          </w:p>
        </w:tc>
        <w:tc>
          <w:tcPr>
            <w:tcW w:w="899" w:type="dxa"/>
            <w:shd w:val="clear" w:color="auto" w:fill="auto"/>
          </w:tcPr>
          <w:p w:rsidR="00617CB0" w:rsidRPr="00022D33" w:rsidRDefault="00617CB0" w:rsidP="000D7011">
            <w:pPr>
              <w:pStyle w:val="Tableboldedtext"/>
              <w:jc w:val="right"/>
            </w:pPr>
            <w:r w:rsidRPr="00022D33">
              <w:t>1-5 years $000</w:t>
            </w:r>
          </w:p>
        </w:tc>
        <w:tc>
          <w:tcPr>
            <w:tcW w:w="899" w:type="dxa"/>
            <w:tcBorders>
              <w:right w:val="single" w:sz="4" w:space="0" w:color="auto"/>
            </w:tcBorders>
            <w:shd w:val="clear" w:color="auto" w:fill="auto"/>
          </w:tcPr>
          <w:p w:rsidR="00617CB0" w:rsidRPr="00022D33" w:rsidRDefault="00617CB0" w:rsidP="000D7011">
            <w:pPr>
              <w:pStyle w:val="Tableboldedtext"/>
              <w:jc w:val="right"/>
            </w:pPr>
            <w:r w:rsidRPr="00022D33">
              <w:t>More than 5 years $000</w:t>
            </w:r>
          </w:p>
        </w:tc>
        <w:tc>
          <w:tcPr>
            <w:tcW w:w="1050" w:type="dxa"/>
            <w:tcBorders>
              <w:left w:val="single" w:sz="4" w:space="0" w:color="auto"/>
            </w:tcBorders>
            <w:shd w:val="clear" w:color="auto" w:fill="auto"/>
          </w:tcPr>
          <w:p w:rsidR="00617CB0" w:rsidRPr="00022D33" w:rsidRDefault="00617CB0" w:rsidP="000D7011">
            <w:pPr>
              <w:pStyle w:val="Tableboldedtext"/>
              <w:jc w:val="right"/>
            </w:pPr>
            <w:r w:rsidRPr="00022D33">
              <w:t>Impaired financial assets $000</w:t>
            </w:r>
          </w:p>
        </w:tc>
      </w:tr>
      <w:tr w:rsidR="00617CB0" w:rsidRPr="00022D33" w:rsidTr="00DF0535">
        <w:tc>
          <w:tcPr>
            <w:tcW w:w="9714" w:type="dxa"/>
            <w:gridSpan w:val="9"/>
            <w:shd w:val="clear" w:color="auto" w:fill="auto"/>
          </w:tcPr>
          <w:p w:rsidR="00617CB0" w:rsidRPr="00022D33" w:rsidRDefault="00617CB0" w:rsidP="000D7011">
            <w:pPr>
              <w:pStyle w:val="Tabletext"/>
              <w:rPr>
                <w:b/>
              </w:rPr>
            </w:pPr>
            <w:r w:rsidRPr="00022D33">
              <w:rPr>
                <w:b/>
              </w:rPr>
              <w:t>2016</w:t>
            </w:r>
          </w:p>
        </w:tc>
      </w:tr>
      <w:tr w:rsidR="00617CB0" w:rsidRPr="00022D33" w:rsidTr="000D7011">
        <w:tc>
          <w:tcPr>
            <w:tcW w:w="1767" w:type="dxa"/>
            <w:shd w:val="clear" w:color="auto" w:fill="auto"/>
          </w:tcPr>
          <w:p w:rsidR="00617CB0" w:rsidRPr="00022D33" w:rsidRDefault="00617CB0" w:rsidP="000D7011">
            <w:pPr>
              <w:pStyle w:val="Tabletext"/>
            </w:pPr>
            <w:r w:rsidRPr="00022D33">
              <w:t>Cash and cash equivalents</w:t>
            </w:r>
          </w:p>
        </w:tc>
        <w:tc>
          <w:tcPr>
            <w:tcW w:w="1039" w:type="dxa"/>
            <w:shd w:val="clear" w:color="auto" w:fill="auto"/>
          </w:tcPr>
          <w:p w:rsidR="00617CB0" w:rsidRPr="00022D33" w:rsidRDefault="00617CB0" w:rsidP="000D7011">
            <w:pPr>
              <w:pStyle w:val="Tabletext"/>
              <w:jc w:val="right"/>
            </w:pPr>
            <w:r w:rsidRPr="00022D33">
              <w:t>85,247</w:t>
            </w:r>
          </w:p>
        </w:tc>
        <w:tc>
          <w:tcPr>
            <w:tcW w:w="1050" w:type="dxa"/>
            <w:tcBorders>
              <w:right w:val="single" w:sz="4" w:space="0" w:color="auto"/>
            </w:tcBorders>
            <w:shd w:val="clear" w:color="auto" w:fill="auto"/>
          </w:tcPr>
          <w:p w:rsidR="00617CB0" w:rsidRPr="00022D33" w:rsidRDefault="00617CB0" w:rsidP="000D7011">
            <w:pPr>
              <w:pStyle w:val="Tabletext"/>
              <w:jc w:val="right"/>
            </w:pPr>
            <w:r w:rsidRPr="00022D33">
              <w:t>85,247</w:t>
            </w:r>
          </w:p>
        </w:tc>
        <w:tc>
          <w:tcPr>
            <w:tcW w:w="1034" w:type="dxa"/>
            <w:tcBorders>
              <w:left w:val="single" w:sz="4" w:space="0" w:color="auto"/>
            </w:tcBorders>
            <w:shd w:val="clear" w:color="auto" w:fill="auto"/>
          </w:tcPr>
          <w:p w:rsidR="00617CB0" w:rsidRPr="00022D33" w:rsidRDefault="00617CB0" w:rsidP="000D7011">
            <w:pPr>
              <w:pStyle w:val="Tabletext"/>
              <w:jc w:val="right"/>
            </w:pPr>
            <w:r w:rsidRPr="00022D33">
              <w:t>-</w:t>
            </w:r>
          </w:p>
        </w:tc>
        <w:tc>
          <w:tcPr>
            <w:tcW w:w="988" w:type="dxa"/>
            <w:shd w:val="clear" w:color="auto" w:fill="auto"/>
          </w:tcPr>
          <w:p w:rsidR="00617CB0" w:rsidRPr="00022D33" w:rsidRDefault="00617CB0" w:rsidP="000D7011">
            <w:pPr>
              <w:pStyle w:val="Tabletext"/>
              <w:jc w:val="right"/>
            </w:pPr>
            <w:r w:rsidRPr="00022D33">
              <w:t>-</w:t>
            </w:r>
          </w:p>
        </w:tc>
        <w:tc>
          <w:tcPr>
            <w:tcW w:w="988" w:type="dxa"/>
            <w:shd w:val="clear" w:color="auto" w:fill="auto"/>
          </w:tcPr>
          <w:p w:rsidR="00617CB0" w:rsidRPr="00022D33" w:rsidRDefault="00617CB0" w:rsidP="000D7011">
            <w:pPr>
              <w:pStyle w:val="Tabletext"/>
              <w:jc w:val="right"/>
            </w:pPr>
            <w:r w:rsidRPr="00022D33">
              <w:t>-</w:t>
            </w:r>
          </w:p>
        </w:tc>
        <w:tc>
          <w:tcPr>
            <w:tcW w:w="899" w:type="dxa"/>
            <w:shd w:val="clear" w:color="auto" w:fill="auto"/>
          </w:tcPr>
          <w:p w:rsidR="00617CB0" w:rsidRPr="00022D33" w:rsidRDefault="00617CB0" w:rsidP="000D7011">
            <w:pPr>
              <w:pStyle w:val="Tabletext"/>
              <w:jc w:val="right"/>
            </w:pPr>
            <w:r w:rsidRPr="00022D33">
              <w:t>-</w:t>
            </w:r>
          </w:p>
        </w:tc>
        <w:tc>
          <w:tcPr>
            <w:tcW w:w="899" w:type="dxa"/>
            <w:tcBorders>
              <w:right w:val="single" w:sz="4" w:space="0" w:color="auto"/>
            </w:tcBorders>
            <w:shd w:val="clear" w:color="auto" w:fill="auto"/>
          </w:tcPr>
          <w:p w:rsidR="00617CB0" w:rsidRPr="00022D33" w:rsidRDefault="00617CB0" w:rsidP="000D7011">
            <w:pPr>
              <w:pStyle w:val="Tabletext"/>
              <w:jc w:val="right"/>
            </w:pPr>
            <w:r w:rsidRPr="00022D33">
              <w:t>-</w:t>
            </w:r>
          </w:p>
        </w:tc>
        <w:tc>
          <w:tcPr>
            <w:tcW w:w="1050" w:type="dxa"/>
            <w:tcBorders>
              <w:left w:val="single" w:sz="4" w:space="0" w:color="auto"/>
            </w:tcBorders>
            <w:shd w:val="clear" w:color="auto" w:fill="auto"/>
          </w:tcPr>
          <w:p w:rsidR="00617CB0" w:rsidRPr="00022D33" w:rsidRDefault="00617CB0" w:rsidP="000D7011">
            <w:pPr>
              <w:pStyle w:val="Tabletext"/>
              <w:jc w:val="right"/>
            </w:pPr>
            <w:r w:rsidRPr="00022D33">
              <w:t>-</w:t>
            </w:r>
          </w:p>
        </w:tc>
      </w:tr>
      <w:tr w:rsidR="00617CB0" w:rsidRPr="00022D33" w:rsidTr="000D7011">
        <w:tc>
          <w:tcPr>
            <w:tcW w:w="1767" w:type="dxa"/>
            <w:shd w:val="clear" w:color="auto" w:fill="auto"/>
          </w:tcPr>
          <w:p w:rsidR="00617CB0" w:rsidRPr="00022D33" w:rsidRDefault="00617CB0" w:rsidP="000D7011">
            <w:pPr>
              <w:pStyle w:val="Tabletext"/>
            </w:pPr>
            <w:r w:rsidRPr="00022D33">
              <w:t>Restricted cash and cash equivalents</w:t>
            </w:r>
          </w:p>
        </w:tc>
        <w:tc>
          <w:tcPr>
            <w:tcW w:w="1039" w:type="dxa"/>
            <w:shd w:val="clear" w:color="auto" w:fill="auto"/>
          </w:tcPr>
          <w:p w:rsidR="00617CB0" w:rsidRPr="00022D33" w:rsidRDefault="00617CB0" w:rsidP="000D7011">
            <w:pPr>
              <w:pStyle w:val="Tabletext"/>
              <w:jc w:val="right"/>
            </w:pPr>
            <w:r w:rsidRPr="00022D33">
              <w:t>12,983</w:t>
            </w:r>
          </w:p>
        </w:tc>
        <w:tc>
          <w:tcPr>
            <w:tcW w:w="1050" w:type="dxa"/>
            <w:tcBorders>
              <w:right w:val="single" w:sz="4" w:space="0" w:color="auto"/>
            </w:tcBorders>
            <w:shd w:val="clear" w:color="auto" w:fill="auto"/>
          </w:tcPr>
          <w:p w:rsidR="00617CB0" w:rsidRPr="00022D33" w:rsidRDefault="00617CB0" w:rsidP="000D7011">
            <w:pPr>
              <w:pStyle w:val="Tabletext"/>
              <w:jc w:val="right"/>
            </w:pPr>
            <w:r w:rsidRPr="00022D33">
              <w:t>12,983</w:t>
            </w:r>
          </w:p>
        </w:tc>
        <w:tc>
          <w:tcPr>
            <w:tcW w:w="1034" w:type="dxa"/>
            <w:tcBorders>
              <w:left w:val="single" w:sz="4" w:space="0" w:color="auto"/>
            </w:tcBorders>
            <w:shd w:val="clear" w:color="auto" w:fill="auto"/>
          </w:tcPr>
          <w:p w:rsidR="00617CB0" w:rsidRPr="00022D33" w:rsidRDefault="00617CB0" w:rsidP="000D7011">
            <w:pPr>
              <w:pStyle w:val="Tabletext"/>
              <w:jc w:val="right"/>
            </w:pPr>
            <w:r w:rsidRPr="00022D33">
              <w:t>-</w:t>
            </w:r>
          </w:p>
        </w:tc>
        <w:tc>
          <w:tcPr>
            <w:tcW w:w="988" w:type="dxa"/>
            <w:shd w:val="clear" w:color="auto" w:fill="auto"/>
          </w:tcPr>
          <w:p w:rsidR="00617CB0" w:rsidRPr="00022D33" w:rsidRDefault="00617CB0" w:rsidP="000D7011">
            <w:pPr>
              <w:pStyle w:val="Tabletext"/>
              <w:jc w:val="right"/>
            </w:pPr>
            <w:r w:rsidRPr="00022D33">
              <w:t>-</w:t>
            </w:r>
          </w:p>
        </w:tc>
        <w:tc>
          <w:tcPr>
            <w:tcW w:w="988" w:type="dxa"/>
            <w:shd w:val="clear" w:color="auto" w:fill="auto"/>
          </w:tcPr>
          <w:p w:rsidR="00617CB0" w:rsidRPr="00022D33" w:rsidRDefault="00617CB0" w:rsidP="000D7011">
            <w:pPr>
              <w:pStyle w:val="Tabletext"/>
              <w:jc w:val="right"/>
            </w:pPr>
            <w:r w:rsidRPr="00022D33">
              <w:t>-</w:t>
            </w:r>
          </w:p>
        </w:tc>
        <w:tc>
          <w:tcPr>
            <w:tcW w:w="899" w:type="dxa"/>
            <w:shd w:val="clear" w:color="auto" w:fill="auto"/>
          </w:tcPr>
          <w:p w:rsidR="00617CB0" w:rsidRPr="00022D33" w:rsidRDefault="00617CB0" w:rsidP="000D7011">
            <w:pPr>
              <w:pStyle w:val="Tabletext"/>
              <w:jc w:val="right"/>
            </w:pPr>
            <w:r w:rsidRPr="00022D33">
              <w:t>-</w:t>
            </w:r>
          </w:p>
        </w:tc>
        <w:tc>
          <w:tcPr>
            <w:tcW w:w="899" w:type="dxa"/>
            <w:tcBorders>
              <w:right w:val="single" w:sz="4" w:space="0" w:color="auto"/>
            </w:tcBorders>
            <w:shd w:val="clear" w:color="auto" w:fill="auto"/>
          </w:tcPr>
          <w:p w:rsidR="00617CB0" w:rsidRPr="00022D33" w:rsidRDefault="00617CB0" w:rsidP="000D7011">
            <w:pPr>
              <w:pStyle w:val="Tabletext"/>
              <w:jc w:val="right"/>
            </w:pPr>
            <w:r w:rsidRPr="00022D33">
              <w:t>-</w:t>
            </w:r>
          </w:p>
        </w:tc>
        <w:tc>
          <w:tcPr>
            <w:tcW w:w="1050" w:type="dxa"/>
            <w:tcBorders>
              <w:left w:val="single" w:sz="4" w:space="0" w:color="auto"/>
            </w:tcBorders>
            <w:shd w:val="clear" w:color="auto" w:fill="auto"/>
          </w:tcPr>
          <w:p w:rsidR="00617CB0" w:rsidRPr="00022D33" w:rsidRDefault="00617CB0" w:rsidP="000D7011">
            <w:pPr>
              <w:pStyle w:val="Tabletext"/>
              <w:jc w:val="right"/>
            </w:pPr>
            <w:r w:rsidRPr="00022D33">
              <w:t>-</w:t>
            </w:r>
          </w:p>
        </w:tc>
      </w:tr>
      <w:tr w:rsidR="00617CB0" w:rsidRPr="00022D33" w:rsidTr="000D7011">
        <w:tc>
          <w:tcPr>
            <w:tcW w:w="1767" w:type="dxa"/>
            <w:shd w:val="clear" w:color="auto" w:fill="auto"/>
          </w:tcPr>
          <w:p w:rsidR="00617CB0" w:rsidRPr="00022D33" w:rsidRDefault="00617CB0" w:rsidP="000D7011">
            <w:pPr>
              <w:pStyle w:val="Tabletext"/>
            </w:pPr>
            <w:r w:rsidRPr="00022D33">
              <w:t xml:space="preserve">Receivables </w:t>
            </w:r>
            <w:r w:rsidRPr="00022D33">
              <w:rPr>
                <w:vertAlign w:val="superscript"/>
              </w:rPr>
              <w:t>(a)</w:t>
            </w:r>
          </w:p>
        </w:tc>
        <w:tc>
          <w:tcPr>
            <w:tcW w:w="1039" w:type="dxa"/>
            <w:shd w:val="clear" w:color="auto" w:fill="auto"/>
          </w:tcPr>
          <w:p w:rsidR="00617CB0" w:rsidRPr="00022D33" w:rsidRDefault="00617CB0" w:rsidP="000D7011">
            <w:pPr>
              <w:pStyle w:val="Tabletext"/>
              <w:jc w:val="right"/>
            </w:pPr>
            <w:r w:rsidRPr="00022D33">
              <w:t>309,036</w:t>
            </w:r>
          </w:p>
        </w:tc>
        <w:tc>
          <w:tcPr>
            <w:tcW w:w="1050" w:type="dxa"/>
            <w:tcBorders>
              <w:right w:val="single" w:sz="4" w:space="0" w:color="auto"/>
            </w:tcBorders>
            <w:shd w:val="clear" w:color="auto" w:fill="auto"/>
          </w:tcPr>
          <w:p w:rsidR="00617CB0" w:rsidRPr="00022D33" w:rsidRDefault="00617CB0" w:rsidP="000D7011">
            <w:pPr>
              <w:pStyle w:val="Tabletext"/>
              <w:jc w:val="right"/>
            </w:pPr>
            <w:r w:rsidRPr="00022D33">
              <w:t>280,391</w:t>
            </w:r>
          </w:p>
        </w:tc>
        <w:tc>
          <w:tcPr>
            <w:tcW w:w="1034" w:type="dxa"/>
            <w:tcBorders>
              <w:left w:val="single" w:sz="4" w:space="0" w:color="auto"/>
            </w:tcBorders>
            <w:shd w:val="clear" w:color="auto" w:fill="auto"/>
          </w:tcPr>
          <w:p w:rsidR="00617CB0" w:rsidRPr="00022D33" w:rsidRDefault="00617CB0" w:rsidP="000D7011">
            <w:pPr>
              <w:pStyle w:val="Tabletext"/>
              <w:jc w:val="right"/>
            </w:pPr>
            <w:r w:rsidRPr="00022D33">
              <w:t>19,117</w:t>
            </w:r>
          </w:p>
        </w:tc>
        <w:tc>
          <w:tcPr>
            <w:tcW w:w="988" w:type="dxa"/>
            <w:shd w:val="clear" w:color="auto" w:fill="auto"/>
          </w:tcPr>
          <w:p w:rsidR="00617CB0" w:rsidRPr="00022D33" w:rsidRDefault="00617CB0" w:rsidP="000D7011">
            <w:pPr>
              <w:pStyle w:val="Tabletext"/>
              <w:jc w:val="right"/>
            </w:pPr>
            <w:r w:rsidRPr="00022D33">
              <w:t>4,045</w:t>
            </w:r>
          </w:p>
        </w:tc>
        <w:tc>
          <w:tcPr>
            <w:tcW w:w="988" w:type="dxa"/>
            <w:shd w:val="clear" w:color="auto" w:fill="auto"/>
          </w:tcPr>
          <w:p w:rsidR="00617CB0" w:rsidRPr="00022D33" w:rsidRDefault="00617CB0" w:rsidP="000D7011">
            <w:pPr>
              <w:pStyle w:val="Tabletext"/>
              <w:jc w:val="right"/>
            </w:pPr>
            <w:r w:rsidRPr="00022D33">
              <w:t>3,</w:t>
            </w:r>
            <w:r>
              <w:t>575</w:t>
            </w:r>
          </w:p>
        </w:tc>
        <w:tc>
          <w:tcPr>
            <w:tcW w:w="899" w:type="dxa"/>
            <w:shd w:val="clear" w:color="auto" w:fill="auto"/>
          </w:tcPr>
          <w:p w:rsidR="00617CB0" w:rsidRPr="00022D33" w:rsidRDefault="00617CB0" w:rsidP="000D7011">
            <w:pPr>
              <w:pStyle w:val="Tabletext"/>
              <w:jc w:val="right"/>
            </w:pPr>
            <w:r w:rsidRPr="00022D33">
              <w:t>1,908</w:t>
            </w:r>
          </w:p>
        </w:tc>
        <w:tc>
          <w:tcPr>
            <w:tcW w:w="899" w:type="dxa"/>
            <w:tcBorders>
              <w:right w:val="single" w:sz="4" w:space="0" w:color="auto"/>
            </w:tcBorders>
            <w:shd w:val="clear" w:color="auto" w:fill="auto"/>
          </w:tcPr>
          <w:p w:rsidR="00617CB0" w:rsidRPr="00022D33" w:rsidRDefault="00617CB0" w:rsidP="000D7011">
            <w:pPr>
              <w:pStyle w:val="Tabletext"/>
              <w:jc w:val="right"/>
            </w:pPr>
            <w:r w:rsidRPr="00022D33">
              <w:t>-</w:t>
            </w:r>
          </w:p>
        </w:tc>
        <w:tc>
          <w:tcPr>
            <w:tcW w:w="1050" w:type="dxa"/>
            <w:tcBorders>
              <w:left w:val="single" w:sz="4" w:space="0" w:color="auto"/>
            </w:tcBorders>
            <w:shd w:val="clear" w:color="auto" w:fill="auto"/>
          </w:tcPr>
          <w:p w:rsidR="00617CB0" w:rsidRPr="00022D33" w:rsidRDefault="00617CB0" w:rsidP="000D7011">
            <w:pPr>
              <w:pStyle w:val="Tabletext"/>
              <w:jc w:val="right"/>
            </w:pPr>
            <w:r w:rsidRPr="00022D33">
              <w:t>-</w:t>
            </w:r>
          </w:p>
        </w:tc>
      </w:tr>
      <w:tr w:rsidR="00617CB0" w:rsidRPr="00022D33" w:rsidTr="000D7011">
        <w:tc>
          <w:tcPr>
            <w:tcW w:w="1767" w:type="dxa"/>
            <w:shd w:val="clear" w:color="auto" w:fill="auto"/>
          </w:tcPr>
          <w:p w:rsidR="00617CB0" w:rsidRPr="00022D33" w:rsidRDefault="00617CB0" w:rsidP="000D7011">
            <w:pPr>
              <w:pStyle w:val="Tabletext"/>
            </w:pPr>
            <w:r w:rsidRPr="00022D33">
              <w:t>Finance lease receivables</w:t>
            </w:r>
          </w:p>
        </w:tc>
        <w:tc>
          <w:tcPr>
            <w:tcW w:w="1039" w:type="dxa"/>
            <w:shd w:val="clear" w:color="auto" w:fill="auto"/>
          </w:tcPr>
          <w:p w:rsidR="00617CB0" w:rsidRPr="00022D33" w:rsidRDefault="00617CB0" w:rsidP="000D7011">
            <w:pPr>
              <w:pStyle w:val="Tabletext"/>
              <w:jc w:val="right"/>
            </w:pPr>
            <w:r w:rsidRPr="00022D33">
              <w:t>1,797</w:t>
            </w:r>
          </w:p>
        </w:tc>
        <w:tc>
          <w:tcPr>
            <w:tcW w:w="1050" w:type="dxa"/>
            <w:tcBorders>
              <w:right w:val="single" w:sz="4" w:space="0" w:color="auto"/>
            </w:tcBorders>
            <w:shd w:val="clear" w:color="auto" w:fill="auto"/>
          </w:tcPr>
          <w:p w:rsidR="00617CB0" w:rsidRPr="00022D33" w:rsidRDefault="00617CB0" w:rsidP="000D7011">
            <w:pPr>
              <w:pStyle w:val="Tabletext"/>
              <w:jc w:val="right"/>
            </w:pPr>
            <w:r w:rsidRPr="00022D33">
              <w:t>1,772</w:t>
            </w:r>
          </w:p>
        </w:tc>
        <w:tc>
          <w:tcPr>
            <w:tcW w:w="1034" w:type="dxa"/>
            <w:tcBorders>
              <w:left w:val="single" w:sz="4" w:space="0" w:color="auto"/>
            </w:tcBorders>
            <w:shd w:val="clear" w:color="auto" w:fill="auto"/>
          </w:tcPr>
          <w:p w:rsidR="00617CB0" w:rsidRPr="00022D33" w:rsidRDefault="00617CB0" w:rsidP="000D7011">
            <w:pPr>
              <w:pStyle w:val="Tabletext"/>
              <w:jc w:val="right"/>
            </w:pPr>
            <w:r w:rsidRPr="00022D33">
              <w:t>25</w:t>
            </w:r>
          </w:p>
        </w:tc>
        <w:tc>
          <w:tcPr>
            <w:tcW w:w="988" w:type="dxa"/>
            <w:shd w:val="clear" w:color="auto" w:fill="auto"/>
          </w:tcPr>
          <w:p w:rsidR="00617CB0" w:rsidRPr="00022D33" w:rsidRDefault="00617CB0" w:rsidP="000D7011">
            <w:pPr>
              <w:pStyle w:val="Tabletext"/>
              <w:jc w:val="right"/>
            </w:pPr>
            <w:r w:rsidRPr="00022D33">
              <w:t>-</w:t>
            </w:r>
          </w:p>
        </w:tc>
        <w:tc>
          <w:tcPr>
            <w:tcW w:w="988" w:type="dxa"/>
            <w:shd w:val="clear" w:color="auto" w:fill="auto"/>
          </w:tcPr>
          <w:p w:rsidR="00617CB0" w:rsidRPr="00022D33" w:rsidRDefault="00617CB0" w:rsidP="000D7011">
            <w:pPr>
              <w:pStyle w:val="Tabletext"/>
              <w:jc w:val="right"/>
            </w:pPr>
            <w:r w:rsidRPr="00022D33">
              <w:t>-</w:t>
            </w:r>
          </w:p>
        </w:tc>
        <w:tc>
          <w:tcPr>
            <w:tcW w:w="899" w:type="dxa"/>
            <w:shd w:val="clear" w:color="auto" w:fill="auto"/>
          </w:tcPr>
          <w:p w:rsidR="00617CB0" w:rsidRPr="00022D33" w:rsidRDefault="00617CB0" w:rsidP="000D7011">
            <w:pPr>
              <w:pStyle w:val="Tabletext"/>
              <w:jc w:val="right"/>
            </w:pPr>
            <w:r w:rsidRPr="00022D33">
              <w:t>-</w:t>
            </w:r>
          </w:p>
        </w:tc>
        <w:tc>
          <w:tcPr>
            <w:tcW w:w="899" w:type="dxa"/>
            <w:tcBorders>
              <w:right w:val="single" w:sz="4" w:space="0" w:color="auto"/>
            </w:tcBorders>
            <w:shd w:val="clear" w:color="auto" w:fill="auto"/>
          </w:tcPr>
          <w:p w:rsidR="00617CB0" w:rsidRPr="00022D33" w:rsidRDefault="00617CB0" w:rsidP="000D7011">
            <w:pPr>
              <w:pStyle w:val="Tabletext"/>
              <w:jc w:val="right"/>
            </w:pPr>
            <w:r w:rsidRPr="00022D33">
              <w:t>-</w:t>
            </w:r>
          </w:p>
        </w:tc>
        <w:tc>
          <w:tcPr>
            <w:tcW w:w="1050" w:type="dxa"/>
            <w:tcBorders>
              <w:left w:val="single" w:sz="4" w:space="0" w:color="auto"/>
            </w:tcBorders>
            <w:shd w:val="clear" w:color="auto" w:fill="auto"/>
          </w:tcPr>
          <w:p w:rsidR="00617CB0" w:rsidRPr="00022D33" w:rsidRDefault="00617CB0" w:rsidP="000D7011">
            <w:pPr>
              <w:pStyle w:val="Tabletext"/>
              <w:jc w:val="right"/>
            </w:pPr>
          </w:p>
        </w:tc>
      </w:tr>
      <w:tr w:rsidR="00617CB0" w:rsidRPr="00022D33" w:rsidTr="000D7011">
        <w:tc>
          <w:tcPr>
            <w:tcW w:w="1767" w:type="dxa"/>
            <w:shd w:val="clear" w:color="auto" w:fill="auto"/>
          </w:tcPr>
          <w:p w:rsidR="00617CB0" w:rsidRPr="00022D33" w:rsidRDefault="00617CB0" w:rsidP="000D7011">
            <w:pPr>
              <w:pStyle w:val="Tabletext"/>
            </w:pPr>
            <w:r w:rsidRPr="00022D33">
              <w:t>Amounts receivable for services</w:t>
            </w:r>
          </w:p>
        </w:tc>
        <w:tc>
          <w:tcPr>
            <w:tcW w:w="1039" w:type="dxa"/>
            <w:tcBorders>
              <w:bottom w:val="single" w:sz="4" w:space="0" w:color="auto"/>
            </w:tcBorders>
            <w:shd w:val="clear" w:color="auto" w:fill="auto"/>
          </w:tcPr>
          <w:p w:rsidR="00617CB0" w:rsidRPr="00022D33" w:rsidRDefault="00617CB0" w:rsidP="000D7011">
            <w:pPr>
              <w:pStyle w:val="Tabletext"/>
              <w:jc w:val="right"/>
            </w:pPr>
            <w:r w:rsidRPr="00022D33">
              <w:t>411,714</w:t>
            </w:r>
          </w:p>
        </w:tc>
        <w:tc>
          <w:tcPr>
            <w:tcW w:w="1050" w:type="dxa"/>
            <w:tcBorders>
              <w:bottom w:val="single" w:sz="4" w:space="0" w:color="auto"/>
              <w:right w:val="single" w:sz="4" w:space="0" w:color="auto"/>
            </w:tcBorders>
            <w:shd w:val="clear" w:color="auto" w:fill="auto"/>
          </w:tcPr>
          <w:p w:rsidR="00617CB0" w:rsidRPr="00022D33" w:rsidRDefault="00617CB0" w:rsidP="000D7011">
            <w:pPr>
              <w:pStyle w:val="Tabletext"/>
              <w:jc w:val="right"/>
            </w:pPr>
            <w:r w:rsidRPr="00022D33">
              <w:t>411,714</w:t>
            </w:r>
          </w:p>
        </w:tc>
        <w:tc>
          <w:tcPr>
            <w:tcW w:w="1034" w:type="dxa"/>
            <w:tcBorders>
              <w:left w:val="single" w:sz="4" w:space="0" w:color="auto"/>
              <w:bottom w:val="single" w:sz="4" w:space="0" w:color="auto"/>
            </w:tcBorders>
            <w:shd w:val="clear" w:color="auto" w:fill="auto"/>
          </w:tcPr>
          <w:p w:rsidR="00617CB0" w:rsidRPr="00022D33" w:rsidRDefault="00617CB0" w:rsidP="000D7011">
            <w:pPr>
              <w:pStyle w:val="Tabletext"/>
              <w:jc w:val="right"/>
            </w:pPr>
            <w:r w:rsidRPr="00022D33">
              <w:t>-</w:t>
            </w:r>
          </w:p>
        </w:tc>
        <w:tc>
          <w:tcPr>
            <w:tcW w:w="988" w:type="dxa"/>
            <w:tcBorders>
              <w:bottom w:val="single" w:sz="4" w:space="0" w:color="auto"/>
            </w:tcBorders>
            <w:shd w:val="clear" w:color="auto" w:fill="auto"/>
          </w:tcPr>
          <w:p w:rsidR="00617CB0" w:rsidRPr="00022D33" w:rsidRDefault="00617CB0" w:rsidP="000D7011">
            <w:pPr>
              <w:pStyle w:val="Tabletext"/>
              <w:jc w:val="right"/>
            </w:pPr>
            <w:r w:rsidRPr="00022D33">
              <w:t>-</w:t>
            </w:r>
          </w:p>
        </w:tc>
        <w:tc>
          <w:tcPr>
            <w:tcW w:w="988" w:type="dxa"/>
            <w:tcBorders>
              <w:bottom w:val="single" w:sz="4" w:space="0" w:color="auto"/>
            </w:tcBorders>
            <w:shd w:val="clear" w:color="auto" w:fill="auto"/>
          </w:tcPr>
          <w:p w:rsidR="00617CB0" w:rsidRPr="00022D33" w:rsidRDefault="00617CB0" w:rsidP="000D7011">
            <w:pPr>
              <w:pStyle w:val="Tabletext"/>
              <w:jc w:val="right"/>
            </w:pPr>
            <w:r w:rsidRPr="00022D33">
              <w:t>-</w:t>
            </w:r>
          </w:p>
        </w:tc>
        <w:tc>
          <w:tcPr>
            <w:tcW w:w="899" w:type="dxa"/>
            <w:tcBorders>
              <w:bottom w:val="single" w:sz="4" w:space="0" w:color="auto"/>
            </w:tcBorders>
            <w:shd w:val="clear" w:color="auto" w:fill="auto"/>
          </w:tcPr>
          <w:p w:rsidR="00617CB0" w:rsidRPr="00022D33" w:rsidRDefault="00617CB0" w:rsidP="000D7011">
            <w:pPr>
              <w:pStyle w:val="Tabletext"/>
              <w:jc w:val="right"/>
            </w:pPr>
            <w:r w:rsidRPr="00022D33">
              <w:t>-</w:t>
            </w:r>
          </w:p>
        </w:tc>
        <w:tc>
          <w:tcPr>
            <w:tcW w:w="899" w:type="dxa"/>
            <w:tcBorders>
              <w:bottom w:val="single" w:sz="4" w:space="0" w:color="auto"/>
              <w:right w:val="single" w:sz="4" w:space="0" w:color="auto"/>
            </w:tcBorders>
            <w:shd w:val="clear" w:color="auto" w:fill="auto"/>
          </w:tcPr>
          <w:p w:rsidR="00617CB0" w:rsidRPr="00022D33" w:rsidRDefault="00617CB0" w:rsidP="000D7011">
            <w:pPr>
              <w:pStyle w:val="Tabletext"/>
              <w:jc w:val="right"/>
            </w:pPr>
            <w:r w:rsidRPr="00022D33">
              <w:t>-</w:t>
            </w:r>
          </w:p>
        </w:tc>
        <w:tc>
          <w:tcPr>
            <w:tcW w:w="1050" w:type="dxa"/>
            <w:tcBorders>
              <w:left w:val="single" w:sz="4" w:space="0" w:color="auto"/>
              <w:bottom w:val="single" w:sz="4" w:space="0" w:color="auto"/>
            </w:tcBorders>
            <w:shd w:val="clear" w:color="auto" w:fill="auto"/>
          </w:tcPr>
          <w:p w:rsidR="00617CB0" w:rsidRPr="00022D33" w:rsidRDefault="00617CB0" w:rsidP="000D7011">
            <w:pPr>
              <w:pStyle w:val="Tabletext"/>
              <w:jc w:val="right"/>
            </w:pPr>
            <w:r w:rsidRPr="00022D33">
              <w:t>-</w:t>
            </w:r>
          </w:p>
        </w:tc>
      </w:tr>
      <w:tr w:rsidR="00617CB0" w:rsidRPr="00022D33" w:rsidTr="000D7011">
        <w:tc>
          <w:tcPr>
            <w:tcW w:w="1767" w:type="dxa"/>
            <w:shd w:val="clear" w:color="auto" w:fill="auto"/>
          </w:tcPr>
          <w:p w:rsidR="00617CB0" w:rsidRPr="00022D33" w:rsidRDefault="00617CB0" w:rsidP="000D7011">
            <w:pPr>
              <w:pStyle w:val="Tabletext"/>
            </w:pPr>
          </w:p>
        </w:tc>
        <w:tc>
          <w:tcPr>
            <w:tcW w:w="1039"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820,777</w:t>
            </w:r>
          </w:p>
        </w:tc>
        <w:tc>
          <w:tcPr>
            <w:tcW w:w="1050" w:type="dxa"/>
            <w:tcBorders>
              <w:top w:val="single" w:sz="4" w:space="0" w:color="auto"/>
              <w:bottom w:val="double" w:sz="4" w:space="0" w:color="auto"/>
              <w:right w:val="single" w:sz="4" w:space="0" w:color="auto"/>
            </w:tcBorders>
            <w:shd w:val="clear" w:color="auto" w:fill="auto"/>
          </w:tcPr>
          <w:p w:rsidR="00617CB0" w:rsidRPr="00022D33" w:rsidRDefault="00617CB0" w:rsidP="000D7011">
            <w:pPr>
              <w:pStyle w:val="Tableboldedtext"/>
              <w:jc w:val="right"/>
            </w:pPr>
            <w:r w:rsidRPr="00022D33">
              <w:t>792,107</w:t>
            </w:r>
          </w:p>
        </w:tc>
        <w:tc>
          <w:tcPr>
            <w:tcW w:w="1034" w:type="dxa"/>
            <w:tcBorders>
              <w:top w:val="single" w:sz="4" w:space="0" w:color="auto"/>
              <w:left w:val="single" w:sz="4" w:space="0" w:color="auto"/>
              <w:bottom w:val="double" w:sz="4" w:space="0" w:color="auto"/>
            </w:tcBorders>
            <w:shd w:val="clear" w:color="auto" w:fill="auto"/>
          </w:tcPr>
          <w:p w:rsidR="00617CB0" w:rsidRPr="00022D33" w:rsidRDefault="00617CB0" w:rsidP="000D7011">
            <w:pPr>
              <w:pStyle w:val="Tableboldedtext"/>
              <w:jc w:val="right"/>
            </w:pPr>
            <w:r w:rsidRPr="00022D33">
              <w:t>19,142</w:t>
            </w:r>
          </w:p>
        </w:tc>
        <w:tc>
          <w:tcPr>
            <w:tcW w:w="988"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4,045</w:t>
            </w:r>
          </w:p>
        </w:tc>
        <w:tc>
          <w:tcPr>
            <w:tcW w:w="988"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3,575</w:t>
            </w:r>
          </w:p>
        </w:tc>
        <w:tc>
          <w:tcPr>
            <w:tcW w:w="899"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1,908</w:t>
            </w:r>
          </w:p>
        </w:tc>
        <w:tc>
          <w:tcPr>
            <w:tcW w:w="899" w:type="dxa"/>
            <w:tcBorders>
              <w:top w:val="single" w:sz="4" w:space="0" w:color="auto"/>
              <w:bottom w:val="double" w:sz="4" w:space="0" w:color="auto"/>
              <w:right w:val="single" w:sz="4" w:space="0" w:color="auto"/>
            </w:tcBorders>
            <w:shd w:val="clear" w:color="auto" w:fill="auto"/>
          </w:tcPr>
          <w:p w:rsidR="00617CB0" w:rsidRPr="00022D33" w:rsidRDefault="00617CB0" w:rsidP="000D7011">
            <w:pPr>
              <w:pStyle w:val="Tableboldedtext"/>
              <w:jc w:val="right"/>
            </w:pPr>
            <w:r w:rsidRPr="00022D33">
              <w:t>-</w:t>
            </w:r>
          </w:p>
        </w:tc>
        <w:tc>
          <w:tcPr>
            <w:tcW w:w="1050" w:type="dxa"/>
            <w:tcBorders>
              <w:top w:val="single" w:sz="4" w:space="0" w:color="auto"/>
              <w:left w:val="single" w:sz="4" w:space="0" w:color="auto"/>
              <w:bottom w:val="double" w:sz="4" w:space="0" w:color="auto"/>
            </w:tcBorders>
            <w:shd w:val="clear" w:color="auto" w:fill="auto"/>
          </w:tcPr>
          <w:p w:rsidR="00617CB0" w:rsidRPr="00022D33" w:rsidRDefault="00617CB0" w:rsidP="000D7011">
            <w:pPr>
              <w:pStyle w:val="Tableboldedtext"/>
              <w:jc w:val="right"/>
            </w:pPr>
            <w:r w:rsidRPr="00022D33">
              <w:t>-</w:t>
            </w:r>
          </w:p>
        </w:tc>
      </w:tr>
      <w:tr w:rsidR="00617CB0" w:rsidRPr="00022D33" w:rsidTr="000D7011">
        <w:tc>
          <w:tcPr>
            <w:tcW w:w="9714" w:type="dxa"/>
            <w:gridSpan w:val="9"/>
            <w:shd w:val="clear" w:color="auto" w:fill="auto"/>
          </w:tcPr>
          <w:p w:rsidR="00617CB0" w:rsidRPr="00022D33" w:rsidRDefault="00617CB0" w:rsidP="000D7011">
            <w:pPr>
              <w:pStyle w:val="Tabletext"/>
              <w:rPr>
                <w:b/>
              </w:rPr>
            </w:pPr>
            <w:r w:rsidRPr="00022D33">
              <w:rPr>
                <w:b/>
              </w:rPr>
              <w:t>2015</w:t>
            </w:r>
          </w:p>
        </w:tc>
      </w:tr>
      <w:tr w:rsidR="00617CB0" w:rsidRPr="00022D33" w:rsidTr="000D7011">
        <w:tc>
          <w:tcPr>
            <w:tcW w:w="1767" w:type="dxa"/>
            <w:shd w:val="clear" w:color="auto" w:fill="auto"/>
          </w:tcPr>
          <w:p w:rsidR="00617CB0" w:rsidRPr="00022D33" w:rsidRDefault="00617CB0" w:rsidP="000D7011">
            <w:pPr>
              <w:pStyle w:val="Tabletext"/>
            </w:pPr>
            <w:r w:rsidRPr="00022D33">
              <w:t>Cash and cash equivalents</w:t>
            </w:r>
          </w:p>
        </w:tc>
        <w:tc>
          <w:tcPr>
            <w:tcW w:w="1039" w:type="dxa"/>
            <w:shd w:val="clear" w:color="auto" w:fill="auto"/>
          </w:tcPr>
          <w:p w:rsidR="00617CB0" w:rsidRPr="00022D33" w:rsidRDefault="00617CB0" w:rsidP="000D7011">
            <w:pPr>
              <w:pStyle w:val="Tabletext"/>
              <w:jc w:val="right"/>
            </w:pPr>
            <w:r w:rsidRPr="00022D33">
              <w:t>58,905</w:t>
            </w:r>
          </w:p>
        </w:tc>
        <w:tc>
          <w:tcPr>
            <w:tcW w:w="1050" w:type="dxa"/>
            <w:tcBorders>
              <w:right w:val="single" w:sz="4" w:space="0" w:color="auto"/>
            </w:tcBorders>
            <w:shd w:val="clear" w:color="auto" w:fill="auto"/>
          </w:tcPr>
          <w:p w:rsidR="00617CB0" w:rsidRPr="00022D33" w:rsidRDefault="00617CB0" w:rsidP="000D7011">
            <w:pPr>
              <w:pStyle w:val="Tabletext"/>
              <w:jc w:val="right"/>
            </w:pPr>
            <w:r w:rsidRPr="00022D33">
              <w:t>58,905</w:t>
            </w:r>
          </w:p>
        </w:tc>
        <w:tc>
          <w:tcPr>
            <w:tcW w:w="1034" w:type="dxa"/>
            <w:tcBorders>
              <w:left w:val="single" w:sz="4" w:space="0" w:color="auto"/>
            </w:tcBorders>
            <w:shd w:val="clear" w:color="auto" w:fill="auto"/>
          </w:tcPr>
          <w:p w:rsidR="00617CB0" w:rsidRPr="00022D33" w:rsidRDefault="00617CB0" w:rsidP="000D7011">
            <w:pPr>
              <w:pStyle w:val="Tabletext"/>
              <w:jc w:val="right"/>
            </w:pPr>
            <w:r w:rsidRPr="00022D33">
              <w:t>-</w:t>
            </w:r>
          </w:p>
        </w:tc>
        <w:tc>
          <w:tcPr>
            <w:tcW w:w="988" w:type="dxa"/>
            <w:shd w:val="clear" w:color="auto" w:fill="auto"/>
          </w:tcPr>
          <w:p w:rsidR="00617CB0" w:rsidRPr="00022D33" w:rsidRDefault="00617CB0" w:rsidP="000D7011">
            <w:pPr>
              <w:pStyle w:val="Tabletext"/>
              <w:jc w:val="right"/>
            </w:pPr>
            <w:r w:rsidRPr="00022D33">
              <w:t>-</w:t>
            </w:r>
          </w:p>
        </w:tc>
        <w:tc>
          <w:tcPr>
            <w:tcW w:w="988" w:type="dxa"/>
            <w:shd w:val="clear" w:color="auto" w:fill="auto"/>
          </w:tcPr>
          <w:p w:rsidR="00617CB0" w:rsidRPr="00022D33" w:rsidRDefault="00617CB0" w:rsidP="000D7011">
            <w:pPr>
              <w:pStyle w:val="Tabletext"/>
              <w:jc w:val="right"/>
            </w:pPr>
            <w:r w:rsidRPr="00022D33">
              <w:t>-</w:t>
            </w:r>
          </w:p>
        </w:tc>
        <w:tc>
          <w:tcPr>
            <w:tcW w:w="899" w:type="dxa"/>
            <w:shd w:val="clear" w:color="auto" w:fill="auto"/>
          </w:tcPr>
          <w:p w:rsidR="00617CB0" w:rsidRPr="00022D33" w:rsidRDefault="00617CB0" w:rsidP="000D7011">
            <w:pPr>
              <w:pStyle w:val="Tabletext"/>
              <w:jc w:val="right"/>
            </w:pPr>
            <w:r w:rsidRPr="00022D33">
              <w:t>-</w:t>
            </w:r>
          </w:p>
        </w:tc>
        <w:tc>
          <w:tcPr>
            <w:tcW w:w="899" w:type="dxa"/>
            <w:tcBorders>
              <w:right w:val="single" w:sz="4" w:space="0" w:color="auto"/>
            </w:tcBorders>
            <w:shd w:val="clear" w:color="auto" w:fill="auto"/>
          </w:tcPr>
          <w:p w:rsidR="00617CB0" w:rsidRPr="00022D33" w:rsidRDefault="00617CB0" w:rsidP="000D7011">
            <w:pPr>
              <w:pStyle w:val="Tabletext"/>
              <w:jc w:val="right"/>
            </w:pPr>
            <w:r w:rsidRPr="00022D33">
              <w:t>-</w:t>
            </w:r>
          </w:p>
        </w:tc>
        <w:tc>
          <w:tcPr>
            <w:tcW w:w="1050" w:type="dxa"/>
            <w:tcBorders>
              <w:left w:val="single" w:sz="4" w:space="0" w:color="auto"/>
            </w:tcBorders>
            <w:shd w:val="clear" w:color="auto" w:fill="auto"/>
          </w:tcPr>
          <w:p w:rsidR="00617CB0" w:rsidRPr="00022D33" w:rsidRDefault="00617CB0" w:rsidP="000D7011">
            <w:pPr>
              <w:pStyle w:val="Tabletext"/>
              <w:jc w:val="right"/>
            </w:pPr>
            <w:r w:rsidRPr="00022D33">
              <w:t>-</w:t>
            </w:r>
          </w:p>
        </w:tc>
      </w:tr>
      <w:tr w:rsidR="00617CB0" w:rsidRPr="00022D33" w:rsidTr="000D7011">
        <w:tc>
          <w:tcPr>
            <w:tcW w:w="1767" w:type="dxa"/>
            <w:shd w:val="clear" w:color="auto" w:fill="auto"/>
          </w:tcPr>
          <w:p w:rsidR="00617CB0" w:rsidRPr="00022D33" w:rsidRDefault="00617CB0" w:rsidP="000D7011">
            <w:pPr>
              <w:pStyle w:val="Tabletext"/>
            </w:pPr>
            <w:r w:rsidRPr="00022D33">
              <w:t>Restricted cash and cash equivalents</w:t>
            </w:r>
          </w:p>
        </w:tc>
        <w:tc>
          <w:tcPr>
            <w:tcW w:w="1039" w:type="dxa"/>
            <w:shd w:val="clear" w:color="auto" w:fill="auto"/>
          </w:tcPr>
          <w:p w:rsidR="00617CB0" w:rsidRPr="00022D33" w:rsidRDefault="00617CB0" w:rsidP="000D7011">
            <w:pPr>
              <w:pStyle w:val="Tabletext"/>
              <w:jc w:val="right"/>
            </w:pPr>
            <w:r w:rsidRPr="00022D33">
              <w:t>14,887</w:t>
            </w:r>
          </w:p>
        </w:tc>
        <w:tc>
          <w:tcPr>
            <w:tcW w:w="1050" w:type="dxa"/>
            <w:tcBorders>
              <w:right w:val="single" w:sz="4" w:space="0" w:color="auto"/>
            </w:tcBorders>
            <w:shd w:val="clear" w:color="auto" w:fill="auto"/>
          </w:tcPr>
          <w:p w:rsidR="00617CB0" w:rsidRPr="00022D33" w:rsidRDefault="00617CB0" w:rsidP="000D7011">
            <w:pPr>
              <w:pStyle w:val="Tabletext"/>
              <w:jc w:val="right"/>
            </w:pPr>
            <w:r w:rsidRPr="00022D33">
              <w:t>14,887</w:t>
            </w:r>
          </w:p>
        </w:tc>
        <w:tc>
          <w:tcPr>
            <w:tcW w:w="1034" w:type="dxa"/>
            <w:tcBorders>
              <w:left w:val="single" w:sz="4" w:space="0" w:color="auto"/>
            </w:tcBorders>
            <w:shd w:val="clear" w:color="auto" w:fill="auto"/>
          </w:tcPr>
          <w:p w:rsidR="00617CB0" w:rsidRPr="00022D33" w:rsidRDefault="00617CB0" w:rsidP="000D7011">
            <w:pPr>
              <w:pStyle w:val="Tabletext"/>
              <w:jc w:val="right"/>
            </w:pPr>
            <w:r w:rsidRPr="00022D33">
              <w:t>-</w:t>
            </w:r>
          </w:p>
        </w:tc>
        <w:tc>
          <w:tcPr>
            <w:tcW w:w="988" w:type="dxa"/>
            <w:shd w:val="clear" w:color="auto" w:fill="auto"/>
          </w:tcPr>
          <w:p w:rsidR="00617CB0" w:rsidRPr="00022D33" w:rsidRDefault="00617CB0" w:rsidP="000D7011">
            <w:pPr>
              <w:pStyle w:val="Tabletext"/>
              <w:jc w:val="right"/>
            </w:pPr>
            <w:r w:rsidRPr="00022D33">
              <w:t>-</w:t>
            </w:r>
          </w:p>
        </w:tc>
        <w:tc>
          <w:tcPr>
            <w:tcW w:w="988" w:type="dxa"/>
            <w:shd w:val="clear" w:color="auto" w:fill="auto"/>
          </w:tcPr>
          <w:p w:rsidR="00617CB0" w:rsidRPr="00022D33" w:rsidRDefault="00617CB0" w:rsidP="000D7011">
            <w:pPr>
              <w:pStyle w:val="Tabletext"/>
              <w:jc w:val="right"/>
            </w:pPr>
            <w:r w:rsidRPr="00022D33">
              <w:t>-</w:t>
            </w:r>
          </w:p>
        </w:tc>
        <w:tc>
          <w:tcPr>
            <w:tcW w:w="899" w:type="dxa"/>
            <w:shd w:val="clear" w:color="auto" w:fill="auto"/>
          </w:tcPr>
          <w:p w:rsidR="00617CB0" w:rsidRPr="00022D33" w:rsidRDefault="00617CB0" w:rsidP="000D7011">
            <w:pPr>
              <w:pStyle w:val="Tabletext"/>
              <w:jc w:val="right"/>
            </w:pPr>
            <w:r w:rsidRPr="00022D33">
              <w:t>-</w:t>
            </w:r>
          </w:p>
        </w:tc>
        <w:tc>
          <w:tcPr>
            <w:tcW w:w="899" w:type="dxa"/>
            <w:tcBorders>
              <w:right w:val="single" w:sz="4" w:space="0" w:color="auto"/>
            </w:tcBorders>
            <w:shd w:val="clear" w:color="auto" w:fill="auto"/>
          </w:tcPr>
          <w:p w:rsidR="00617CB0" w:rsidRPr="00022D33" w:rsidRDefault="00617CB0" w:rsidP="000D7011">
            <w:pPr>
              <w:pStyle w:val="Tabletext"/>
              <w:jc w:val="right"/>
            </w:pPr>
            <w:r w:rsidRPr="00022D33">
              <w:t>-</w:t>
            </w:r>
          </w:p>
        </w:tc>
        <w:tc>
          <w:tcPr>
            <w:tcW w:w="1050" w:type="dxa"/>
            <w:tcBorders>
              <w:left w:val="single" w:sz="4" w:space="0" w:color="auto"/>
            </w:tcBorders>
            <w:shd w:val="clear" w:color="auto" w:fill="auto"/>
          </w:tcPr>
          <w:p w:rsidR="00617CB0" w:rsidRPr="00022D33" w:rsidRDefault="00617CB0" w:rsidP="000D7011">
            <w:pPr>
              <w:pStyle w:val="Tabletext"/>
              <w:jc w:val="right"/>
            </w:pPr>
            <w:r w:rsidRPr="00022D33">
              <w:t>-</w:t>
            </w:r>
          </w:p>
        </w:tc>
      </w:tr>
      <w:tr w:rsidR="00617CB0" w:rsidRPr="00022D33" w:rsidTr="000D7011">
        <w:tc>
          <w:tcPr>
            <w:tcW w:w="1767" w:type="dxa"/>
            <w:shd w:val="clear" w:color="auto" w:fill="auto"/>
          </w:tcPr>
          <w:p w:rsidR="00617CB0" w:rsidRPr="00022D33" w:rsidRDefault="00617CB0" w:rsidP="000D7011">
            <w:pPr>
              <w:pStyle w:val="Tabletext"/>
            </w:pPr>
            <w:r w:rsidRPr="00022D33">
              <w:t xml:space="preserve">Receivables </w:t>
            </w:r>
            <w:r w:rsidRPr="00022D33">
              <w:rPr>
                <w:vertAlign w:val="superscript"/>
              </w:rPr>
              <w:t>(a)</w:t>
            </w:r>
          </w:p>
        </w:tc>
        <w:tc>
          <w:tcPr>
            <w:tcW w:w="1039" w:type="dxa"/>
            <w:shd w:val="clear" w:color="auto" w:fill="auto"/>
          </w:tcPr>
          <w:p w:rsidR="00617CB0" w:rsidRPr="00022D33" w:rsidRDefault="00617CB0" w:rsidP="000D7011">
            <w:pPr>
              <w:pStyle w:val="Tabletext"/>
              <w:jc w:val="right"/>
            </w:pPr>
            <w:r w:rsidRPr="00022D33">
              <w:t>303,996</w:t>
            </w:r>
          </w:p>
        </w:tc>
        <w:tc>
          <w:tcPr>
            <w:tcW w:w="1050" w:type="dxa"/>
            <w:tcBorders>
              <w:right w:val="single" w:sz="4" w:space="0" w:color="auto"/>
            </w:tcBorders>
            <w:shd w:val="clear" w:color="auto" w:fill="auto"/>
          </w:tcPr>
          <w:p w:rsidR="00617CB0" w:rsidRPr="00022D33" w:rsidRDefault="00617CB0" w:rsidP="000D7011">
            <w:pPr>
              <w:pStyle w:val="Tabletext"/>
              <w:jc w:val="right"/>
            </w:pPr>
            <w:r w:rsidRPr="00022D33">
              <w:t>276,841</w:t>
            </w:r>
          </w:p>
        </w:tc>
        <w:tc>
          <w:tcPr>
            <w:tcW w:w="1034" w:type="dxa"/>
            <w:tcBorders>
              <w:left w:val="single" w:sz="4" w:space="0" w:color="auto"/>
            </w:tcBorders>
            <w:shd w:val="clear" w:color="auto" w:fill="auto"/>
          </w:tcPr>
          <w:p w:rsidR="00617CB0" w:rsidRPr="00022D33" w:rsidRDefault="00617CB0" w:rsidP="000D7011">
            <w:pPr>
              <w:pStyle w:val="Tabletext"/>
              <w:jc w:val="right"/>
            </w:pPr>
            <w:r w:rsidRPr="00022D33">
              <w:t>17,745</w:t>
            </w:r>
          </w:p>
        </w:tc>
        <w:tc>
          <w:tcPr>
            <w:tcW w:w="988" w:type="dxa"/>
            <w:shd w:val="clear" w:color="auto" w:fill="auto"/>
          </w:tcPr>
          <w:p w:rsidR="00617CB0" w:rsidRPr="00022D33" w:rsidRDefault="00617CB0" w:rsidP="000D7011">
            <w:pPr>
              <w:pStyle w:val="Tabletext"/>
              <w:jc w:val="right"/>
            </w:pPr>
            <w:r w:rsidRPr="00022D33">
              <w:t>6,08</w:t>
            </w:r>
            <w:r>
              <w:t>7</w:t>
            </w:r>
          </w:p>
        </w:tc>
        <w:tc>
          <w:tcPr>
            <w:tcW w:w="988" w:type="dxa"/>
            <w:shd w:val="clear" w:color="auto" w:fill="auto"/>
          </w:tcPr>
          <w:p w:rsidR="00617CB0" w:rsidRPr="00022D33" w:rsidRDefault="00617CB0" w:rsidP="000D7011">
            <w:pPr>
              <w:pStyle w:val="Tabletext"/>
              <w:jc w:val="right"/>
            </w:pPr>
            <w:r w:rsidRPr="00022D33">
              <w:t>2,480</w:t>
            </w:r>
          </w:p>
        </w:tc>
        <w:tc>
          <w:tcPr>
            <w:tcW w:w="899" w:type="dxa"/>
            <w:shd w:val="clear" w:color="auto" w:fill="auto"/>
          </w:tcPr>
          <w:p w:rsidR="00617CB0" w:rsidRPr="00022D33" w:rsidRDefault="00617CB0" w:rsidP="000D7011">
            <w:pPr>
              <w:pStyle w:val="Tabletext"/>
              <w:jc w:val="right"/>
            </w:pPr>
            <w:r w:rsidRPr="00022D33">
              <w:t>839</w:t>
            </w:r>
          </w:p>
        </w:tc>
        <w:tc>
          <w:tcPr>
            <w:tcW w:w="899" w:type="dxa"/>
            <w:tcBorders>
              <w:right w:val="single" w:sz="4" w:space="0" w:color="auto"/>
            </w:tcBorders>
            <w:shd w:val="clear" w:color="auto" w:fill="auto"/>
          </w:tcPr>
          <w:p w:rsidR="00617CB0" w:rsidRPr="00022D33" w:rsidRDefault="00617CB0" w:rsidP="000D7011">
            <w:pPr>
              <w:pStyle w:val="Tabletext"/>
              <w:jc w:val="right"/>
            </w:pPr>
            <w:r w:rsidRPr="00022D33">
              <w:t>4</w:t>
            </w:r>
          </w:p>
        </w:tc>
        <w:tc>
          <w:tcPr>
            <w:tcW w:w="1050" w:type="dxa"/>
            <w:tcBorders>
              <w:left w:val="single" w:sz="4" w:space="0" w:color="auto"/>
            </w:tcBorders>
            <w:shd w:val="clear" w:color="auto" w:fill="auto"/>
          </w:tcPr>
          <w:p w:rsidR="00617CB0" w:rsidRPr="00022D33" w:rsidRDefault="00617CB0" w:rsidP="000D7011">
            <w:pPr>
              <w:pStyle w:val="Tabletext"/>
              <w:jc w:val="right"/>
            </w:pPr>
            <w:r w:rsidRPr="00022D33">
              <w:t>-</w:t>
            </w:r>
          </w:p>
        </w:tc>
      </w:tr>
      <w:tr w:rsidR="00617CB0" w:rsidRPr="00022D33" w:rsidTr="000D7011">
        <w:tc>
          <w:tcPr>
            <w:tcW w:w="1767" w:type="dxa"/>
            <w:shd w:val="clear" w:color="auto" w:fill="auto"/>
          </w:tcPr>
          <w:p w:rsidR="00617CB0" w:rsidRPr="00022D33" w:rsidRDefault="00617CB0" w:rsidP="000D7011">
            <w:pPr>
              <w:pStyle w:val="Tabletext"/>
            </w:pPr>
            <w:r w:rsidRPr="00022D33">
              <w:t>Finance lease receivables</w:t>
            </w:r>
          </w:p>
        </w:tc>
        <w:tc>
          <w:tcPr>
            <w:tcW w:w="1039" w:type="dxa"/>
            <w:shd w:val="clear" w:color="auto" w:fill="auto"/>
          </w:tcPr>
          <w:p w:rsidR="00617CB0" w:rsidRPr="00022D33" w:rsidRDefault="00617CB0" w:rsidP="000D7011">
            <w:pPr>
              <w:pStyle w:val="Tabletext"/>
              <w:jc w:val="right"/>
            </w:pPr>
            <w:r w:rsidRPr="00022D33">
              <w:t>2,148</w:t>
            </w:r>
          </w:p>
        </w:tc>
        <w:tc>
          <w:tcPr>
            <w:tcW w:w="1050" w:type="dxa"/>
            <w:tcBorders>
              <w:right w:val="single" w:sz="4" w:space="0" w:color="auto"/>
            </w:tcBorders>
            <w:shd w:val="clear" w:color="auto" w:fill="auto"/>
          </w:tcPr>
          <w:p w:rsidR="00617CB0" w:rsidRPr="00022D33" w:rsidRDefault="00617CB0" w:rsidP="000D7011">
            <w:pPr>
              <w:pStyle w:val="Tabletext"/>
              <w:jc w:val="right"/>
            </w:pPr>
            <w:r w:rsidRPr="00022D33">
              <w:t>2,121</w:t>
            </w:r>
          </w:p>
        </w:tc>
        <w:tc>
          <w:tcPr>
            <w:tcW w:w="1034" w:type="dxa"/>
            <w:tcBorders>
              <w:left w:val="single" w:sz="4" w:space="0" w:color="auto"/>
            </w:tcBorders>
            <w:shd w:val="clear" w:color="auto" w:fill="auto"/>
          </w:tcPr>
          <w:p w:rsidR="00617CB0" w:rsidRPr="00022D33" w:rsidRDefault="00617CB0" w:rsidP="000D7011">
            <w:pPr>
              <w:pStyle w:val="Tabletext"/>
              <w:jc w:val="right"/>
            </w:pPr>
            <w:r w:rsidRPr="00022D33">
              <w:t>27</w:t>
            </w:r>
          </w:p>
        </w:tc>
        <w:tc>
          <w:tcPr>
            <w:tcW w:w="988" w:type="dxa"/>
            <w:shd w:val="clear" w:color="auto" w:fill="auto"/>
          </w:tcPr>
          <w:p w:rsidR="00617CB0" w:rsidRPr="00022D33" w:rsidRDefault="00617CB0" w:rsidP="000D7011">
            <w:pPr>
              <w:pStyle w:val="Tabletext"/>
              <w:jc w:val="right"/>
            </w:pPr>
            <w:r w:rsidRPr="00022D33">
              <w:t>-</w:t>
            </w:r>
          </w:p>
        </w:tc>
        <w:tc>
          <w:tcPr>
            <w:tcW w:w="988" w:type="dxa"/>
            <w:shd w:val="clear" w:color="auto" w:fill="auto"/>
          </w:tcPr>
          <w:p w:rsidR="00617CB0" w:rsidRPr="00022D33" w:rsidRDefault="00617CB0" w:rsidP="000D7011">
            <w:pPr>
              <w:pStyle w:val="Tabletext"/>
              <w:jc w:val="right"/>
            </w:pPr>
            <w:r w:rsidRPr="00022D33">
              <w:t>-</w:t>
            </w:r>
          </w:p>
        </w:tc>
        <w:tc>
          <w:tcPr>
            <w:tcW w:w="899" w:type="dxa"/>
            <w:shd w:val="clear" w:color="auto" w:fill="auto"/>
          </w:tcPr>
          <w:p w:rsidR="00617CB0" w:rsidRPr="00022D33" w:rsidRDefault="00617CB0" w:rsidP="000D7011">
            <w:pPr>
              <w:pStyle w:val="Tabletext"/>
              <w:jc w:val="right"/>
            </w:pPr>
            <w:r w:rsidRPr="00022D33">
              <w:t>-</w:t>
            </w:r>
          </w:p>
        </w:tc>
        <w:tc>
          <w:tcPr>
            <w:tcW w:w="899" w:type="dxa"/>
            <w:tcBorders>
              <w:right w:val="single" w:sz="4" w:space="0" w:color="auto"/>
            </w:tcBorders>
            <w:shd w:val="clear" w:color="auto" w:fill="auto"/>
          </w:tcPr>
          <w:p w:rsidR="00617CB0" w:rsidRPr="00022D33" w:rsidRDefault="00617CB0" w:rsidP="000D7011">
            <w:pPr>
              <w:pStyle w:val="Tabletext"/>
              <w:jc w:val="right"/>
            </w:pPr>
            <w:r w:rsidRPr="00022D33">
              <w:t>-</w:t>
            </w:r>
          </w:p>
        </w:tc>
        <w:tc>
          <w:tcPr>
            <w:tcW w:w="1050" w:type="dxa"/>
            <w:tcBorders>
              <w:left w:val="single" w:sz="4" w:space="0" w:color="auto"/>
            </w:tcBorders>
            <w:shd w:val="clear" w:color="auto" w:fill="auto"/>
          </w:tcPr>
          <w:p w:rsidR="00617CB0" w:rsidRPr="00022D33" w:rsidRDefault="00617CB0" w:rsidP="000D7011">
            <w:pPr>
              <w:pStyle w:val="Tabletext"/>
              <w:jc w:val="right"/>
            </w:pPr>
          </w:p>
        </w:tc>
      </w:tr>
      <w:tr w:rsidR="00617CB0" w:rsidRPr="00022D33" w:rsidTr="000D7011">
        <w:tc>
          <w:tcPr>
            <w:tcW w:w="1767" w:type="dxa"/>
            <w:shd w:val="clear" w:color="auto" w:fill="auto"/>
          </w:tcPr>
          <w:p w:rsidR="00617CB0" w:rsidRPr="00022D33" w:rsidRDefault="00617CB0" w:rsidP="000D7011">
            <w:pPr>
              <w:pStyle w:val="Tabletext"/>
            </w:pPr>
            <w:r w:rsidRPr="00022D33">
              <w:t>Amounts receivable for services</w:t>
            </w:r>
          </w:p>
        </w:tc>
        <w:tc>
          <w:tcPr>
            <w:tcW w:w="1039" w:type="dxa"/>
            <w:tcBorders>
              <w:bottom w:val="single" w:sz="4" w:space="0" w:color="auto"/>
            </w:tcBorders>
            <w:shd w:val="clear" w:color="auto" w:fill="auto"/>
          </w:tcPr>
          <w:p w:rsidR="00617CB0" w:rsidRPr="00022D33" w:rsidRDefault="00617CB0" w:rsidP="000D7011">
            <w:pPr>
              <w:pStyle w:val="Tabletext"/>
              <w:jc w:val="right"/>
            </w:pPr>
            <w:r w:rsidRPr="00022D33">
              <w:t>382,151</w:t>
            </w:r>
          </w:p>
        </w:tc>
        <w:tc>
          <w:tcPr>
            <w:tcW w:w="1050" w:type="dxa"/>
            <w:tcBorders>
              <w:bottom w:val="single" w:sz="4" w:space="0" w:color="auto"/>
              <w:right w:val="single" w:sz="4" w:space="0" w:color="auto"/>
            </w:tcBorders>
            <w:shd w:val="clear" w:color="auto" w:fill="auto"/>
          </w:tcPr>
          <w:p w:rsidR="00617CB0" w:rsidRPr="00022D33" w:rsidRDefault="00617CB0" w:rsidP="000D7011">
            <w:pPr>
              <w:pStyle w:val="Tabletext"/>
              <w:jc w:val="right"/>
            </w:pPr>
            <w:r w:rsidRPr="00022D33">
              <w:t>382,151</w:t>
            </w:r>
          </w:p>
        </w:tc>
        <w:tc>
          <w:tcPr>
            <w:tcW w:w="1034" w:type="dxa"/>
            <w:tcBorders>
              <w:left w:val="single" w:sz="4" w:space="0" w:color="auto"/>
              <w:bottom w:val="single" w:sz="4" w:space="0" w:color="auto"/>
            </w:tcBorders>
            <w:shd w:val="clear" w:color="auto" w:fill="auto"/>
          </w:tcPr>
          <w:p w:rsidR="00617CB0" w:rsidRPr="00022D33" w:rsidRDefault="00617CB0" w:rsidP="000D7011">
            <w:pPr>
              <w:pStyle w:val="Tabletext"/>
              <w:jc w:val="right"/>
            </w:pPr>
            <w:r w:rsidRPr="00022D33">
              <w:t>-</w:t>
            </w:r>
          </w:p>
        </w:tc>
        <w:tc>
          <w:tcPr>
            <w:tcW w:w="988" w:type="dxa"/>
            <w:tcBorders>
              <w:bottom w:val="single" w:sz="4" w:space="0" w:color="auto"/>
            </w:tcBorders>
            <w:shd w:val="clear" w:color="auto" w:fill="auto"/>
          </w:tcPr>
          <w:p w:rsidR="00617CB0" w:rsidRPr="00022D33" w:rsidRDefault="00617CB0" w:rsidP="000D7011">
            <w:pPr>
              <w:pStyle w:val="Tabletext"/>
              <w:jc w:val="right"/>
            </w:pPr>
            <w:r w:rsidRPr="00022D33">
              <w:t>-</w:t>
            </w:r>
          </w:p>
        </w:tc>
        <w:tc>
          <w:tcPr>
            <w:tcW w:w="988" w:type="dxa"/>
            <w:tcBorders>
              <w:bottom w:val="single" w:sz="4" w:space="0" w:color="auto"/>
            </w:tcBorders>
            <w:shd w:val="clear" w:color="auto" w:fill="auto"/>
          </w:tcPr>
          <w:p w:rsidR="00617CB0" w:rsidRPr="00022D33" w:rsidRDefault="00617CB0" w:rsidP="000D7011">
            <w:pPr>
              <w:pStyle w:val="Tabletext"/>
              <w:jc w:val="right"/>
            </w:pPr>
            <w:r w:rsidRPr="00022D33">
              <w:t>-</w:t>
            </w:r>
          </w:p>
        </w:tc>
        <w:tc>
          <w:tcPr>
            <w:tcW w:w="899" w:type="dxa"/>
            <w:tcBorders>
              <w:bottom w:val="single" w:sz="4" w:space="0" w:color="auto"/>
            </w:tcBorders>
            <w:shd w:val="clear" w:color="auto" w:fill="auto"/>
          </w:tcPr>
          <w:p w:rsidR="00617CB0" w:rsidRPr="00022D33" w:rsidRDefault="00617CB0" w:rsidP="000D7011">
            <w:pPr>
              <w:pStyle w:val="Tabletext"/>
              <w:jc w:val="right"/>
            </w:pPr>
            <w:r w:rsidRPr="00022D33">
              <w:t>-</w:t>
            </w:r>
          </w:p>
        </w:tc>
        <w:tc>
          <w:tcPr>
            <w:tcW w:w="899" w:type="dxa"/>
            <w:tcBorders>
              <w:bottom w:val="single" w:sz="4" w:space="0" w:color="auto"/>
              <w:right w:val="single" w:sz="4" w:space="0" w:color="auto"/>
            </w:tcBorders>
            <w:shd w:val="clear" w:color="auto" w:fill="auto"/>
          </w:tcPr>
          <w:p w:rsidR="00617CB0" w:rsidRPr="00022D33" w:rsidRDefault="00617CB0" w:rsidP="000D7011">
            <w:pPr>
              <w:pStyle w:val="Tabletext"/>
              <w:jc w:val="right"/>
            </w:pPr>
            <w:r w:rsidRPr="00022D33">
              <w:t>-</w:t>
            </w:r>
          </w:p>
        </w:tc>
        <w:tc>
          <w:tcPr>
            <w:tcW w:w="1050" w:type="dxa"/>
            <w:tcBorders>
              <w:left w:val="single" w:sz="4" w:space="0" w:color="auto"/>
              <w:bottom w:val="single" w:sz="4" w:space="0" w:color="auto"/>
            </w:tcBorders>
            <w:shd w:val="clear" w:color="auto" w:fill="auto"/>
          </w:tcPr>
          <w:p w:rsidR="00617CB0" w:rsidRPr="00022D33" w:rsidRDefault="00617CB0" w:rsidP="000D7011">
            <w:pPr>
              <w:pStyle w:val="Tabletext"/>
              <w:jc w:val="right"/>
            </w:pPr>
            <w:r w:rsidRPr="00022D33">
              <w:t>-</w:t>
            </w:r>
          </w:p>
        </w:tc>
      </w:tr>
      <w:tr w:rsidR="00617CB0" w:rsidRPr="00022D33" w:rsidTr="000D7011">
        <w:tc>
          <w:tcPr>
            <w:tcW w:w="1767" w:type="dxa"/>
            <w:shd w:val="clear" w:color="auto" w:fill="auto"/>
          </w:tcPr>
          <w:p w:rsidR="00617CB0" w:rsidRPr="00022D33" w:rsidRDefault="00617CB0" w:rsidP="000D7011">
            <w:pPr>
              <w:pStyle w:val="Tabletext"/>
            </w:pPr>
          </w:p>
        </w:tc>
        <w:tc>
          <w:tcPr>
            <w:tcW w:w="1039"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762,08</w:t>
            </w:r>
            <w:r>
              <w:t>8</w:t>
            </w:r>
          </w:p>
        </w:tc>
        <w:tc>
          <w:tcPr>
            <w:tcW w:w="1050" w:type="dxa"/>
            <w:tcBorders>
              <w:top w:val="single" w:sz="4" w:space="0" w:color="auto"/>
              <w:bottom w:val="double" w:sz="4" w:space="0" w:color="auto"/>
              <w:right w:val="single" w:sz="4" w:space="0" w:color="auto"/>
            </w:tcBorders>
            <w:shd w:val="clear" w:color="auto" w:fill="auto"/>
          </w:tcPr>
          <w:p w:rsidR="00617CB0" w:rsidRPr="00022D33" w:rsidRDefault="00617CB0" w:rsidP="000D7011">
            <w:pPr>
              <w:pStyle w:val="Tableboldedtext"/>
              <w:jc w:val="right"/>
            </w:pPr>
            <w:r w:rsidRPr="00022D33">
              <w:t>734,905</w:t>
            </w:r>
          </w:p>
        </w:tc>
        <w:tc>
          <w:tcPr>
            <w:tcW w:w="1034" w:type="dxa"/>
            <w:tcBorders>
              <w:top w:val="single" w:sz="4" w:space="0" w:color="auto"/>
              <w:left w:val="single" w:sz="4" w:space="0" w:color="auto"/>
              <w:bottom w:val="double" w:sz="4" w:space="0" w:color="auto"/>
            </w:tcBorders>
            <w:shd w:val="clear" w:color="auto" w:fill="auto"/>
          </w:tcPr>
          <w:p w:rsidR="00617CB0" w:rsidRPr="00022D33" w:rsidRDefault="00617CB0" w:rsidP="000D7011">
            <w:pPr>
              <w:pStyle w:val="Tableboldedtext"/>
              <w:jc w:val="right"/>
            </w:pPr>
            <w:r w:rsidRPr="00022D33">
              <w:t>17,772</w:t>
            </w:r>
          </w:p>
        </w:tc>
        <w:tc>
          <w:tcPr>
            <w:tcW w:w="988"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6,087</w:t>
            </w:r>
          </w:p>
        </w:tc>
        <w:tc>
          <w:tcPr>
            <w:tcW w:w="988"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2,480</w:t>
            </w:r>
          </w:p>
        </w:tc>
        <w:tc>
          <w:tcPr>
            <w:tcW w:w="899"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839</w:t>
            </w:r>
          </w:p>
        </w:tc>
        <w:tc>
          <w:tcPr>
            <w:tcW w:w="899" w:type="dxa"/>
            <w:tcBorders>
              <w:top w:val="single" w:sz="4" w:space="0" w:color="auto"/>
              <w:bottom w:val="double" w:sz="4" w:space="0" w:color="auto"/>
              <w:right w:val="single" w:sz="4" w:space="0" w:color="auto"/>
            </w:tcBorders>
            <w:shd w:val="clear" w:color="auto" w:fill="auto"/>
          </w:tcPr>
          <w:p w:rsidR="00617CB0" w:rsidRPr="00022D33" w:rsidRDefault="00617CB0" w:rsidP="000D7011">
            <w:pPr>
              <w:pStyle w:val="Tableboldedtext"/>
              <w:jc w:val="right"/>
            </w:pPr>
            <w:r w:rsidRPr="00022D33">
              <w:t>4</w:t>
            </w:r>
          </w:p>
        </w:tc>
        <w:tc>
          <w:tcPr>
            <w:tcW w:w="1050" w:type="dxa"/>
            <w:tcBorders>
              <w:top w:val="single" w:sz="4" w:space="0" w:color="auto"/>
              <w:left w:val="single" w:sz="4" w:space="0" w:color="auto"/>
              <w:bottom w:val="double" w:sz="4" w:space="0" w:color="auto"/>
            </w:tcBorders>
            <w:shd w:val="clear" w:color="auto" w:fill="auto"/>
          </w:tcPr>
          <w:p w:rsidR="00617CB0" w:rsidRPr="00022D33" w:rsidRDefault="00617CB0" w:rsidP="000D7011">
            <w:pPr>
              <w:pStyle w:val="Tableboldedtext"/>
              <w:jc w:val="right"/>
            </w:pPr>
            <w:r w:rsidRPr="00022D33">
              <w:t>-</w:t>
            </w:r>
          </w:p>
        </w:tc>
      </w:tr>
    </w:tbl>
    <w:p w:rsidR="00617CB0" w:rsidRPr="00022D33" w:rsidRDefault="00617CB0" w:rsidP="00617CB0">
      <w:pPr>
        <w:pStyle w:val="BodyText"/>
        <w:numPr>
          <w:ilvl w:val="0"/>
          <w:numId w:val="17"/>
        </w:numPr>
        <w:rPr>
          <w:sz w:val="20"/>
          <w:szCs w:val="20"/>
        </w:rPr>
      </w:pPr>
      <w:r w:rsidRPr="00022D33">
        <w:rPr>
          <w:sz w:val="20"/>
          <w:szCs w:val="20"/>
        </w:rPr>
        <w:t>The amount of receivables excludes the GST recoverable from the ATO (statutory receivable).</w:t>
      </w:r>
    </w:p>
    <w:p w:rsidR="00617CB0" w:rsidRPr="00022D33" w:rsidRDefault="00617CB0" w:rsidP="00617CB0">
      <w:pPr>
        <w:pStyle w:val="Heading5"/>
        <w:rPr>
          <w:b w:val="0"/>
          <w:i/>
        </w:rPr>
      </w:pPr>
      <w:r w:rsidRPr="00022D33">
        <w:rPr>
          <w:b w:val="0"/>
          <w:i/>
        </w:rPr>
        <w:t>Liquidity risk and interest rate exposure</w:t>
      </w:r>
    </w:p>
    <w:p w:rsidR="00E263DC" w:rsidRDefault="00617CB0" w:rsidP="00617CB0">
      <w:pPr>
        <w:pStyle w:val="BodyText"/>
        <w:spacing w:after="141"/>
      </w:pPr>
      <w:r w:rsidRPr="00022D33">
        <w:t>The following table details the Department’s interest rate exposure and the contractual maturity analysis of financial assets and financial liabilities. The maturity analysis section includes interest and principal cash flows. The interest rate exposure section analyses only the</w:t>
      </w:r>
      <w:r w:rsidR="00E263DC">
        <w:t xml:space="preserve"> carrying amounts of each item.</w:t>
      </w:r>
    </w:p>
    <w:p w:rsidR="00E263DC" w:rsidRDefault="00E263DC">
      <w:pPr>
        <w:spacing w:after="0" w:line="240" w:lineRule="auto"/>
        <w:rPr>
          <w:rFonts w:ascii="Arial" w:eastAsia="Times New Roman" w:hAnsi="Arial" w:cs="Arial"/>
          <w:sz w:val="24"/>
          <w:szCs w:val="24"/>
          <w:lang w:eastAsia="en-AU"/>
        </w:rPr>
      </w:pPr>
      <w:r>
        <w:br w:type="page"/>
      </w:r>
    </w:p>
    <w:p w:rsidR="00617CB0" w:rsidRPr="00E263DC" w:rsidRDefault="00617CB0" w:rsidP="00617CB0">
      <w:pPr>
        <w:pStyle w:val="BodyText"/>
        <w:spacing w:after="141"/>
      </w:pPr>
    </w:p>
    <w:p w:rsidR="00617CB0" w:rsidRDefault="00617CB0" w:rsidP="00617CB0">
      <w:pPr>
        <w:pStyle w:val="BodyText"/>
        <w:spacing w:after="141"/>
        <w:rPr>
          <w:rFonts w:ascii="HelveticaNeueLT-Medium" w:hAnsi="HelveticaNeueLT-Medium" w:cs="HelveticaNeueLT-Medium"/>
          <w:b/>
        </w:rPr>
      </w:pPr>
      <w:r w:rsidRPr="00022D33">
        <w:rPr>
          <w:rFonts w:ascii="HelveticaNeueLT-Medium" w:hAnsi="HelveticaNeueLT-Medium" w:cs="HelveticaNeueLT-Medium"/>
          <w:b/>
        </w:rPr>
        <w:t>Interest rate exposure and maturity analysis of financial assets and financials liabilities</w:t>
      </w:r>
    </w:p>
    <w:p w:rsidR="00617CB0" w:rsidRPr="003B7588" w:rsidRDefault="00617CB0" w:rsidP="00617CB0">
      <w:pPr>
        <w:pStyle w:val="BodyText"/>
        <w:spacing w:after="141"/>
        <w:rPr>
          <w:b/>
        </w:rPr>
      </w:pPr>
      <w:r w:rsidRPr="003B7588">
        <w:rPr>
          <w:b/>
        </w:rPr>
        <w:fldChar w:fldCharType="begin"/>
      </w:r>
      <w:r w:rsidRPr="003B7588">
        <w:rPr>
          <w:b/>
        </w:rPr>
        <w:instrText xml:space="preserve"> SEQ Table \* ARABIC </w:instrText>
      </w:r>
      <w:r w:rsidRPr="003B7588">
        <w:rPr>
          <w:b/>
        </w:rPr>
        <w:fldChar w:fldCharType="separate"/>
      </w:r>
      <w:r w:rsidR="00D8778B" w:rsidRPr="003B7588">
        <w:rPr>
          <w:b/>
          <w:noProof/>
        </w:rPr>
        <w:t>58</w:t>
      </w:r>
      <w:r w:rsidRPr="003B7588">
        <w:rPr>
          <w:b/>
        </w:rPr>
        <w:fldChar w:fldCharType="end"/>
      </w:r>
      <w:r w:rsidRPr="003B7588">
        <w:rPr>
          <w:b/>
        </w:rPr>
        <w:t xml:space="preserve"> Liquidity and risk and interest rate exposure</w:t>
      </w:r>
    </w:p>
    <w:tbl>
      <w:tblPr>
        <w:tblW w:w="11818" w:type="dxa"/>
        <w:tblInd w:w="-1362" w:type="dxa"/>
        <w:tblLook w:val="04A0" w:firstRow="1" w:lastRow="0" w:firstColumn="1" w:lastColumn="0" w:noHBand="0" w:noVBand="1"/>
      </w:tblPr>
      <w:tblGrid>
        <w:gridCol w:w="1243"/>
        <w:gridCol w:w="1008"/>
        <w:gridCol w:w="1039"/>
        <w:gridCol w:w="939"/>
        <w:gridCol w:w="995"/>
        <w:gridCol w:w="939"/>
        <w:gridCol w:w="1005"/>
        <w:gridCol w:w="939"/>
        <w:gridCol w:w="939"/>
        <w:gridCol w:w="939"/>
        <w:gridCol w:w="894"/>
        <w:gridCol w:w="939"/>
      </w:tblGrid>
      <w:tr w:rsidR="00617CB0" w:rsidRPr="00022D33" w:rsidTr="000D7011">
        <w:tc>
          <w:tcPr>
            <w:tcW w:w="1187" w:type="dxa"/>
            <w:shd w:val="clear" w:color="auto" w:fill="auto"/>
            <w:tcMar>
              <w:left w:w="0" w:type="dxa"/>
            </w:tcMar>
          </w:tcPr>
          <w:p w:rsidR="00617CB0" w:rsidRPr="00022D33" w:rsidRDefault="00617CB0" w:rsidP="000D7011">
            <w:pPr>
              <w:pStyle w:val="BodyText"/>
            </w:pPr>
          </w:p>
        </w:tc>
        <w:tc>
          <w:tcPr>
            <w:tcW w:w="1008" w:type="dxa"/>
            <w:shd w:val="clear" w:color="auto" w:fill="auto"/>
            <w:tcMar>
              <w:left w:w="0" w:type="dxa"/>
            </w:tcMar>
          </w:tcPr>
          <w:p w:rsidR="00617CB0" w:rsidRPr="00022D33" w:rsidRDefault="00617CB0" w:rsidP="000D7011">
            <w:pPr>
              <w:pStyle w:val="Tableboldedtext"/>
              <w:jc w:val="right"/>
            </w:pPr>
          </w:p>
        </w:tc>
        <w:tc>
          <w:tcPr>
            <w:tcW w:w="3912" w:type="dxa"/>
            <w:gridSpan w:val="4"/>
            <w:tcBorders>
              <w:bottom w:val="dashSmallGap" w:sz="4" w:space="0" w:color="auto"/>
              <w:right w:val="single" w:sz="4" w:space="0" w:color="auto"/>
            </w:tcBorders>
            <w:shd w:val="clear" w:color="auto" w:fill="auto"/>
          </w:tcPr>
          <w:p w:rsidR="00617CB0" w:rsidRPr="00022D33" w:rsidRDefault="00617CB0" w:rsidP="000D7011">
            <w:pPr>
              <w:pStyle w:val="Tableboldedtext"/>
              <w:jc w:val="center"/>
            </w:pPr>
            <w:r w:rsidRPr="00022D33">
              <w:t>Interest rate exposure</w:t>
            </w:r>
          </w:p>
        </w:tc>
        <w:tc>
          <w:tcPr>
            <w:tcW w:w="1005" w:type="dxa"/>
            <w:tcBorders>
              <w:left w:val="single" w:sz="4" w:space="0" w:color="auto"/>
              <w:right w:val="single" w:sz="4" w:space="0" w:color="auto"/>
            </w:tcBorders>
            <w:shd w:val="clear" w:color="auto" w:fill="auto"/>
          </w:tcPr>
          <w:p w:rsidR="00617CB0" w:rsidRPr="00022D33" w:rsidRDefault="00617CB0" w:rsidP="000D7011">
            <w:pPr>
              <w:pStyle w:val="Tableboldedtext"/>
              <w:jc w:val="right"/>
            </w:pPr>
          </w:p>
        </w:tc>
        <w:tc>
          <w:tcPr>
            <w:tcW w:w="4706" w:type="dxa"/>
            <w:gridSpan w:val="5"/>
            <w:tcBorders>
              <w:left w:val="single" w:sz="4" w:space="0" w:color="auto"/>
              <w:bottom w:val="dashSmallGap" w:sz="4" w:space="0" w:color="auto"/>
            </w:tcBorders>
            <w:shd w:val="clear" w:color="auto" w:fill="auto"/>
          </w:tcPr>
          <w:p w:rsidR="00617CB0" w:rsidRPr="00022D33" w:rsidRDefault="00617CB0" w:rsidP="000D7011">
            <w:pPr>
              <w:pStyle w:val="Tableboldedtext"/>
              <w:jc w:val="center"/>
            </w:pPr>
            <w:r w:rsidRPr="00022D33">
              <w:t>Maturity dates</w:t>
            </w:r>
          </w:p>
        </w:tc>
      </w:tr>
      <w:tr w:rsidR="00617CB0" w:rsidRPr="00022D33" w:rsidTr="000D7011">
        <w:tc>
          <w:tcPr>
            <w:tcW w:w="1187" w:type="dxa"/>
            <w:shd w:val="clear" w:color="auto" w:fill="auto"/>
            <w:tcMar>
              <w:left w:w="0" w:type="dxa"/>
            </w:tcMar>
          </w:tcPr>
          <w:p w:rsidR="00617CB0" w:rsidRPr="00022D33" w:rsidRDefault="00617CB0" w:rsidP="000D7011">
            <w:pPr>
              <w:pStyle w:val="BodyText"/>
            </w:pPr>
          </w:p>
        </w:tc>
        <w:tc>
          <w:tcPr>
            <w:tcW w:w="1008" w:type="dxa"/>
            <w:shd w:val="clear" w:color="auto" w:fill="auto"/>
            <w:tcMar>
              <w:left w:w="0" w:type="dxa"/>
            </w:tcMar>
          </w:tcPr>
          <w:p w:rsidR="00617CB0" w:rsidRPr="00022D33" w:rsidRDefault="00617CB0" w:rsidP="000D7011">
            <w:pPr>
              <w:pStyle w:val="Tableboldedtext"/>
              <w:jc w:val="right"/>
            </w:pPr>
            <w:r w:rsidRPr="00022D33">
              <w:t>Weighted average effective interest rate %</w:t>
            </w:r>
          </w:p>
        </w:tc>
        <w:tc>
          <w:tcPr>
            <w:tcW w:w="1039" w:type="dxa"/>
            <w:tcBorders>
              <w:top w:val="dashSmallGap" w:sz="4" w:space="0" w:color="auto"/>
            </w:tcBorders>
            <w:shd w:val="clear" w:color="auto" w:fill="auto"/>
          </w:tcPr>
          <w:p w:rsidR="00617CB0" w:rsidRPr="00022D33" w:rsidRDefault="00617CB0" w:rsidP="000D7011">
            <w:pPr>
              <w:pStyle w:val="Tableboldedtext"/>
              <w:jc w:val="right"/>
            </w:pPr>
            <w:r w:rsidRPr="00022D33">
              <w:t>Carrying amount $000</w:t>
            </w:r>
          </w:p>
        </w:tc>
        <w:tc>
          <w:tcPr>
            <w:tcW w:w="939" w:type="dxa"/>
            <w:tcBorders>
              <w:top w:val="dashSmallGap" w:sz="4" w:space="0" w:color="auto"/>
            </w:tcBorders>
            <w:shd w:val="clear" w:color="auto" w:fill="auto"/>
          </w:tcPr>
          <w:p w:rsidR="00617CB0" w:rsidRPr="00022D33" w:rsidRDefault="00617CB0" w:rsidP="000D7011">
            <w:pPr>
              <w:pStyle w:val="Tableboldedtext"/>
              <w:jc w:val="right"/>
            </w:pPr>
            <w:r w:rsidRPr="00022D33">
              <w:t>Fixed interest rate $000</w:t>
            </w:r>
          </w:p>
        </w:tc>
        <w:tc>
          <w:tcPr>
            <w:tcW w:w="995" w:type="dxa"/>
            <w:tcBorders>
              <w:top w:val="dashSmallGap" w:sz="4" w:space="0" w:color="auto"/>
            </w:tcBorders>
            <w:shd w:val="clear" w:color="auto" w:fill="auto"/>
          </w:tcPr>
          <w:p w:rsidR="00617CB0" w:rsidRPr="00022D33" w:rsidRDefault="00617CB0" w:rsidP="000D7011">
            <w:pPr>
              <w:pStyle w:val="Tableboldedtext"/>
              <w:jc w:val="right"/>
            </w:pPr>
            <w:r w:rsidRPr="00022D33">
              <w:t>Variable interest rate $000</w:t>
            </w:r>
          </w:p>
        </w:tc>
        <w:tc>
          <w:tcPr>
            <w:tcW w:w="939" w:type="dxa"/>
            <w:tcBorders>
              <w:top w:val="dashSmallGap" w:sz="4" w:space="0" w:color="auto"/>
              <w:right w:val="single" w:sz="4" w:space="0" w:color="auto"/>
            </w:tcBorders>
            <w:shd w:val="clear" w:color="auto" w:fill="auto"/>
          </w:tcPr>
          <w:p w:rsidR="00617CB0" w:rsidRPr="00022D33" w:rsidRDefault="00617CB0" w:rsidP="000D7011">
            <w:pPr>
              <w:pStyle w:val="Tableboldedtext"/>
              <w:jc w:val="right"/>
            </w:pPr>
            <w:r w:rsidRPr="00022D33">
              <w:t>Non-interest bearing $000</w:t>
            </w:r>
          </w:p>
        </w:tc>
        <w:tc>
          <w:tcPr>
            <w:tcW w:w="1005" w:type="dxa"/>
            <w:tcBorders>
              <w:left w:val="single" w:sz="4" w:space="0" w:color="auto"/>
              <w:right w:val="single" w:sz="4" w:space="0" w:color="auto"/>
            </w:tcBorders>
            <w:shd w:val="clear" w:color="auto" w:fill="auto"/>
          </w:tcPr>
          <w:p w:rsidR="00617CB0" w:rsidRPr="00022D33" w:rsidRDefault="00617CB0" w:rsidP="000D7011">
            <w:pPr>
              <w:pStyle w:val="Tableboldedtext"/>
              <w:jc w:val="right"/>
            </w:pPr>
            <w:r w:rsidRPr="00022D33">
              <w:t>Nominal amount $000</w:t>
            </w:r>
          </w:p>
        </w:tc>
        <w:tc>
          <w:tcPr>
            <w:tcW w:w="939" w:type="dxa"/>
            <w:tcBorders>
              <w:top w:val="dashSmallGap" w:sz="4" w:space="0" w:color="auto"/>
              <w:left w:val="single" w:sz="4" w:space="0" w:color="auto"/>
            </w:tcBorders>
            <w:shd w:val="clear" w:color="auto" w:fill="auto"/>
          </w:tcPr>
          <w:p w:rsidR="00617CB0" w:rsidRPr="00022D33" w:rsidRDefault="00617CB0" w:rsidP="000D7011">
            <w:pPr>
              <w:pStyle w:val="Tableboldedtext"/>
              <w:jc w:val="right"/>
            </w:pPr>
            <w:r w:rsidRPr="00022D33">
              <w:rPr>
                <w:bCs/>
              </w:rPr>
              <w:t>Up</w:t>
            </w:r>
            <w:r w:rsidRPr="00022D33">
              <w:rPr>
                <w:bCs/>
                <w:spacing w:val="-15"/>
              </w:rPr>
              <w:t xml:space="preserve"> </w:t>
            </w:r>
            <w:r w:rsidRPr="00022D33">
              <w:rPr>
                <w:bCs/>
                <w:spacing w:val="-2"/>
              </w:rPr>
              <w:t>to</w:t>
            </w:r>
            <w:r w:rsidRPr="00022D33">
              <w:rPr>
                <w:bCs/>
                <w:spacing w:val="-15"/>
              </w:rPr>
              <w:t xml:space="preserve"> </w:t>
            </w:r>
            <w:r w:rsidRPr="00022D33">
              <w:rPr>
                <w:bCs/>
              </w:rPr>
              <w:t>1</w:t>
            </w:r>
            <w:r w:rsidRPr="00022D33">
              <w:rPr>
                <w:bCs/>
                <w:spacing w:val="21"/>
                <w:w w:val="95"/>
              </w:rPr>
              <w:t xml:space="preserve"> </w:t>
            </w:r>
            <w:r w:rsidRPr="00022D33">
              <w:rPr>
                <w:bCs/>
                <w:spacing w:val="-1"/>
                <w:w w:val="95"/>
              </w:rPr>
              <w:t xml:space="preserve">month </w:t>
            </w:r>
            <w:r w:rsidRPr="00022D33">
              <w:rPr>
                <w:bCs/>
              </w:rPr>
              <w:t>$000</w:t>
            </w:r>
          </w:p>
        </w:tc>
        <w:tc>
          <w:tcPr>
            <w:tcW w:w="939" w:type="dxa"/>
            <w:tcBorders>
              <w:top w:val="dashSmallGap" w:sz="4" w:space="0" w:color="auto"/>
            </w:tcBorders>
            <w:shd w:val="clear" w:color="auto" w:fill="auto"/>
          </w:tcPr>
          <w:p w:rsidR="00617CB0" w:rsidRPr="00022D33" w:rsidRDefault="00617CB0" w:rsidP="000D7011">
            <w:pPr>
              <w:pStyle w:val="Tableboldedtext"/>
              <w:jc w:val="right"/>
            </w:pPr>
            <w:r w:rsidRPr="00022D33">
              <w:t>1-3 months $000</w:t>
            </w:r>
          </w:p>
        </w:tc>
        <w:tc>
          <w:tcPr>
            <w:tcW w:w="939" w:type="dxa"/>
            <w:tcBorders>
              <w:top w:val="dashSmallGap" w:sz="4" w:space="0" w:color="auto"/>
            </w:tcBorders>
            <w:shd w:val="clear" w:color="auto" w:fill="auto"/>
          </w:tcPr>
          <w:p w:rsidR="00617CB0" w:rsidRPr="00022D33" w:rsidRDefault="00617CB0" w:rsidP="000D7011">
            <w:pPr>
              <w:pStyle w:val="Tableboldedtext"/>
              <w:jc w:val="right"/>
            </w:pPr>
            <w:r w:rsidRPr="00022D33">
              <w:t>3 months to 1 year $000</w:t>
            </w:r>
          </w:p>
        </w:tc>
        <w:tc>
          <w:tcPr>
            <w:tcW w:w="950" w:type="dxa"/>
            <w:tcBorders>
              <w:top w:val="dashSmallGap" w:sz="4" w:space="0" w:color="auto"/>
            </w:tcBorders>
            <w:shd w:val="clear" w:color="auto" w:fill="auto"/>
          </w:tcPr>
          <w:p w:rsidR="00617CB0" w:rsidRPr="00022D33" w:rsidRDefault="00617CB0" w:rsidP="000D7011">
            <w:pPr>
              <w:pStyle w:val="Tableboldedtext"/>
              <w:jc w:val="right"/>
            </w:pPr>
            <w:r w:rsidRPr="00022D33">
              <w:t>1-5 years $000</w:t>
            </w:r>
          </w:p>
        </w:tc>
        <w:tc>
          <w:tcPr>
            <w:tcW w:w="939" w:type="dxa"/>
            <w:tcBorders>
              <w:top w:val="dashSmallGap" w:sz="4" w:space="0" w:color="auto"/>
            </w:tcBorders>
            <w:shd w:val="clear" w:color="auto" w:fill="auto"/>
          </w:tcPr>
          <w:p w:rsidR="00617CB0" w:rsidRPr="00022D33" w:rsidRDefault="00617CB0" w:rsidP="000D7011">
            <w:pPr>
              <w:pStyle w:val="Tableboldedtext"/>
              <w:jc w:val="right"/>
            </w:pPr>
            <w:r w:rsidRPr="00022D33">
              <w:t>More than 5 years $000</w:t>
            </w:r>
          </w:p>
        </w:tc>
      </w:tr>
      <w:tr w:rsidR="00617CB0" w:rsidRPr="00022D33" w:rsidTr="000D7011">
        <w:tc>
          <w:tcPr>
            <w:tcW w:w="11818" w:type="dxa"/>
            <w:gridSpan w:val="12"/>
            <w:shd w:val="clear" w:color="auto" w:fill="auto"/>
            <w:tcMar>
              <w:left w:w="0" w:type="dxa"/>
            </w:tcMar>
          </w:tcPr>
          <w:p w:rsidR="00617CB0" w:rsidRPr="00022D33" w:rsidRDefault="00617CB0" w:rsidP="000D7011">
            <w:pPr>
              <w:pStyle w:val="Tabletext"/>
              <w:rPr>
                <w:b/>
              </w:rPr>
            </w:pPr>
            <w:r w:rsidRPr="00022D33">
              <w:rPr>
                <w:b/>
              </w:rPr>
              <w:t>2016</w:t>
            </w:r>
          </w:p>
        </w:tc>
      </w:tr>
      <w:tr w:rsidR="00617CB0" w:rsidRPr="00022D33" w:rsidTr="000D7011">
        <w:tc>
          <w:tcPr>
            <w:tcW w:w="11818" w:type="dxa"/>
            <w:gridSpan w:val="12"/>
            <w:shd w:val="clear" w:color="auto" w:fill="auto"/>
            <w:tcMar>
              <w:left w:w="0" w:type="dxa"/>
            </w:tcMar>
          </w:tcPr>
          <w:p w:rsidR="00617CB0" w:rsidRPr="00022D33" w:rsidRDefault="00617CB0" w:rsidP="000D7011">
            <w:pPr>
              <w:pStyle w:val="Tabletext"/>
              <w:rPr>
                <w:u w:val="single"/>
              </w:rPr>
            </w:pPr>
            <w:r w:rsidRPr="00022D33">
              <w:rPr>
                <w:u w:val="single"/>
              </w:rPr>
              <w:t>Financial assets</w:t>
            </w:r>
          </w:p>
        </w:tc>
      </w:tr>
      <w:tr w:rsidR="00617CB0" w:rsidRPr="00022D33" w:rsidTr="000D7011">
        <w:tc>
          <w:tcPr>
            <w:tcW w:w="1187" w:type="dxa"/>
            <w:shd w:val="clear" w:color="auto" w:fill="auto"/>
            <w:tcMar>
              <w:left w:w="0" w:type="dxa"/>
            </w:tcMar>
          </w:tcPr>
          <w:p w:rsidR="00617CB0" w:rsidRPr="00022D33" w:rsidRDefault="00617CB0" w:rsidP="000D7011">
            <w:pPr>
              <w:pStyle w:val="Tabletext"/>
            </w:pPr>
            <w:r w:rsidRPr="00022D33">
              <w:t>Cash and cash equivalents</w:t>
            </w:r>
          </w:p>
        </w:tc>
        <w:tc>
          <w:tcPr>
            <w:tcW w:w="1008" w:type="dxa"/>
            <w:shd w:val="clear" w:color="auto" w:fill="auto"/>
          </w:tcPr>
          <w:p w:rsidR="00617CB0" w:rsidRPr="00022D33" w:rsidRDefault="00617CB0" w:rsidP="000D7011">
            <w:pPr>
              <w:pStyle w:val="Tabletext"/>
              <w:jc w:val="right"/>
            </w:pPr>
            <w:r w:rsidRPr="00022D33">
              <w:t>2.26</w:t>
            </w:r>
          </w:p>
        </w:tc>
        <w:tc>
          <w:tcPr>
            <w:tcW w:w="1039" w:type="dxa"/>
            <w:shd w:val="clear" w:color="auto" w:fill="auto"/>
          </w:tcPr>
          <w:p w:rsidR="00617CB0" w:rsidRPr="00022D33" w:rsidRDefault="00617CB0" w:rsidP="000D7011">
            <w:pPr>
              <w:pStyle w:val="Tabletext"/>
              <w:jc w:val="right"/>
            </w:pPr>
            <w:r w:rsidRPr="00022D33">
              <w:t>85,247</w:t>
            </w:r>
          </w:p>
        </w:tc>
        <w:tc>
          <w:tcPr>
            <w:tcW w:w="939" w:type="dxa"/>
            <w:shd w:val="clear" w:color="auto" w:fill="auto"/>
          </w:tcPr>
          <w:p w:rsidR="00617CB0" w:rsidRPr="00022D33" w:rsidRDefault="00617CB0" w:rsidP="000D7011">
            <w:pPr>
              <w:pStyle w:val="Tabletext"/>
              <w:jc w:val="right"/>
            </w:pPr>
            <w:r w:rsidRPr="00022D33">
              <w:t>-</w:t>
            </w:r>
          </w:p>
        </w:tc>
        <w:tc>
          <w:tcPr>
            <w:tcW w:w="995" w:type="dxa"/>
            <w:shd w:val="clear" w:color="auto" w:fill="auto"/>
          </w:tcPr>
          <w:p w:rsidR="00617CB0" w:rsidRPr="00022D33" w:rsidRDefault="00617CB0" w:rsidP="000D7011">
            <w:pPr>
              <w:pStyle w:val="Tabletext"/>
              <w:jc w:val="right"/>
            </w:pPr>
            <w:r w:rsidRPr="00022D33">
              <w:t>7,393</w:t>
            </w:r>
          </w:p>
        </w:tc>
        <w:tc>
          <w:tcPr>
            <w:tcW w:w="939" w:type="dxa"/>
            <w:tcBorders>
              <w:right w:val="single" w:sz="4" w:space="0" w:color="auto"/>
            </w:tcBorders>
            <w:shd w:val="clear" w:color="auto" w:fill="auto"/>
          </w:tcPr>
          <w:p w:rsidR="00617CB0" w:rsidRPr="00022D33" w:rsidRDefault="00617CB0" w:rsidP="000D7011">
            <w:pPr>
              <w:pStyle w:val="Tabletext"/>
              <w:jc w:val="right"/>
            </w:pPr>
            <w:r w:rsidRPr="00022D33">
              <w:t>77,854</w:t>
            </w:r>
          </w:p>
        </w:tc>
        <w:tc>
          <w:tcPr>
            <w:tcW w:w="1005" w:type="dxa"/>
            <w:tcBorders>
              <w:left w:val="single" w:sz="4" w:space="0" w:color="auto"/>
              <w:right w:val="single" w:sz="4" w:space="0" w:color="auto"/>
            </w:tcBorders>
            <w:shd w:val="clear" w:color="auto" w:fill="auto"/>
          </w:tcPr>
          <w:p w:rsidR="00617CB0" w:rsidRPr="00022D33" w:rsidRDefault="00617CB0" w:rsidP="000D7011">
            <w:pPr>
              <w:pStyle w:val="Tabletext"/>
              <w:jc w:val="right"/>
            </w:pPr>
            <w:r w:rsidRPr="00022D33">
              <w:t>85,247</w:t>
            </w:r>
          </w:p>
        </w:tc>
        <w:tc>
          <w:tcPr>
            <w:tcW w:w="939" w:type="dxa"/>
            <w:tcBorders>
              <w:left w:val="single" w:sz="4" w:space="0" w:color="auto"/>
            </w:tcBorders>
            <w:shd w:val="clear" w:color="auto" w:fill="auto"/>
          </w:tcPr>
          <w:p w:rsidR="00617CB0" w:rsidRPr="00022D33" w:rsidRDefault="00617CB0" w:rsidP="000D7011">
            <w:pPr>
              <w:pStyle w:val="Tabletext"/>
              <w:jc w:val="right"/>
            </w:pPr>
            <w:r w:rsidRPr="00022D33">
              <w:t>85,247</w:t>
            </w:r>
          </w:p>
        </w:tc>
        <w:tc>
          <w:tcPr>
            <w:tcW w:w="939" w:type="dxa"/>
            <w:shd w:val="clear" w:color="auto" w:fill="auto"/>
          </w:tcPr>
          <w:p w:rsidR="00617CB0" w:rsidRPr="00022D33" w:rsidRDefault="00617CB0" w:rsidP="000D7011">
            <w:pPr>
              <w:pStyle w:val="Tabletext"/>
              <w:jc w:val="right"/>
            </w:pPr>
            <w:r w:rsidRPr="00022D33">
              <w:t>-</w:t>
            </w:r>
          </w:p>
        </w:tc>
        <w:tc>
          <w:tcPr>
            <w:tcW w:w="939" w:type="dxa"/>
            <w:shd w:val="clear" w:color="auto" w:fill="auto"/>
          </w:tcPr>
          <w:p w:rsidR="00617CB0" w:rsidRPr="00022D33" w:rsidRDefault="00617CB0" w:rsidP="000D7011">
            <w:pPr>
              <w:pStyle w:val="Tabletext"/>
              <w:jc w:val="right"/>
            </w:pPr>
            <w:r w:rsidRPr="00022D33">
              <w:t>-</w:t>
            </w:r>
          </w:p>
        </w:tc>
        <w:tc>
          <w:tcPr>
            <w:tcW w:w="950" w:type="dxa"/>
            <w:shd w:val="clear" w:color="auto" w:fill="auto"/>
          </w:tcPr>
          <w:p w:rsidR="00617CB0" w:rsidRPr="00022D33" w:rsidRDefault="00617CB0" w:rsidP="000D7011">
            <w:pPr>
              <w:pStyle w:val="Tabletext"/>
              <w:jc w:val="right"/>
            </w:pPr>
            <w:r w:rsidRPr="00022D33">
              <w:t>-</w:t>
            </w:r>
          </w:p>
        </w:tc>
        <w:tc>
          <w:tcPr>
            <w:tcW w:w="939" w:type="dxa"/>
            <w:shd w:val="clear" w:color="auto" w:fill="auto"/>
          </w:tcPr>
          <w:p w:rsidR="00617CB0" w:rsidRPr="00022D33" w:rsidRDefault="00617CB0" w:rsidP="000D7011">
            <w:pPr>
              <w:pStyle w:val="Tabletext"/>
              <w:jc w:val="right"/>
            </w:pPr>
            <w:r w:rsidRPr="00022D33">
              <w:t>-</w:t>
            </w:r>
          </w:p>
        </w:tc>
      </w:tr>
      <w:tr w:rsidR="00617CB0" w:rsidRPr="00022D33" w:rsidTr="000D7011">
        <w:tc>
          <w:tcPr>
            <w:tcW w:w="1187" w:type="dxa"/>
            <w:shd w:val="clear" w:color="auto" w:fill="auto"/>
            <w:tcMar>
              <w:left w:w="0" w:type="dxa"/>
            </w:tcMar>
          </w:tcPr>
          <w:p w:rsidR="00617CB0" w:rsidRPr="00022D33" w:rsidRDefault="00617CB0" w:rsidP="000D7011">
            <w:pPr>
              <w:pStyle w:val="Tabletext"/>
            </w:pPr>
            <w:r w:rsidRPr="00022D33">
              <w:t>Restricted cash and cash</w:t>
            </w:r>
          </w:p>
        </w:tc>
        <w:tc>
          <w:tcPr>
            <w:tcW w:w="1008" w:type="dxa"/>
            <w:shd w:val="clear" w:color="auto" w:fill="auto"/>
          </w:tcPr>
          <w:p w:rsidR="00617CB0" w:rsidRPr="00022D33" w:rsidRDefault="00617CB0" w:rsidP="000D7011">
            <w:pPr>
              <w:pStyle w:val="Tabletext"/>
              <w:jc w:val="right"/>
            </w:pPr>
            <w:r w:rsidRPr="00022D33">
              <w:t>-</w:t>
            </w:r>
          </w:p>
        </w:tc>
        <w:tc>
          <w:tcPr>
            <w:tcW w:w="1039" w:type="dxa"/>
            <w:shd w:val="clear" w:color="auto" w:fill="auto"/>
          </w:tcPr>
          <w:p w:rsidR="00617CB0" w:rsidRPr="00022D33" w:rsidRDefault="00617CB0" w:rsidP="000D7011">
            <w:pPr>
              <w:pStyle w:val="Tabletext"/>
              <w:jc w:val="right"/>
            </w:pPr>
            <w:r w:rsidRPr="00022D33">
              <w:t>12,983</w:t>
            </w:r>
          </w:p>
        </w:tc>
        <w:tc>
          <w:tcPr>
            <w:tcW w:w="939" w:type="dxa"/>
            <w:shd w:val="clear" w:color="auto" w:fill="auto"/>
          </w:tcPr>
          <w:p w:rsidR="00617CB0" w:rsidRPr="00022D33" w:rsidRDefault="00617CB0" w:rsidP="000D7011">
            <w:pPr>
              <w:pStyle w:val="Tabletext"/>
              <w:jc w:val="right"/>
            </w:pPr>
            <w:r w:rsidRPr="00022D33">
              <w:t>-</w:t>
            </w:r>
          </w:p>
        </w:tc>
        <w:tc>
          <w:tcPr>
            <w:tcW w:w="995" w:type="dxa"/>
            <w:shd w:val="clear" w:color="auto" w:fill="auto"/>
          </w:tcPr>
          <w:p w:rsidR="00617CB0" w:rsidRPr="00022D33" w:rsidRDefault="00617CB0" w:rsidP="000D7011">
            <w:pPr>
              <w:pStyle w:val="Tabletext"/>
              <w:jc w:val="right"/>
            </w:pPr>
            <w:r w:rsidRPr="00022D33">
              <w:t>-</w:t>
            </w:r>
          </w:p>
        </w:tc>
        <w:tc>
          <w:tcPr>
            <w:tcW w:w="939" w:type="dxa"/>
            <w:tcBorders>
              <w:right w:val="single" w:sz="4" w:space="0" w:color="auto"/>
            </w:tcBorders>
            <w:shd w:val="clear" w:color="auto" w:fill="auto"/>
          </w:tcPr>
          <w:p w:rsidR="00617CB0" w:rsidRPr="00022D33" w:rsidRDefault="00617CB0" w:rsidP="000D7011">
            <w:pPr>
              <w:pStyle w:val="Tabletext"/>
              <w:jc w:val="right"/>
            </w:pPr>
            <w:r w:rsidRPr="00022D33">
              <w:t>12,983</w:t>
            </w:r>
          </w:p>
        </w:tc>
        <w:tc>
          <w:tcPr>
            <w:tcW w:w="1005" w:type="dxa"/>
            <w:tcBorders>
              <w:left w:val="single" w:sz="4" w:space="0" w:color="auto"/>
              <w:right w:val="single" w:sz="4" w:space="0" w:color="auto"/>
            </w:tcBorders>
            <w:shd w:val="clear" w:color="auto" w:fill="auto"/>
          </w:tcPr>
          <w:p w:rsidR="00617CB0" w:rsidRPr="00022D33" w:rsidRDefault="00617CB0" w:rsidP="000D7011">
            <w:pPr>
              <w:pStyle w:val="Tabletext"/>
              <w:jc w:val="right"/>
            </w:pPr>
            <w:r w:rsidRPr="00022D33">
              <w:t>12,983</w:t>
            </w:r>
          </w:p>
        </w:tc>
        <w:tc>
          <w:tcPr>
            <w:tcW w:w="939" w:type="dxa"/>
            <w:tcBorders>
              <w:left w:val="single" w:sz="4" w:space="0" w:color="auto"/>
            </w:tcBorders>
            <w:shd w:val="clear" w:color="auto" w:fill="auto"/>
          </w:tcPr>
          <w:p w:rsidR="00617CB0" w:rsidRPr="00022D33" w:rsidRDefault="00617CB0" w:rsidP="000D7011">
            <w:pPr>
              <w:pStyle w:val="Tabletext"/>
              <w:jc w:val="right"/>
            </w:pPr>
            <w:r w:rsidRPr="00022D33">
              <w:t>-</w:t>
            </w:r>
          </w:p>
        </w:tc>
        <w:tc>
          <w:tcPr>
            <w:tcW w:w="939" w:type="dxa"/>
            <w:shd w:val="clear" w:color="auto" w:fill="auto"/>
          </w:tcPr>
          <w:p w:rsidR="00617CB0" w:rsidRPr="00022D33" w:rsidRDefault="00617CB0" w:rsidP="000D7011">
            <w:pPr>
              <w:pStyle w:val="Tabletext"/>
              <w:jc w:val="right"/>
            </w:pPr>
            <w:r w:rsidRPr="00022D33">
              <w:t>-</w:t>
            </w:r>
          </w:p>
        </w:tc>
        <w:tc>
          <w:tcPr>
            <w:tcW w:w="939" w:type="dxa"/>
            <w:shd w:val="clear" w:color="auto" w:fill="auto"/>
          </w:tcPr>
          <w:p w:rsidR="00617CB0" w:rsidRPr="00022D33" w:rsidRDefault="00617CB0" w:rsidP="000D7011">
            <w:pPr>
              <w:pStyle w:val="Tabletext"/>
              <w:jc w:val="right"/>
            </w:pPr>
            <w:r w:rsidRPr="00022D33">
              <w:t>-</w:t>
            </w:r>
          </w:p>
        </w:tc>
        <w:tc>
          <w:tcPr>
            <w:tcW w:w="950" w:type="dxa"/>
            <w:shd w:val="clear" w:color="auto" w:fill="auto"/>
          </w:tcPr>
          <w:p w:rsidR="00617CB0" w:rsidRPr="00022D33" w:rsidRDefault="00617CB0" w:rsidP="000D7011">
            <w:pPr>
              <w:pStyle w:val="Tabletext"/>
              <w:jc w:val="right"/>
            </w:pPr>
            <w:r w:rsidRPr="00022D33">
              <w:t>12,983</w:t>
            </w:r>
          </w:p>
        </w:tc>
        <w:tc>
          <w:tcPr>
            <w:tcW w:w="939" w:type="dxa"/>
            <w:shd w:val="clear" w:color="auto" w:fill="auto"/>
          </w:tcPr>
          <w:p w:rsidR="00617CB0" w:rsidRPr="00022D33" w:rsidRDefault="00617CB0" w:rsidP="000D7011">
            <w:pPr>
              <w:pStyle w:val="Tabletext"/>
              <w:jc w:val="right"/>
            </w:pPr>
            <w:r w:rsidRPr="00022D33">
              <w:t>-</w:t>
            </w:r>
          </w:p>
        </w:tc>
      </w:tr>
      <w:tr w:rsidR="00617CB0" w:rsidRPr="00022D33" w:rsidTr="000D7011">
        <w:tc>
          <w:tcPr>
            <w:tcW w:w="1187" w:type="dxa"/>
            <w:shd w:val="clear" w:color="auto" w:fill="auto"/>
            <w:tcMar>
              <w:left w:w="0" w:type="dxa"/>
            </w:tcMar>
          </w:tcPr>
          <w:p w:rsidR="00617CB0" w:rsidRPr="00022D33" w:rsidRDefault="00617CB0" w:rsidP="000D7011">
            <w:pPr>
              <w:pStyle w:val="Tabletext"/>
            </w:pPr>
            <w:r w:rsidRPr="00022D33">
              <w:t xml:space="preserve">Receivables </w:t>
            </w:r>
            <w:r w:rsidRPr="00022D33">
              <w:rPr>
                <w:vertAlign w:val="superscript"/>
              </w:rPr>
              <w:t>(a)</w:t>
            </w:r>
          </w:p>
        </w:tc>
        <w:tc>
          <w:tcPr>
            <w:tcW w:w="1008" w:type="dxa"/>
            <w:shd w:val="clear" w:color="auto" w:fill="auto"/>
          </w:tcPr>
          <w:p w:rsidR="00617CB0" w:rsidRPr="00022D33" w:rsidRDefault="00617CB0" w:rsidP="000D7011">
            <w:pPr>
              <w:pStyle w:val="Tabletext"/>
              <w:jc w:val="right"/>
            </w:pPr>
            <w:r w:rsidRPr="00022D33">
              <w:t>-</w:t>
            </w:r>
          </w:p>
        </w:tc>
        <w:tc>
          <w:tcPr>
            <w:tcW w:w="1039" w:type="dxa"/>
            <w:shd w:val="clear" w:color="auto" w:fill="auto"/>
          </w:tcPr>
          <w:p w:rsidR="00617CB0" w:rsidRPr="00022D33" w:rsidRDefault="00617CB0" w:rsidP="000D7011">
            <w:pPr>
              <w:pStyle w:val="Tabletext"/>
              <w:jc w:val="right"/>
            </w:pPr>
            <w:r w:rsidRPr="00022D33">
              <w:t>309,036</w:t>
            </w:r>
          </w:p>
        </w:tc>
        <w:tc>
          <w:tcPr>
            <w:tcW w:w="939" w:type="dxa"/>
            <w:shd w:val="clear" w:color="auto" w:fill="auto"/>
          </w:tcPr>
          <w:p w:rsidR="00617CB0" w:rsidRPr="00022D33" w:rsidRDefault="00617CB0" w:rsidP="000D7011">
            <w:pPr>
              <w:pStyle w:val="Tabletext"/>
              <w:jc w:val="right"/>
            </w:pPr>
            <w:r w:rsidRPr="00022D33">
              <w:t>-</w:t>
            </w:r>
          </w:p>
        </w:tc>
        <w:tc>
          <w:tcPr>
            <w:tcW w:w="995" w:type="dxa"/>
            <w:shd w:val="clear" w:color="auto" w:fill="auto"/>
          </w:tcPr>
          <w:p w:rsidR="00617CB0" w:rsidRPr="00022D33" w:rsidRDefault="00617CB0" w:rsidP="000D7011">
            <w:pPr>
              <w:pStyle w:val="Tabletext"/>
              <w:jc w:val="right"/>
            </w:pPr>
            <w:r w:rsidRPr="00022D33">
              <w:t>-</w:t>
            </w:r>
          </w:p>
        </w:tc>
        <w:tc>
          <w:tcPr>
            <w:tcW w:w="939" w:type="dxa"/>
            <w:tcBorders>
              <w:right w:val="single" w:sz="4" w:space="0" w:color="auto"/>
            </w:tcBorders>
            <w:shd w:val="clear" w:color="auto" w:fill="auto"/>
          </w:tcPr>
          <w:p w:rsidR="00617CB0" w:rsidRPr="00022D33" w:rsidRDefault="00617CB0" w:rsidP="000D7011">
            <w:pPr>
              <w:pStyle w:val="Tabletext"/>
              <w:jc w:val="right"/>
            </w:pPr>
            <w:r w:rsidRPr="00022D33">
              <w:t>309,036</w:t>
            </w:r>
          </w:p>
        </w:tc>
        <w:tc>
          <w:tcPr>
            <w:tcW w:w="1005" w:type="dxa"/>
            <w:tcBorders>
              <w:left w:val="single" w:sz="4" w:space="0" w:color="auto"/>
              <w:right w:val="single" w:sz="4" w:space="0" w:color="auto"/>
            </w:tcBorders>
            <w:shd w:val="clear" w:color="auto" w:fill="auto"/>
          </w:tcPr>
          <w:p w:rsidR="00617CB0" w:rsidRPr="00022D33" w:rsidRDefault="00617CB0" w:rsidP="000D7011">
            <w:pPr>
              <w:pStyle w:val="Tabletext"/>
              <w:jc w:val="right"/>
            </w:pPr>
            <w:r w:rsidRPr="00022D33">
              <w:t>309,036</w:t>
            </w:r>
          </w:p>
        </w:tc>
        <w:tc>
          <w:tcPr>
            <w:tcW w:w="939" w:type="dxa"/>
            <w:tcBorders>
              <w:left w:val="single" w:sz="4" w:space="0" w:color="auto"/>
            </w:tcBorders>
            <w:shd w:val="clear" w:color="auto" w:fill="auto"/>
          </w:tcPr>
          <w:p w:rsidR="00617CB0" w:rsidRPr="00022D33" w:rsidRDefault="00617CB0" w:rsidP="000D7011">
            <w:pPr>
              <w:pStyle w:val="Tabletext"/>
              <w:jc w:val="right"/>
            </w:pPr>
            <w:r w:rsidRPr="00022D33">
              <w:t>309,036</w:t>
            </w:r>
          </w:p>
        </w:tc>
        <w:tc>
          <w:tcPr>
            <w:tcW w:w="939" w:type="dxa"/>
            <w:shd w:val="clear" w:color="auto" w:fill="auto"/>
          </w:tcPr>
          <w:p w:rsidR="00617CB0" w:rsidRPr="00022D33" w:rsidRDefault="00617CB0" w:rsidP="000D7011">
            <w:pPr>
              <w:pStyle w:val="Tabletext"/>
              <w:jc w:val="right"/>
            </w:pPr>
            <w:r w:rsidRPr="00022D33">
              <w:t>-</w:t>
            </w:r>
          </w:p>
        </w:tc>
        <w:tc>
          <w:tcPr>
            <w:tcW w:w="939" w:type="dxa"/>
            <w:shd w:val="clear" w:color="auto" w:fill="auto"/>
          </w:tcPr>
          <w:p w:rsidR="00617CB0" w:rsidRPr="00022D33" w:rsidRDefault="00617CB0" w:rsidP="000D7011">
            <w:pPr>
              <w:pStyle w:val="Tabletext"/>
              <w:jc w:val="right"/>
            </w:pPr>
            <w:r w:rsidRPr="00022D33">
              <w:t>-</w:t>
            </w:r>
          </w:p>
        </w:tc>
        <w:tc>
          <w:tcPr>
            <w:tcW w:w="950" w:type="dxa"/>
            <w:shd w:val="clear" w:color="auto" w:fill="auto"/>
          </w:tcPr>
          <w:p w:rsidR="00617CB0" w:rsidRPr="00022D33" w:rsidRDefault="00617CB0" w:rsidP="000D7011">
            <w:pPr>
              <w:pStyle w:val="Tabletext"/>
              <w:jc w:val="right"/>
            </w:pPr>
            <w:r w:rsidRPr="00022D33">
              <w:t>-</w:t>
            </w:r>
          </w:p>
        </w:tc>
        <w:tc>
          <w:tcPr>
            <w:tcW w:w="939" w:type="dxa"/>
            <w:shd w:val="clear" w:color="auto" w:fill="auto"/>
          </w:tcPr>
          <w:p w:rsidR="00617CB0" w:rsidRPr="00022D33" w:rsidRDefault="00617CB0" w:rsidP="000D7011">
            <w:pPr>
              <w:pStyle w:val="Tabletext"/>
              <w:jc w:val="right"/>
            </w:pPr>
            <w:r w:rsidRPr="00022D33">
              <w:t>-</w:t>
            </w:r>
          </w:p>
        </w:tc>
      </w:tr>
      <w:tr w:rsidR="00617CB0" w:rsidRPr="00022D33" w:rsidTr="000D7011">
        <w:tc>
          <w:tcPr>
            <w:tcW w:w="1187" w:type="dxa"/>
            <w:shd w:val="clear" w:color="auto" w:fill="auto"/>
            <w:tcMar>
              <w:left w:w="0" w:type="dxa"/>
            </w:tcMar>
          </w:tcPr>
          <w:p w:rsidR="00617CB0" w:rsidRPr="00022D33" w:rsidRDefault="00617CB0" w:rsidP="000D7011">
            <w:pPr>
              <w:pStyle w:val="Tabletext"/>
            </w:pPr>
            <w:r w:rsidRPr="00022D33">
              <w:t>Finance lease receivables</w:t>
            </w:r>
          </w:p>
        </w:tc>
        <w:tc>
          <w:tcPr>
            <w:tcW w:w="1008" w:type="dxa"/>
            <w:shd w:val="clear" w:color="auto" w:fill="auto"/>
          </w:tcPr>
          <w:p w:rsidR="00617CB0" w:rsidRPr="00022D33" w:rsidRDefault="00617CB0" w:rsidP="000D7011">
            <w:pPr>
              <w:pStyle w:val="Tabletext"/>
              <w:jc w:val="right"/>
            </w:pPr>
            <w:r w:rsidRPr="00022D33">
              <w:t>4.93</w:t>
            </w:r>
          </w:p>
        </w:tc>
        <w:tc>
          <w:tcPr>
            <w:tcW w:w="1039" w:type="dxa"/>
            <w:shd w:val="clear" w:color="auto" w:fill="auto"/>
          </w:tcPr>
          <w:p w:rsidR="00617CB0" w:rsidRPr="00022D33" w:rsidRDefault="00617CB0" w:rsidP="000D7011">
            <w:pPr>
              <w:pStyle w:val="Tabletext"/>
              <w:jc w:val="right"/>
            </w:pPr>
            <w:r w:rsidRPr="00022D33">
              <w:t>1,797</w:t>
            </w:r>
          </w:p>
        </w:tc>
        <w:tc>
          <w:tcPr>
            <w:tcW w:w="939" w:type="dxa"/>
            <w:shd w:val="clear" w:color="auto" w:fill="auto"/>
          </w:tcPr>
          <w:p w:rsidR="00617CB0" w:rsidRPr="00022D33" w:rsidRDefault="00617CB0" w:rsidP="000D7011">
            <w:pPr>
              <w:pStyle w:val="Tabletext"/>
              <w:jc w:val="right"/>
            </w:pPr>
            <w:r w:rsidRPr="00022D33">
              <w:t>1,797</w:t>
            </w:r>
          </w:p>
        </w:tc>
        <w:tc>
          <w:tcPr>
            <w:tcW w:w="995" w:type="dxa"/>
            <w:shd w:val="clear" w:color="auto" w:fill="auto"/>
          </w:tcPr>
          <w:p w:rsidR="00617CB0" w:rsidRPr="00022D33" w:rsidRDefault="00617CB0" w:rsidP="000D7011">
            <w:pPr>
              <w:pStyle w:val="Tabletext"/>
              <w:jc w:val="right"/>
            </w:pPr>
            <w:r w:rsidRPr="00022D33">
              <w:t>-</w:t>
            </w:r>
          </w:p>
        </w:tc>
        <w:tc>
          <w:tcPr>
            <w:tcW w:w="939" w:type="dxa"/>
            <w:tcBorders>
              <w:right w:val="single" w:sz="4" w:space="0" w:color="auto"/>
            </w:tcBorders>
            <w:shd w:val="clear" w:color="auto" w:fill="auto"/>
          </w:tcPr>
          <w:p w:rsidR="00617CB0" w:rsidRPr="00022D33" w:rsidRDefault="00617CB0" w:rsidP="000D7011">
            <w:pPr>
              <w:pStyle w:val="Tabletext"/>
              <w:jc w:val="right"/>
            </w:pPr>
            <w:r w:rsidRPr="00022D33">
              <w:t>-</w:t>
            </w:r>
          </w:p>
        </w:tc>
        <w:tc>
          <w:tcPr>
            <w:tcW w:w="1005" w:type="dxa"/>
            <w:tcBorders>
              <w:left w:val="single" w:sz="4" w:space="0" w:color="auto"/>
              <w:right w:val="single" w:sz="4" w:space="0" w:color="auto"/>
            </w:tcBorders>
            <w:shd w:val="clear" w:color="auto" w:fill="auto"/>
          </w:tcPr>
          <w:p w:rsidR="00617CB0" w:rsidRPr="00022D33" w:rsidRDefault="00617CB0" w:rsidP="000D7011">
            <w:pPr>
              <w:pStyle w:val="Tabletext"/>
              <w:jc w:val="right"/>
            </w:pPr>
            <w:r w:rsidRPr="00022D33">
              <w:t>1,797</w:t>
            </w:r>
          </w:p>
        </w:tc>
        <w:tc>
          <w:tcPr>
            <w:tcW w:w="939" w:type="dxa"/>
            <w:tcBorders>
              <w:left w:val="single" w:sz="4" w:space="0" w:color="auto"/>
            </w:tcBorders>
            <w:shd w:val="clear" w:color="auto" w:fill="auto"/>
          </w:tcPr>
          <w:p w:rsidR="00617CB0" w:rsidRPr="00022D33" w:rsidRDefault="00617CB0" w:rsidP="000D7011">
            <w:pPr>
              <w:pStyle w:val="Tabletext"/>
              <w:jc w:val="right"/>
            </w:pPr>
            <w:r w:rsidRPr="00022D33">
              <w:t>24</w:t>
            </w:r>
          </w:p>
        </w:tc>
        <w:tc>
          <w:tcPr>
            <w:tcW w:w="939" w:type="dxa"/>
            <w:shd w:val="clear" w:color="auto" w:fill="auto"/>
          </w:tcPr>
          <w:p w:rsidR="00617CB0" w:rsidRPr="00022D33" w:rsidRDefault="00617CB0" w:rsidP="000D7011">
            <w:pPr>
              <w:pStyle w:val="Tabletext"/>
              <w:jc w:val="right"/>
            </w:pPr>
            <w:r w:rsidRPr="00022D33">
              <w:t>124</w:t>
            </w:r>
          </w:p>
        </w:tc>
        <w:tc>
          <w:tcPr>
            <w:tcW w:w="939" w:type="dxa"/>
            <w:shd w:val="clear" w:color="auto" w:fill="auto"/>
          </w:tcPr>
          <w:p w:rsidR="00617CB0" w:rsidRPr="00022D33" w:rsidRDefault="00617CB0" w:rsidP="000D7011">
            <w:pPr>
              <w:pStyle w:val="Tabletext"/>
              <w:jc w:val="right"/>
            </w:pPr>
            <w:r w:rsidRPr="00022D33">
              <w:t>435</w:t>
            </w:r>
          </w:p>
        </w:tc>
        <w:tc>
          <w:tcPr>
            <w:tcW w:w="950" w:type="dxa"/>
            <w:shd w:val="clear" w:color="auto" w:fill="auto"/>
          </w:tcPr>
          <w:p w:rsidR="00617CB0" w:rsidRPr="00022D33" w:rsidRDefault="00617CB0" w:rsidP="000D7011">
            <w:pPr>
              <w:pStyle w:val="Tabletext"/>
              <w:jc w:val="right"/>
            </w:pPr>
            <w:r w:rsidRPr="00022D33">
              <w:t>1,214</w:t>
            </w:r>
          </w:p>
        </w:tc>
        <w:tc>
          <w:tcPr>
            <w:tcW w:w="939" w:type="dxa"/>
            <w:shd w:val="clear" w:color="auto" w:fill="auto"/>
          </w:tcPr>
          <w:p w:rsidR="00617CB0" w:rsidRPr="00022D33" w:rsidRDefault="00617CB0" w:rsidP="000D7011">
            <w:pPr>
              <w:pStyle w:val="Tabletext"/>
              <w:jc w:val="right"/>
            </w:pPr>
            <w:r w:rsidRPr="00022D33">
              <w:t>-</w:t>
            </w:r>
          </w:p>
        </w:tc>
      </w:tr>
      <w:tr w:rsidR="00617CB0" w:rsidRPr="00022D33" w:rsidTr="000D7011">
        <w:tc>
          <w:tcPr>
            <w:tcW w:w="1187" w:type="dxa"/>
            <w:shd w:val="clear" w:color="auto" w:fill="auto"/>
            <w:tcMar>
              <w:left w:w="0" w:type="dxa"/>
            </w:tcMar>
          </w:tcPr>
          <w:p w:rsidR="00617CB0" w:rsidRPr="00022D33" w:rsidRDefault="00617CB0" w:rsidP="000D7011">
            <w:pPr>
              <w:pStyle w:val="Tabletext"/>
            </w:pPr>
            <w:r w:rsidRPr="00022D33">
              <w:t>Amounts receivable for services</w:t>
            </w:r>
          </w:p>
        </w:tc>
        <w:tc>
          <w:tcPr>
            <w:tcW w:w="1008" w:type="dxa"/>
            <w:shd w:val="clear" w:color="auto" w:fill="auto"/>
          </w:tcPr>
          <w:p w:rsidR="00617CB0" w:rsidRPr="00022D33" w:rsidRDefault="00617CB0" w:rsidP="000D7011">
            <w:pPr>
              <w:pStyle w:val="Tabletext"/>
              <w:jc w:val="right"/>
            </w:pPr>
            <w:r w:rsidRPr="00022D33">
              <w:t>-</w:t>
            </w:r>
          </w:p>
        </w:tc>
        <w:tc>
          <w:tcPr>
            <w:tcW w:w="1039" w:type="dxa"/>
            <w:tcBorders>
              <w:bottom w:val="single" w:sz="4" w:space="0" w:color="auto"/>
            </w:tcBorders>
            <w:shd w:val="clear" w:color="auto" w:fill="auto"/>
          </w:tcPr>
          <w:p w:rsidR="00617CB0" w:rsidRPr="00022D33" w:rsidRDefault="00617CB0" w:rsidP="000D7011">
            <w:pPr>
              <w:pStyle w:val="Tabletext"/>
              <w:jc w:val="right"/>
            </w:pPr>
            <w:r w:rsidRPr="00022D33">
              <w:t>411,714</w:t>
            </w:r>
          </w:p>
        </w:tc>
        <w:tc>
          <w:tcPr>
            <w:tcW w:w="939" w:type="dxa"/>
            <w:tcBorders>
              <w:bottom w:val="single" w:sz="4" w:space="0" w:color="auto"/>
            </w:tcBorders>
            <w:shd w:val="clear" w:color="auto" w:fill="auto"/>
          </w:tcPr>
          <w:p w:rsidR="00617CB0" w:rsidRPr="00022D33" w:rsidRDefault="00617CB0" w:rsidP="000D7011">
            <w:pPr>
              <w:pStyle w:val="Tabletext"/>
              <w:jc w:val="right"/>
            </w:pPr>
            <w:r w:rsidRPr="00022D33">
              <w:t>-</w:t>
            </w:r>
          </w:p>
        </w:tc>
        <w:tc>
          <w:tcPr>
            <w:tcW w:w="995" w:type="dxa"/>
            <w:tcBorders>
              <w:bottom w:val="single" w:sz="4" w:space="0" w:color="auto"/>
            </w:tcBorders>
            <w:shd w:val="clear" w:color="auto" w:fill="auto"/>
          </w:tcPr>
          <w:p w:rsidR="00617CB0" w:rsidRPr="00022D33" w:rsidRDefault="00617CB0" w:rsidP="000D7011">
            <w:pPr>
              <w:pStyle w:val="Tabletext"/>
              <w:jc w:val="right"/>
            </w:pPr>
            <w:r w:rsidRPr="00022D33">
              <w:t>-</w:t>
            </w:r>
          </w:p>
        </w:tc>
        <w:tc>
          <w:tcPr>
            <w:tcW w:w="939" w:type="dxa"/>
            <w:tcBorders>
              <w:bottom w:val="single" w:sz="4" w:space="0" w:color="auto"/>
              <w:right w:val="single" w:sz="4" w:space="0" w:color="auto"/>
            </w:tcBorders>
            <w:shd w:val="clear" w:color="auto" w:fill="auto"/>
          </w:tcPr>
          <w:p w:rsidR="00617CB0" w:rsidRPr="00022D33" w:rsidRDefault="00617CB0" w:rsidP="000D7011">
            <w:pPr>
              <w:pStyle w:val="Tabletext"/>
              <w:jc w:val="right"/>
            </w:pPr>
            <w:r w:rsidRPr="00022D33">
              <w:t>411,714</w:t>
            </w:r>
          </w:p>
        </w:tc>
        <w:tc>
          <w:tcPr>
            <w:tcW w:w="1005" w:type="dxa"/>
            <w:tcBorders>
              <w:left w:val="single" w:sz="4" w:space="0" w:color="auto"/>
              <w:bottom w:val="single" w:sz="4" w:space="0" w:color="auto"/>
              <w:right w:val="single" w:sz="4" w:space="0" w:color="auto"/>
            </w:tcBorders>
            <w:shd w:val="clear" w:color="auto" w:fill="auto"/>
          </w:tcPr>
          <w:p w:rsidR="00617CB0" w:rsidRPr="00022D33" w:rsidRDefault="00617CB0" w:rsidP="000D7011">
            <w:pPr>
              <w:pStyle w:val="Tabletext"/>
              <w:jc w:val="right"/>
            </w:pPr>
            <w:r w:rsidRPr="00022D33">
              <w:t>411,714</w:t>
            </w:r>
          </w:p>
        </w:tc>
        <w:tc>
          <w:tcPr>
            <w:tcW w:w="939" w:type="dxa"/>
            <w:tcBorders>
              <w:left w:val="single" w:sz="4" w:space="0" w:color="auto"/>
              <w:bottom w:val="single" w:sz="4" w:space="0" w:color="auto"/>
            </w:tcBorders>
            <w:shd w:val="clear" w:color="auto" w:fill="auto"/>
          </w:tcPr>
          <w:p w:rsidR="00617CB0" w:rsidRPr="00022D33" w:rsidRDefault="00617CB0" w:rsidP="000D7011">
            <w:pPr>
              <w:pStyle w:val="Tabletext"/>
              <w:jc w:val="right"/>
            </w:pPr>
            <w:r w:rsidRPr="00022D33">
              <w:t>200</w:t>
            </w:r>
          </w:p>
        </w:tc>
        <w:tc>
          <w:tcPr>
            <w:tcW w:w="939" w:type="dxa"/>
            <w:tcBorders>
              <w:bottom w:val="single" w:sz="4" w:space="0" w:color="auto"/>
            </w:tcBorders>
            <w:shd w:val="clear" w:color="auto" w:fill="auto"/>
          </w:tcPr>
          <w:p w:rsidR="00617CB0" w:rsidRPr="00022D33" w:rsidRDefault="00617CB0" w:rsidP="000D7011">
            <w:pPr>
              <w:pStyle w:val="Tabletext"/>
              <w:jc w:val="right"/>
            </w:pPr>
            <w:r w:rsidRPr="00022D33">
              <w:t>200</w:t>
            </w:r>
          </w:p>
        </w:tc>
        <w:tc>
          <w:tcPr>
            <w:tcW w:w="939" w:type="dxa"/>
            <w:tcBorders>
              <w:bottom w:val="single" w:sz="4" w:space="0" w:color="auto"/>
            </w:tcBorders>
            <w:shd w:val="clear" w:color="auto" w:fill="auto"/>
          </w:tcPr>
          <w:p w:rsidR="00617CB0" w:rsidRPr="00022D33" w:rsidRDefault="00617CB0" w:rsidP="000D7011">
            <w:pPr>
              <w:pStyle w:val="Tabletext"/>
              <w:jc w:val="right"/>
            </w:pPr>
            <w:r w:rsidRPr="00022D33">
              <w:t>1,131</w:t>
            </w:r>
          </w:p>
        </w:tc>
        <w:tc>
          <w:tcPr>
            <w:tcW w:w="950" w:type="dxa"/>
            <w:tcBorders>
              <w:bottom w:val="single" w:sz="4" w:space="0" w:color="auto"/>
            </w:tcBorders>
            <w:shd w:val="clear" w:color="auto" w:fill="auto"/>
          </w:tcPr>
          <w:p w:rsidR="00617CB0" w:rsidRPr="00022D33" w:rsidRDefault="00617CB0" w:rsidP="000D7011">
            <w:pPr>
              <w:pStyle w:val="Tabletext"/>
              <w:jc w:val="right"/>
            </w:pPr>
            <w:r w:rsidRPr="00022D33">
              <w:t>-</w:t>
            </w:r>
          </w:p>
        </w:tc>
        <w:tc>
          <w:tcPr>
            <w:tcW w:w="939" w:type="dxa"/>
            <w:tcBorders>
              <w:bottom w:val="single" w:sz="4" w:space="0" w:color="auto"/>
            </w:tcBorders>
            <w:shd w:val="clear" w:color="auto" w:fill="auto"/>
          </w:tcPr>
          <w:p w:rsidR="00617CB0" w:rsidRPr="00022D33" w:rsidRDefault="00617CB0" w:rsidP="000D7011">
            <w:pPr>
              <w:pStyle w:val="Tabletext"/>
              <w:jc w:val="right"/>
            </w:pPr>
            <w:r w:rsidRPr="00022D33">
              <w:t>-410,183</w:t>
            </w:r>
          </w:p>
        </w:tc>
      </w:tr>
      <w:tr w:rsidR="00617CB0" w:rsidRPr="00022D33" w:rsidTr="000D7011">
        <w:tc>
          <w:tcPr>
            <w:tcW w:w="1187" w:type="dxa"/>
            <w:shd w:val="clear" w:color="auto" w:fill="auto"/>
            <w:tcMar>
              <w:left w:w="0" w:type="dxa"/>
            </w:tcMar>
          </w:tcPr>
          <w:p w:rsidR="00617CB0" w:rsidRPr="00022D33" w:rsidRDefault="00617CB0" w:rsidP="000D7011">
            <w:pPr>
              <w:pStyle w:val="Tabletext"/>
            </w:pPr>
          </w:p>
        </w:tc>
        <w:tc>
          <w:tcPr>
            <w:tcW w:w="1008" w:type="dxa"/>
            <w:shd w:val="clear" w:color="auto" w:fill="auto"/>
          </w:tcPr>
          <w:p w:rsidR="00617CB0" w:rsidRPr="00022D33" w:rsidRDefault="00617CB0" w:rsidP="000D7011">
            <w:pPr>
              <w:pStyle w:val="Tabletext"/>
            </w:pPr>
          </w:p>
        </w:tc>
        <w:tc>
          <w:tcPr>
            <w:tcW w:w="1039"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820,777</w:t>
            </w:r>
          </w:p>
        </w:tc>
        <w:tc>
          <w:tcPr>
            <w:tcW w:w="939"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1,797</w:t>
            </w:r>
          </w:p>
        </w:tc>
        <w:tc>
          <w:tcPr>
            <w:tcW w:w="995"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7,393</w:t>
            </w:r>
          </w:p>
        </w:tc>
        <w:tc>
          <w:tcPr>
            <w:tcW w:w="939" w:type="dxa"/>
            <w:tcBorders>
              <w:top w:val="single" w:sz="4" w:space="0" w:color="auto"/>
              <w:bottom w:val="double" w:sz="4" w:space="0" w:color="auto"/>
              <w:right w:val="single" w:sz="4" w:space="0" w:color="auto"/>
            </w:tcBorders>
            <w:shd w:val="clear" w:color="auto" w:fill="auto"/>
          </w:tcPr>
          <w:p w:rsidR="00617CB0" w:rsidRPr="00022D33" w:rsidRDefault="00617CB0" w:rsidP="000D7011">
            <w:pPr>
              <w:pStyle w:val="Tableboldedtext"/>
              <w:jc w:val="right"/>
            </w:pPr>
            <w:r w:rsidRPr="00022D33">
              <w:t>811,587</w:t>
            </w:r>
          </w:p>
        </w:tc>
        <w:tc>
          <w:tcPr>
            <w:tcW w:w="1005" w:type="dxa"/>
            <w:tcBorders>
              <w:top w:val="single" w:sz="4" w:space="0" w:color="auto"/>
              <w:left w:val="single" w:sz="4" w:space="0" w:color="auto"/>
              <w:bottom w:val="double" w:sz="4" w:space="0" w:color="auto"/>
              <w:right w:val="single" w:sz="4" w:space="0" w:color="auto"/>
            </w:tcBorders>
            <w:shd w:val="clear" w:color="auto" w:fill="auto"/>
          </w:tcPr>
          <w:p w:rsidR="00617CB0" w:rsidRPr="00022D33" w:rsidRDefault="00617CB0" w:rsidP="000D7011">
            <w:pPr>
              <w:pStyle w:val="Tableboldedtext"/>
              <w:jc w:val="right"/>
            </w:pPr>
            <w:r w:rsidRPr="00022D33">
              <w:t>820,777</w:t>
            </w:r>
          </w:p>
        </w:tc>
        <w:tc>
          <w:tcPr>
            <w:tcW w:w="939" w:type="dxa"/>
            <w:tcBorders>
              <w:top w:val="single" w:sz="4" w:space="0" w:color="auto"/>
              <w:left w:val="single" w:sz="4" w:space="0" w:color="auto"/>
              <w:bottom w:val="double" w:sz="4" w:space="0" w:color="auto"/>
            </w:tcBorders>
            <w:shd w:val="clear" w:color="auto" w:fill="auto"/>
          </w:tcPr>
          <w:p w:rsidR="00617CB0" w:rsidRPr="00022D33" w:rsidRDefault="00617CB0" w:rsidP="000D7011">
            <w:pPr>
              <w:pStyle w:val="Tableboldedtext"/>
              <w:jc w:val="right"/>
            </w:pPr>
            <w:r w:rsidRPr="00022D33">
              <w:t>394,507</w:t>
            </w:r>
          </w:p>
        </w:tc>
        <w:tc>
          <w:tcPr>
            <w:tcW w:w="939"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324</w:t>
            </w:r>
          </w:p>
        </w:tc>
        <w:tc>
          <w:tcPr>
            <w:tcW w:w="939"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1,566</w:t>
            </w:r>
          </w:p>
        </w:tc>
        <w:tc>
          <w:tcPr>
            <w:tcW w:w="950"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14,197</w:t>
            </w:r>
          </w:p>
        </w:tc>
        <w:tc>
          <w:tcPr>
            <w:tcW w:w="939"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410,183</w:t>
            </w:r>
          </w:p>
        </w:tc>
      </w:tr>
      <w:tr w:rsidR="00617CB0" w:rsidRPr="00022D33" w:rsidTr="000D7011">
        <w:tc>
          <w:tcPr>
            <w:tcW w:w="11818" w:type="dxa"/>
            <w:gridSpan w:val="12"/>
            <w:shd w:val="clear" w:color="auto" w:fill="auto"/>
            <w:tcMar>
              <w:left w:w="0" w:type="dxa"/>
            </w:tcMar>
          </w:tcPr>
          <w:p w:rsidR="00617CB0" w:rsidRPr="00022D33" w:rsidRDefault="00617CB0" w:rsidP="000D7011">
            <w:pPr>
              <w:pStyle w:val="Tabletext"/>
              <w:rPr>
                <w:i/>
              </w:rPr>
            </w:pPr>
            <w:r w:rsidRPr="00022D33">
              <w:rPr>
                <w:i/>
              </w:rPr>
              <w:t>Financial liabilities</w:t>
            </w:r>
          </w:p>
        </w:tc>
      </w:tr>
      <w:tr w:rsidR="00617CB0" w:rsidRPr="00022D33" w:rsidTr="000D7011">
        <w:tc>
          <w:tcPr>
            <w:tcW w:w="1187" w:type="dxa"/>
            <w:shd w:val="clear" w:color="auto" w:fill="auto"/>
            <w:tcMar>
              <w:left w:w="0" w:type="dxa"/>
            </w:tcMar>
          </w:tcPr>
          <w:p w:rsidR="00617CB0" w:rsidRPr="00022D33" w:rsidRDefault="00617CB0" w:rsidP="000D7011">
            <w:pPr>
              <w:pStyle w:val="Tabletext"/>
            </w:pPr>
            <w:r w:rsidRPr="00022D33">
              <w:t>Payables</w:t>
            </w:r>
          </w:p>
        </w:tc>
        <w:tc>
          <w:tcPr>
            <w:tcW w:w="1008" w:type="dxa"/>
            <w:shd w:val="clear" w:color="auto" w:fill="auto"/>
          </w:tcPr>
          <w:p w:rsidR="00617CB0" w:rsidRPr="00022D33" w:rsidRDefault="00617CB0" w:rsidP="000D7011">
            <w:pPr>
              <w:pStyle w:val="Tabletext"/>
              <w:jc w:val="right"/>
            </w:pPr>
            <w:r w:rsidRPr="00022D33">
              <w:t>-</w:t>
            </w:r>
          </w:p>
        </w:tc>
        <w:tc>
          <w:tcPr>
            <w:tcW w:w="1039" w:type="dxa"/>
            <w:shd w:val="clear" w:color="auto" w:fill="auto"/>
          </w:tcPr>
          <w:p w:rsidR="00617CB0" w:rsidRPr="00022D33" w:rsidRDefault="00617CB0" w:rsidP="000D7011">
            <w:pPr>
              <w:pStyle w:val="Tabletext"/>
              <w:jc w:val="right"/>
            </w:pPr>
            <w:r w:rsidRPr="00022D33">
              <w:t>70,050</w:t>
            </w:r>
          </w:p>
        </w:tc>
        <w:tc>
          <w:tcPr>
            <w:tcW w:w="939" w:type="dxa"/>
            <w:shd w:val="clear" w:color="auto" w:fill="auto"/>
          </w:tcPr>
          <w:p w:rsidR="00617CB0" w:rsidRPr="00022D33" w:rsidRDefault="00617CB0" w:rsidP="000D7011">
            <w:pPr>
              <w:pStyle w:val="Tabletext"/>
              <w:jc w:val="right"/>
            </w:pPr>
            <w:r w:rsidRPr="00022D33">
              <w:t>-</w:t>
            </w:r>
          </w:p>
        </w:tc>
        <w:tc>
          <w:tcPr>
            <w:tcW w:w="995" w:type="dxa"/>
            <w:shd w:val="clear" w:color="auto" w:fill="auto"/>
          </w:tcPr>
          <w:p w:rsidR="00617CB0" w:rsidRPr="00022D33" w:rsidRDefault="00617CB0" w:rsidP="000D7011">
            <w:pPr>
              <w:pStyle w:val="Tabletext"/>
              <w:jc w:val="right"/>
            </w:pPr>
            <w:r w:rsidRPr="00022D33">
              <w:t>-</w:t>
            </w:r>
          </w:p>
        </w:tc>
        <w:tc>
          <w:tcPr>
            <w:tcW w:w="939" w:type="dxa"/>
            <w:tcBorders>
              <w:right w:val="single" w:sz="4" w:space="0" w:color="auto"/>
            </w:tcBorders>
            <w:shd w:val="clear" w:color="auto" w:fill="auto"/>
          </w:tcPr>
          <w:p w:rsidR="00617CB0" w:rsidRPr="00022D33" w:rsidRDefault="00617CB0" w:rsidP="000D7011">
            <w:pPr>
              <w:pStyle w:val="Tabletext"/>
              <w:jc w:val="right"/>
            </w:pPr>
            <w:r w:rsidRPr="00022D33">
              <w:t>70,050</w:t>
            </w:r>
          </w:p>
        </w:tc>
        <w:tc>
          <w:tcPr>
            <w:tcW w:w="1005" w:type="dxa"/>
            <w:tcBorders>
              <w:left w:val="single" w:sz="4" w:space="0" w:color="auto"/>
              <w:right w:val="single" w:sz="4" w:space="0" w:color="auto"/>
            </w:tcBorders>
            <w:shd w:val="clear" w:color="auto" w:fill="auto"/>
          </w:tcPr>
          <w:p w:rsidR="00617CB0" w:rsidRPr="00022D33" w:rsidRDefault="00617CB0" w:rsidP="000D7011">
            <w:pPr>
              <w:pStyle w:val="Tabletext"/>
              <w:jc w:val="right"/>
            </w:pPr>
            <w:r w:rsidRPr="00022D33">
              <w:t>70,050</w:t>
            </w:r>
          </w:p>
        </w:tc>
        <w:tc>
          <w:tcPr>
            <w:tcW w:w="939" w:type="dxa"/>
            <w:tcBorders>
              <w:left w:val="single" w:sz="4" w:space="0" w:color="auto"/>
            </w:tcBorders>
            <w:shd w:val="clear" w:color="auto" w:fill="auto"/>
          </w:tcPr>
          <w:p w:rsidR="00617CB0" w:rsidRPr="00022D33" w:rsidRDefault="00617CB0" w:rsidP="000D7011">
            <w:pPr>
              <w:pStyle w:val="Tabletext"/>
              <w:jc w:val="right"/>
            </w:pPr>
            <w:r w:rsidRPr="00022D33">
              <w:t>69,731</w:t>
            </w:r>
          </w:p>
        </w:tc>
        <w:tc>
          <w:tcPr>
            <w:tcW w:w="939" w:type="dxa"/>
            <w:shd w:val="clear" w:color="auto" w:fill="auto"/>
          </w:tcPr>
          <w:p w:rsidR="00617CB0" w:rsidRPr="00022D33" w:rsidRDefault="00617CB0" w:rsidP="000D7011">
            <w:pPr>
              <w:pStyle w:val="Tabletext"/>
              <w:jc w:val="right"/>
            </w:pPr>
            <w:r w:rsidRPr="00022D33">
              <w:t>316</w:t>
            </w:r>
          </w:p>
        </w:tc>
        <w:tc>
          <w:tcPr>
            <w:tcW w:w="939" w:type="dxa"/>
            <w:shd w:val="clear" w:color="auto" w:fill="auto"/>
          </w:tcPr>
          <w:p w:rsidR="00617CB0" w:rsidRPr="00022D33" w:rsidRDefault="00617CB0" w:rsidP="000D7011">
            <w:pPr>
              <w:pStyle w:val="Tabletext"/>
              <w:jc w:val="right"/>
            </w:pPr>
            <w:r w:rsidRPr="00022D33">
              <w:t>-</w:t>
            </w:r>
          </w:p>
        </w:tc>
        <w:tc>
          <w:tcPr>
            <w:tcW w:w="950" w:type="dxa"/>
            <w:shd w:val="clear" w:color="auto" w:fill="auto"/>
          </w:tcPr>
          <w:p w:rsidR="00617CB0" w:rsidRPr="00022D33" w:rsidRDefault="00617CB0" w:rsidP="000D7011">
            <w:pPr>
              <w:pStyle w:val="Tabletext"/>
              <w:jc w:val="right"/>
            </w:pPr>
            <w:r w:rsidRPr="00022D33">
              <w:t>3</w:t>
            </w:r>
          </w:p>
        </w:tc>
        <w:tc>
          <w:tcPr>
            <w:tcW w:w="939" w:type="dxa"/>
            <w:shd w:val="clear" w:color="auto" w:fill="auto"/>
          </w:tcPr>
          <w:p w:rsidR="00617CB0" w:rsidRPr="00022D33" w:rsidRDefault="00617CB0" w:rsidP="000D7011">
            <w:pPr>
              <w:pStyle w:val="Tabletext"/>
              <w:jc w:val="right"/>
            </w:pPr>
            <w:r w:rsidRPr="00022D33">
              <w:t>-</w:t>
            </w:r>
          </w:p>
        </w:tc>
      </w:tr>
      <w:tr w:rsidR="00617CB0" w:rsidRPr="00022D33" w:rsidTr="000D7011">
        <w:tc>
          <w:tcPr>
            <w:tcW w:w="1187" w:type="dxa"/>
            <w:shd w:val="clear" w:color="auto" w:fill="auto"/>
            <w:tcMar>
              <w:left w:w="0" w:type="dxa"/>
            </w:tcMar>
          </w:tcPr>
          <w:p w:rsidR="00617CB0" w:rsidRPr="00022D33" w:rsidRDefault="00617CB0" w:rsidP="000D7011">
            <w:pPr>
              <w:pStyle w:val="Tabletext"/>
            </w:pPr>
            <w:r w:rsidRPr="00022D33">
              <w:t>WATC borrowings</w:t>
            </w:r>
          </w:p>
        </w:tc>
        <w:tc>
          <w:tcPr>
            <w:tcW w:w="1008" w:type="dxa"/>
            <w:shd w:val="clear" w:color="auto" w:fill="auto"/>
          </w:tcPr>
          <w:p w:rsidR="00617CB0" w:rsidRPr="00022D33" w:rsidRDefault="00617CB0" w:rsidP="000D7011">
            <w:pPr>
              <w:pStyle w:val="Tabletext"/>
              <w:jc w:val="right"/>
            </w:pPr>
            <w:r w:rsidRPr="00022D33">
              <w:t>2.79</w:t>
            </w:r>
          </w:p>
        </w:tc>
        <w:tc>
          <w:tcPr>
            <w:tcW w:w="1039" w:type="dxa"/>
            <w:shd w:val="clear" w:color="auto" w:fill="auto"/>
          </w:tcPr>
          <w:p w:rsidR="00617CB0" w:rsidRPr="00022D33" w:rsidRDefault="00617CB0" w:rsidP="000D7011">
            <w:pPr>
              <w:pStyle w:val="Tabletext"/>
              <w:jc w:val="right"/>
            </w:pPr>
            <w:r w:rsidRPr="00022D33">
              <w:t>75,236</w:t>
            </w:r>
          </w:p>
        </w:tc>
        <w:tc>
          <w:tcPr>
            <w:tcW w:w="939" w:type="dxa"/>
            <w:shd w:val="clear" w:color="auto" w:fill="auto"/>
          </w:tcPr>
          <w:p w:rsidR="00617CB0" w:rsidRPr="00022D33" w:rsidRDefault="00617CB0" w:rsidP="000D7011">
            <w:pPr>
              <w:pStyle w:val="Tabletext"/>
              <w:jc w:val="right"/>
            </w:pPr>
            <w:r w:rsidRPr="00022D33">
              <w:t>75,236</w:t>
            </w:r>
          </w:p>
        </w:tc>
        <w:tc>
          <w:tcPr>
            <w:tcW w:w="995" w:type="dxa"/>
            <w:shd w:val="clear" w:color="auto" w:fill="auto"/>
          </w:tcPr>
          <w:p w:rsidR="00617CB0" w:rsidRPr="00022D33" w:rsidRDefault="00617CB0" w:rsidP="000D7011">
            <w:pPr>
              <w:pStyle w:val="Tabletext"/>
              <w:jc w:val="right"/>
            </w:pPr>
            <w:r w:rsidRPr="00022D33">
              <w:t>-</w:t>
            </w:r>
          </w:p>
        </w:tc>
        <w:tc>
          <w:tcPr>
            <w:tcW w:w="939" w:type="dxa"/>
            <w:tcBorders>
              <w:right w:val="single" w:sz="4" w:space="0" w:color="auto"/>
            </w:tcBorders>
            <w:shd w:val="clear" w:color="auto" w:fill="auto"/>
          </w:tcPr>
          <w:p w:rsidR="00617CB0" w:rsidRPr="00022D33" w:rsidRDefault="00617CB0" w:rsidP="000D7011">
            <w:pPr>
              <w:pStyle w:val="Tabletext"/>
              <w:jc w:val="right"/>
            </w:pPr>
            <w:r w:rsidRPr="00022D33">
              <w:t>-</w:t>
            </w:r>
          </w:p>
        </w:tc>
        <w:tc>
          <w:tcPr>
            <w:tcW w:w="1005" w:type="dxa"/>
            <w:tcBorders>
              <w:left w:val="single" w:sz="4" w:space="0" w:color="auto"/>
              <w:right w:val="single" w:sz="4" w:space="0" w:color="auto"/>
            </w:tcBorders>
            <w:shd w:val="clear" w:color="auto" w:fill="auto"/>
          </w:tcPr>
          <w:p w:rsidR="00617CB0" w:rsidRPr="00022D33" w:rsidRDefault="00617CB0" w:rsidP="000D7011">
            <w:pPr>
              <w:pStyle w:val="Tabletext"/>
              <w:jc w:val="right"/>
            </w:pPr>
            <w:r w:rsidRPr="00022D33">
              <w:t>75,236</w:t>
            </w:r>
          </w:p>
        </w:tc>
        <w:tc>
          <w:tcPr>
            <w:tcW w:w="939" w:type="dxa"/>
            <w:tcBorders>
              <w:left w:val="single" w:sz="4" w:space="0" w:color="auto"/>
            </w:tcBorders>
            <w:shd w:val="clear" w:color="auto" w:fill="auto"/>
          </w:tcPr>
          <w:p w:rsidR="00617CB0" w:rsidRPr="00022D33" w:rsidRDefault="00617CB0" w:rsidP="000D7011">
            <w:pPr>
              <w:pStyle w:val="Tabletext"/>
              <w:jc w:val="right"/>
            </w:pPr>
            <w:r w:rsidRPr="00022D33">
              <w:t>1,694</w:t>
            </w:r>
          </w:p>
        </w:tc>
        <w:tc>
          <w:tcPr>
            <w:tcW w:w="939" w:type="dxa"/>
            <w:shd w:val="clear" w:color="auto" w:fill="auto"/>
          </w:tcPr>
          <w:p w:rsidR="00617CB0" w:rsidRPr="00022D33" w:rsidRDefault="00617CB0" w:rsidP="000D7011">
            <w:pPr>
              <w:pStyle w:val="Tabletext"/>
              <w:jc w:val="right"/>
            </w:pPr>
            <w:r w:rsidRPr="00022D33">
              <w:t>3,838</w:t>
            </w:r>
          </w:p>
        </w:tc>
        <w:tc>
          <w:tcPr>
            <w:tcW w:w="939" w:type="dxa"/>
            <w:shd w:val="clear" w:color="auto" w:fill="auto"/>
          </w:tcPr>
          <w:p w:rsidR="00617CB0" w:rsidRPr="00022D33" w:rsidRDefault="00617CB0" w:rsidP="000D7011">
            <w:pPr>
              <w:pStyle w:val="Tabletext"/>
              <w:jc w:val="right"/>
            </w:pPr>
            <w:r w:rsidRPr="00022D33">
              <w:t>19,349</w:t>
            </w:r>
          </w:p>
        </w:tc>
        <w:tc>
          <w:tcPr>
            <w:tcW w:w="950" w:type="dxa"/>
            <w:shd w:val="clear" w:color="auto" w:fill="auto"/>
          </w:tcPr>
          <w:p w:rsidR="00617CB0" w:rsidRPr="00022D33" w:rsidRDefault="00617CB0" w:rsidP="000D7011">
            <w:pPr>
              <w:pStyle w:val="Tabletext"/>
              <w:jc w:val="right"/>
            </w:pPr>
            <w:r w:rsidRPr="00022D33">
              <w:t>50,356</w:t>
            </w:r>
          </w:p>
        </w:tc>
        <w:tc>
          <w:tcPr>
            <w:tcW w:w="939" w:type="dxa"/>
            <w:shd w:val="clear" w:color="auto" w:fill="auto"/>
          </w:tcPr>
          <w:p w:rsidR="00617CB0" w:rsidRPr="00022D33" w:rsidRDefault="00617CB0" w:rsidP="000D7011">
            <w:pPr>
              <w:pStyle w:val="Tabletext"/>
              <w:jc w:val="right"/>
            </w:pPr>
            <w:r w:rsidRPr="00022D33">
              <w:t>-</w:t>
            </w:r>
          </w:p>
        </w:tc>
      </w:tr>
      <w:tr w:rsidR="00617CB0" w:rsidRPr="00022D33" w:rsidTr="000D7011">
        <w:tc>
          <w:tcPr>
            <w:tcW w:w="1187" w:type="dxa"/>
            <w:shd w:val="clear" w:color="auto" w:fill="auto"/>
            <w:tcMar>
              <w:left w:w="0" w:type="dxa"/>
            </w:tcMar>
          </w:tcPr>
          <w:p w:rsidR="00617CB0" w:rsidRPr="00022D33" w:rsidRDefault="00617CB0" w:rsidP="000D7011">
            <w:pPr>
              <w:pStyle w:val="Tabletext"/>
            </w:pPr>
            <w:r w:rsidRPr="00022D33">
              <w:t>Heritage Maintenance Payments</w:t>
            </w:r>
          </w:p>
        </w:tc>
        <w:tc>
          <w:tcPr>
            <w:tcW w:w="1008" w:type="dxa"/>
            <w:shd w:val="clear" w:color="auto" w:fill="auto"/>
          </w:tcPr>
          <w:p w:rsidR="00617CB0" w:rsidRPr="00022D33" w:rsidRDefault="00617CB0" w:rsidP="000D7011">
            <w:pPr>
              <w:pStyle w:val="Tabletext"/>
              <w:jc w:val="right"/>
            </w:pPr>
            <w:r w:rsidRPr="00022D33">
              <w:t>12.46</w:t>
            </w:r>
          </w:p>
        </w:tc>
        <w:tc>
          <w:tcPr>
            <w:tcW w:w="1039" w:type="dxa"/>
            <w:shd w:val="clear" w:color="auto" w:fill="auto"/>
          </w:tcPr>
          <w:p w:rsidR="00617CB0" w:rsidRPr="00022D33" w:rsidRDefault="00617CB0" w:rsidP="000D7011">
            <w:pPr>
              <w:pStyle w:val="Tabletext"/>
              <w:jc w:val="right"/>
            </w:pPr>
            <w:r w:rsidRPr="00022D33">
              <w:t>53,080</w:t>
            </w:r>
          </w:p>
        </w:tc>
        <w:tc>
          <w:tcPr>
            <w:tcW w:w="939" w:type="dxa"/>
            <w:shd w:val="clear" w:color="auto" w:fill="auto"/>
          </w:tcPr>
          <w:p w:rsidR="00617CB0" w:rsidRPr="00022D33" w:rsidRDefault="00617CB0" w:rsidP="000D7011">
            <w:pPr>
              <w:pStyle w:val="Tabletext"/>
              <w:jc w:val="right"/>
            </w:pPr>
            <w:r w:rsidRPr="00022D33">
              <w:t>53,080</w:t>
            </w:r>
          </w:p>
        </w:tc>
        <w:tc>
          <w:tcPr>
            <w:tcW w:w="995" w:type="dxa"/>
            <w:shd w:val="clear" w:color="auto" w:fill="auto"/>
          </w:tcPr>
          <w:p w:rsidR="00617CB0" w:rsidRPr="00022D33" w:rsidRDefault="00617CB0" w:rsidP="000D7011">
            <w:pPr>
              <w:pStyle w:val="Tabletext"/>
              <w:jc w:val="right"/>
            </w:pPr>
            <w:r w:rsidRPr="00022D33">
              <w:t>-</w:t>
            </w:r>
          </w:p>
        </w:tc>
        <w:tc>
          <w:tcPr>
            <w:tcW w:w="939" w:type="dxa"/>
            <w:tcBorders>
              <w:right w:val="single" w:sz="4" w:space="0" w:color="auto"/>
            </w:tcBorders>
            <w:shd w:val="clear" w:color="auto" w:fill="auto"/>
          </w:tcPr>
          <w:p w:rsidR="00617CB0" w:rsidRPr="00022D33" w:rsidRDefault="00617CB0" w:rsidP="000D7011">
            <w:pPr>
              <w:pStyle w:val="Tabletext"/>
              <w:jc w:val="right"/>
            </w:pPr>
            <w:r w:rsidRPr="00022D33">
              <w:t>-</w:t>
            </w:r>
          </w:p>
        </w:tc>
        <w:tc>
          <w:tcPr>
            <w:tcW w:w="1005" w:type="dxa"/>
            <w:tcBorders>
              <w:left w:val="single" w:sz="4" w:space="0" w:color="auto"/>
              <w:right w:val="single" w:sz="4" w:space="0" w:color="auto"/>
            </w:tcBorders>
            <w:shd w:val="clear" w:color="auto" w:fill="auto"/>
          </w:tcPr>
          <w:p w:rsidR="00617CB0" w:rsidRPr="00022D33" w:rsidRDefault="00617CB0" w:rsidP="000D7011">
            <w:pPr>
              <w:pStyle w:val="Tabletext"/>
              <w:jc w:val="right"/>
            </w:pPr>
            <w:r w:rsidRPr="00022D33">
              <w:t>53,080</w:t>
            </w:r>
          </w:p>
        </w:tc>
        <w:tc>
          <w:tcPr>
            <w:tcW w:w="939" w:type="dxa"/>
            <w:tcBorders>
              <w:left w:val="single" w:sz="4" w:space="0" w:color="auto"/>
            </w:tcBorders>
            <w:shd w:val="clear" w:color="auto" w:fill="auto"/>
          </w:tcPr>
          <w:p w:rsidR="00617CB0" w:rsidRPr="00022D33" w:rsidRDefault="00617CB0" w:rsidP="000D7011">
            <w:pPr>
              <w:pStyle w:val="Tabletext"/>
              <w:jc w:val="right"/>
            </w:pPr>
            <w:r w:rsidRPr="00022D33">
              <w:t>448</w:t>
            </w:r>
          </w:p>
        </w:tc>
        <w:tc>
          <w:tcPr>
            <w:tcW w:w="939" w:type="dxa"/>
            <w:shd w:val="clear" w:color="auto" w:fill="auto"/>
          </w:tcPr>
          <w:p w:rsidR="00617CB0" w:rsidRPr="00022D33" w:rsidRDefault="00617CB0" w:rsidP="000D7011">
            <w:pPr>
              <w:pStyle w:val="Tabletext"/>
              <w:jc w:val="right"/>
            </w:pPr>
            <w:r w:rsidRPr="00022D33">
              <w:t>895</w:t>
            </w:r>
          </w:p>
        </w:tc>
        <w:tc>
          <w:tcPr>
            <w:tcW w:w="939" w:type="dxa"/>
            <w:shd w:val="clear" w:color="auto" w:fill="auto"/>
          </w:tcPr>
          <w:p w:rsidR="00617CB0" w:rsidRPr="00022D33" w:rsidRDefault="00617CB0" w:rsidP="000D7011">
            <w:pPr>
              <w:pStyle w:val="Tabletext"/>
              <w:jc w:val="right"/>
            </w:pPr>
            <w:r w:rsidRPr="00022D33">
              <w:t>4,077</w:t>
            </w:r>
          </w:p>
        </w:tc>
        <w:tc>
          <w:tcPr>
            <w:tcW w:w="950" w:type="dxa"/>
            <w:shd w:val="clear" w:color="auto" w:fill="auto"/>
          </w:tcPr>
          <w:p w:rsidR="00617CB0" w:rsidRPr="00022D33" w:rsidRDefault="00617CB0" w:rsidP="000D7011">
            <w:pPr>
              <w:pStyle w:val="Tabletext"/>
              <w:jc w:val="right"/>
            </w:pPr>
            <w:r w:rsidRPr="00022D33">
              <w:t>23,794</w:t>
            </w:r>
          </w:p>
        </w:tc>
        <w:tc>
          <w:tcPr>
            <w:tcW w:w="939" w:type="dxa"/>
            <w:shd w:val="clear" w:color="auto" w:fill="auto"/>
          </w:tcPr>
          <w:p w:rsidR="00617CB0" w:rsidRPr="00022D33" w:rsidRDefault="00617CB0" w:rsidP="000D7011">
            <w:pPr>
              <w:pStyle w:val="Tabletext"/>
              <w:jc w:val="right"/>
            </w:pPr>
            <w:r w:rsidRPr="00022D33">
              <w:t>23,866</w:t>
            </w:r>
          </w:p>
        </w:tc>
      </w:tr>
      <w:tr w:rsidR="00617CB0" w:rsidRPr="00022D33" w:rsidTr="000D7011">
        <w:tc>
          <w:tcPr>
            <w:tcW w:w="1187" w:type="dxa"/>
            <w:shd w:val="clear" w:color="auto" w:fill="auto"/>
            <w:tcMar>
              <w:left w:w="0" w:type="dxa"/>
            </w:tcMar>
          </w:tcPr>
          <w:p w:rsidR="00617CB0" w:rsidRPr="00022D33" w:rsidRDefault="00617CB0" w:rsidP="000D7011">
            <w:pPr>
              <w:pStyle w:val="Tabletext"/>
            </w:pPr>
            <w:r w:rsidRPr="00022D33">
              <w:t>Unearned revenue - construction projects in progress</w:t>
            </w:r>
          </w:p>
        </w:tc>
        <w:tc>
          <w:tcPr>
            <w:tcW w:w="1008" w:type="dxa"/>
            <w:shd w:val="clear" w:color="auto" w:fill="auto"/>
          </w:tcPr>
          <w:p w:rsidR="00617CB0" w:rsidRPr="00022D33" w:rsidRDefault="00617CB0" w:rsidP="000D7011">
            <w:pPr>
              <w:pStyle w:val="Tabletext"/>
              <w:jc w:val="right"/>
            </w:pPr>
            <w:r w:rsidRPr="00022D33">
              <w:t>-</w:t>
            </w:r>
          </w:p>
        </w:tc>
        <w:tc>
          <w:tcPr>
            <w:tcW w:w="1039" w:type="dxa"/>
            <w:tcBorders>
              <w:bottom w:val="double" w:sz="4" w:space="0" w:color="auto"/>
            </w:tcBorders>
            <w:shd w:val="clear" w:color="auto" w:fill="auto"/>
          </w:tcPr>
          <w:p w:rsidR="00617CB0" w:rsidRPr="00022D33" w:rsidRDefault="00617CB0" w:rsidP="000D7011">
            <w:pPr>
              <w:pStyle w:val="Tabletext"/>
              <w:jc w:val="right"/>
            </w:pPr>
            <w:r w:rsidRPr="00022D33">
              <w:t>203,405</w:t>
            </w:r>
          </w:p>
        </w:tc>
        <w:tc>
          <w:tcPr>
            <w:tcW w:w="939" w:type="dxa"/>
            <w:tcBorders>
              <w:bottom w:val="double" w:sz="4" w:space="0" w:color="auto"/>
            </w:tcBorders>
            <w:shd w:val="clear" w:color="auto" w:fill="auto"/>
          </w:tcPr>
          <w:p w:rsidR="00617CB0" w:rsidRPr="00022D33" w:rsidRDefault="00617CB0" w:rsidP="000D7011">
            <w:pPr>
              <w:pStyle w:val="Tabletext"/>
              <w:jc w:val="right"/>
            </w:pPr>
            <w:r w:rsidRPr="00022D33">
              <w:t>-</w:t>
            </w:r>
          </w:p>
        </w:tc>
        <w:tc>
          <w:tcPr>
            <w:tcW w:w="995" w:type="dxa"/>
            <w:tcBorders>
              <w:bottom w:val="double" w:sz="4" w:space="0" w:color="auto"/>
            </w:tcBorders>
            <w:shd w:val="clear" w:color="auto" w:fill="auto"/>
          </w:tcPr>
          <w:p w:rsidR="00617CB0" w:rsidRPr="00022D33" w:rsidRDefault="00617CB0" w:rsidP="000D7011">
            <w:pPr>
              <w:pStyle w:val="Tabletext"/>
              <w:jc w:val="right"/>
            </w:pPr>
            <w:r w:rsidRPr="00022D33">
              <w:t>-</w:t>
            </w:r>
          </w:p>
        </w:tc>
        <w:tc>
          <w:tcPr>
            <w:tcW w:w="939" w:type="dxa"/>
            <w:tcBorders>
              <w:bottom w:val="double" w:sz="4" w:space="0" w:color="auto"/>
              <w:right w:val="single" w:sz="4" w:space="0" w:color="auto"/>
            </w:tcBorders>
            <w:shd w:val="clear" w:color="auto" w:fill="auto"/>
          </w:tcPr>
          <w:p w:rsidR="00617CB0" w:rsidRPr="00022D33" w:rsidRDefault="00617CB0" w:rsidP="000D7011">
            <w:pPr>
              <w:pStyle w:val="Tabletext"/>
              <w:jc w:val="right"/>
            </w:pPr>
            <w:r w:rsidRPr="00022D33">
              <w:t>203,405</w:t>
            </w:r>
          </w:p>
        </w:tc>
        <w:tc>
          <w:tcPr>
            <w:tcW w:w="1005" w:type="dxa"/>
            <w:tcBorders>
              <w:left w:val="single" w:sz="4" w:space="0" w:color="auto"/>
              <w:bottom w:val="double" w:sz="4" w:space="0" w:color="auto"/>
              <w:right w:val="single" w:sz="4" w:space="0" w:color="auto"/>
            </w:tcBorders>
            <w:shd w:val="clear" w:color="auto" w:fill="auto"/>
          </w:tcPr>
          <w:p w:rsidR="00617CB0" w:rsidRPr="00022D33" w:rsidRDefault="00617CB0" w:rsidP="000D7011">
            <w:pPr>
              <w:pStyle w:val="Tabletext"/>
              <w:jc w:val="right"/>
            </w:pPr>
            <w:r w:rsidRPr="00022D33">
              <w:t>203,405</w:t>
            </w:r>
          </w:p>
        </w:tc>
        <w:tc>
          <w:tcPr>
            <w:tcW w:w="939" w:type="dxa"/>
            <w:tcBorders>
              <w:left w:val="single" w:sz="4" w:space="0" w:color="auto"/>
              <w:bottom w:val="double" w:sz="4" w:space="0" w:color="auto"/>
            </w:tcBorders>
            <w:shd w:val="clear" w:color="auto" w:fill="auto"/>
          </w:tcPr>
          <w:p w:rsidR="00617CB0" w:rsidRPr="00022D33" w:rsidRDefault="00617CB0" w:rsidP="000D7011">
            <w:pPr>
              <w:pStyle w:val="Tabletext"/>
              <w:jc w:val="right"/>
            </w:pPr>
            <w:r w:rsidRPr="00022D33">
              <w:t>204,029</w:t>
            </w:r>
          </w:p>
        </w:tc>
        <w:tc>
          <w:tcPr>
            <w:tcW w:w="939" w:type="dxa"/>
            <w:tcBorders>
              <w:bottom w:val="double" w:sz="4" w:space="0" w:color="auto"/>
            </w:tcBorders>
            <w:shd w:val="clear" w:color="auto" w:fill="auto"/>
          </w:tcPr>
          <w:p w:rsidR="00617CB0" w:rsidRPr="00022D33" w:rsidRDefault="00617CB0" w:rsidP="000D7011">
            <w:pPr>
              <w:pStyle w:val="Tabletext"/>
              <w:jc w:val="right"/>
            </w:pPr>
            <w:r w:rsidRPr="00022D33">
              <w:t>-</w:t>
            </w:r>
          </w:p>
        </w:tc>
        <w:tc>
          <w:tcPr>
            <w:tcW w:w="939" w:type="dxa"/>
            <w:tcBorders>
              <w:bottom w:val="double" w:sz="4" w:space="0" w:color="auto"/>
            </w:tcBorders>
            <w:shd w:val="clear" w:color="auto" w:fill="auto"/>
          </w:tcPr>
          <w:p w:rsidR="00617CB0" w:rsidRPr="00022D33" w:rsidRDefault="00617CB0" w:rsidP="000D7011">
            <w:pPr>
              <w:pStyle w:val="Tabletext"/>
              <w:jc w:val="right"/>
            </w:pPr>
            <w:r w:rsidRPr="00022D33">
              <w:t>-</w:t>
            </w:r>
          </w:p>
        </w:tc>
        <w:tc>
          <w:tcPr>
            <w:tcW w:w="950" w:type="dxa"/>
            <w:tcBorders>
              <w:bottom w:val="double" w:sz="4" w:space="0" w:color="auto"/>
            </w:tcBorders>
            <w:shd w:val="clear" w:color="auto" w:fill="auto"/>
          </w:tcPr>
          <w:p w:rsidR="00617CB0" w:rsidRPr="00022D33" w:rsidRDefault="00617CB0" w:rsidP="000D7011">
            <w:pPr>
              <w:pStyle w:val="Tabletext"/>
              <w:jc w:val="right"/>
            </w:pPr>
            <w:r w:rsidRPr="00022D33">
              <w:t>-</w:t>
            </w:r>
          </w:p>
        </w:tc>
        <w:tc>
          <w:tcPr>
            <w:tcW w:w="939" w:type="dxa"/>
            <w:tcBorders>
              <w:bottom w:val="double" w:sz="4" w:space="0" w:color="auto"/>
            </w:tcBorders>
            <w:shd w:val="clear" w:color="auto" w:fill="auto"/>
          </w:tcPr>
          <w:p w:rsidR="00617CB0" w:rsidRPr="00022D33" w:rsidRDefault="00617CB0" w:rsidP="000D7011">
            <w:pPr>
              <w:pStyle w:val="Tabletext"/>
              <w:jc w:val="right"/>
            </w:pPr>
            <w:r w:rsidRPr="00022D33">
              <w:t>-</w:t>
            </w:r>
          </w:p>
        </w:tc>
      </w:tr>
      <w:tr w:rsidR="00617CB0" w:rsidRPr="00022D33" w:rsidTr="000D7011">
        <w:tc>
          <w:tcPr>
            <w:tcW w:w="1187" w:type="dxa"/>
            <w:shd w:val="clear" w:color="auto" w:fill="auto"/>
            <w:tcMar>
              <w:left w:w="0" w:type="dxa"/>
            </w:tcMar>
          </w:tcPr>
          <w:p w:rsidR="00617CB0" w:rsidRPr="00022D33" w:rsidRDefault="00617CB0" w:rsidP="000D7011">
            <w:pPr>
              <w:pStyle w:val="Tabletext"/>
            </w:pPr>
          </w:p>
        </w:tc>
        <w:tc>
          <w:tcPr>
            <w:tcW w:w="1008" w:type="dxa"/>
            <w:shd w:val="clear" w:color="auto" w:fill="auto"/>
          </w:tcPr>
          <w:p w:rsidR="00617CB0" w:rsidRPr="00022D33" w:rsidRDefault="00617CB0" w:rsidP="000D7011">
            <w:pPr>
              <w:pStyle w:val="Tabletext"/>
            </w:pPr>
          </w:p>
        </w:tc>
        <w:tc>
          <w:tcPr>
            <w:tcW w:w="1039"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401,771</w:t>
            </w:r>
          </w:p>
        </w:tc>
        <w:tc>
          <w:tcPr>
            <w:tcW w:w="939"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128,316</w:t>
            </w:r>
          </w:p>
        </w:tc>
        <w:tc>
          <w:tcPr>
            <w:tcW w:w="995"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w:t>
            </w:r>
          </w:p>
        </w:tc>
        <w:tc>
          <w:tcPr>
            <w:tcW w:w="939" w:type="dxa"/>
            <w:tcBorders>
              <w:top w:val="single" w:sz="4" w:space="0" w:color="auto"/>
              <w:bottom w:val="double" w:sz="4" w:space="0" w:color="auto"/>
              <w:right w:val="single" w:sz="4" w:space="0" w:color="auto"/>
            </w:tcBorders>
            <w:shd w:val="clear" w:color="auto" w:fill="auto"/>
          </w:tcPr>
          <w:p w:rsidR="00617CB0" w:rsidRPr="00022D33" w:rsidRDefault="00617CB0" w:rsidP="000D7011">
            <w:pPr>
              <w:pStyle w:val="Tableboldedtext"/>
              <w:jc w:val="right"/>
            </w:pPr>
            <w:r w:rsidRPr="00022D33">
              <w:t>273,455</w:t>
            </w:r>
          </w:p>
        </w:tc>
        <w:tc>
          <w:tcPr>
            <w:tcW w:w="1005" w:type="dxa"/>
            <w:tcBorders>
              <w:top w:val="single" w:sz="4" w:space="0" w:color="auto"/>
              <w:left w:val="single" w:sz="4" w:space="0" w:color="auto"/>
              <w:bottom w:val="double" w:sz="4" w:space="0" w:color="auto"/>
              <w:right w:val="single" w:sz="4" w:space="0" w:color="auto"/>
            </w:tcBorders>
            <w:shd w:val="clear" w:color="auto" w:fill="auto"/>
          </w:tcPr>
          <w:p w:rsidR="00617CB0" w:rsidRPr="00022D33" w:rsidRDefault="00617CB0" w:rsidP="000D7011">
            <w:pPr>
              <w:pStyle w:val="Tableboldedtext"/>
              <w:jc w:val="right"/>
            </w:pPr>
            <w:r w:rsidRPr="00022D33">
              <w:t>401,771</w:t>
            </w:r>
          </w:p>
        </w:tc>
        <w:tc>
          <w:tcPr>
            <w:tcW w:w="939" w:type="dxa"/>
            <w:tcBorders>
              <w:top w:val="single" w:sz="4" w:space="0" w:color="auto"/>
              <w:left w:val="single" w:sz="4" w:space="0" w:color="auto"/>
              <w:bottom w:val="double" w:sz="4" w:space="0" w:color="auto"/>
            </w:tcBorders>
            <w:shd w:val="clear" w:color="auto" w:fill="auto"/>
          </w:tcPr>
          <w:p w:rsidR="00617CB0" w:rsidRPr="00022D33" w:rsidRDefault="00617CB0" w:rsidP="000D7011">
            <w:pPr>
              <w:pStyle w:val="Tableboldedtext"/>
              <w:jc w:val="right"/>
            </w:pPr>
            <w:r w:rsidRPr="00022D33">
              <w:t>2</w:t>
            </w:r>
            <w:r>
              <w:t>75</w:t>
            </w:r>
            <w:r w:rsidRPr="00022D33">
              <w:t>,902</w:t>
            </w:r>
          </w:p>
        </w:tc>
        <w:tc>
          <w:tcPr>
            <w:tcW w:w="939"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5,049</w:t>
            </w:r>
          </w:p>
        </w:tc>
        <w:tc>
          <w:tcPr>
            <w:tcW w:w="939"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23,426</w:t>
            </w:r>
          </w:p>
        </w:tc>
        <w:tc>
          <w:tcPr>
            <w:tcW w:w="950"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74,153</w:t>
            </w:r>
          </w:p>
        </w:tc>
        <w:tc>
          <w:tcPr>
            <w:tcW w:w="939"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23,866</w:t>
            </w:r>
          </w:p>
        </w:tc>
      </w:tr>
    </w:tbl>
    <w:p w:rsidR="00617CB0" w:rsidRPr="00022D33" w:rsidRDefault="00617CB0" w:rsidP="00617CB0">
      <w:pPr>
        <w:pStyle w:val="BodyText"/>
        <w:numPr>
          <w:ilvl w:val="0"/>
          <w:numId w:val="18"/>
        </w:numPr>
        <w:rPr>
          <w:sz w:val="20"/>
          <w:szCs w:val="20"/>
        </w:rPr>
      </w:pPr>
      <w:r w:rsidRPr="00022D33">
        <w:rPr>
          <w:sz w:val="20"/>
          <w:szCs w:val="20"/>
        </w:rPr>
        <w:t>The amount of receivables excludes the GST recoverable from the ATO (statutory receivable).</w:t>
      </w:r>
    </w:p>
    <w:p w:rsidR="00617CB0" w:rsidRPr="00022D33" w:rsidRDefault="00617CB0" w:rsidP="00617CB0">
      <w:pPr>
        <w:pStyle w:val="Caption"/>
        <w:keepNext/>
        <w:spacing w:after="60"/>
      </w:pPr>
      <w:r w:rsidRPr="00022D33">
        <w:br w:type="page"/>
      </w:r>
      <w:fldSimple w:instr=" SEQ Table \* ARABIC ">
        <w:r w:rsidR="00D8778B">
          <w:rPr>
            <w:noProof/>
          </w:rPr>
          <w:t>59</w:t>
        </w:r>
      </w:fldSimple>
      <w:r w:rsidRPr="00022D33">
        <w:t xml:space="preserve"> Liquidity and risk and interest rate exposure (continued)</w:t>
      </w:r>
    </w:p>
    <w:tbl>
      <w:tblPr>
        <w:tblW w:w="11866" w:type="dxa"/>
        <w:tblInd w:w="-1362" w:type="dxa"/>
        <w:tblLook w:val="04A0" w:firstRow="1" w:lastRow="0" w:firstColumn="1" w:lastColumn="0" w:noHBand="0" w:noVBand="1"/>
      </w:tblPr>
      <w:tblGrid>
        <w:gridCol w:w="1243"/>
        <w:gridCol w:w="1008"/>
        <w:gridCol w:w="1039"/>
        <w:gridCol w:w="939"/>
        <w:gridCol w:w="995"/>
        <w:gridCol w:w="939"/>
        <w:gridCol w:w="1005"/>
        <w:gridCol w:w="939"/>
        <w:gridCol w:w="939"/>
        <w:gridCol w:w="939"/>
        <w:gridCol w:w="942"/>
        <w:gridCol w:w="939"/>
      </w:tblGrid>
      <w:tr w:rsidR="00617CB0" w:rsidRPr="00022D33" w:rsidTr="000D7011">
        <w:tc>
          <w:tcPr>
            <w:tcW w:w="1243" w:type="dxa"/>
            <w:shd w:val="clear" w:color="auto" w:fill="auto"/>
            <w:tcMar>
              <w:left w:w="0" w:type="dxa"/>
            </w:tcMar>
          </w:tcPr>
          <w:p w:rsidR="00617CB0" w:rsidRPr="00022D33" w:rsidRDefault="00617CB0" w:rsidP="000D7011">
            <w:pPr>
              <w:pStyle w:val="BodyText"/>
            </w:pPr>
          </w:p>
        </w:tc>
        <w:tc>
          <w:tcPr>
            <w:tcW w:w="1008" w:type="dxa"/>
            <w:shd w:val="clear" w:color="auto" w:fill="auto"/>
            <w:tcMar>
              <w:left w:w="0" w:type="dxa"/>
            </w:tcMar>
          </w:tcPr>
          <w:p w:rsidR="00617CB0" w:rsidRPr="00022D33" w:rsidRDefault="00617CB0" w:rsidP="000D7011">
            <w:pPr>
              <w:pStyle w:val="Tableboldedtext"/>
              <w:jc w:val="right"/>
            </w:pPr>
          </w:p>
        </w:tc>
        <w:tc>
          <w:tcPr>
            <w:tcW w:w="3912" w:type="dxa"/>
            <w:gridSpan w:val="4"/>
            <w:tcBorders>
              <w:bottom w:val="dashSmallGap" w:sz="4" w:space="0" w:color="auto"/>
              <w:right w:val="single" w:sz="4" w:space="0" w:color="auto"/>
            </w:tcBorders>
            <w:shd w:val="clear" w:color="auto" w:fill="auto"/>
          </w:tcPr>
          <w:p w:rsidR="00617CB0" w:rsidRPr="00022D33" w:rsidRDefault="00617CB0" w:rsidP="000D7011">
            <w:pPr>
              <w:pStyle w:val="Tableboldedtext"/>
              <w:jc w:val="center"/>
            </w:pPr>
            <w:r w:rsidRPr="00022D33">
              <w:t>Interest rate exposure</w:t>
            </w:r>
          </w:p>
        </w:tc>
        <w:tc>
          <w:tcPr>
            <w:tcW w:w="1005" w:type="dxa"/>
            <w:tcBorders>
              <w:left w:val="single" w:sz="4" w:space="0" w:color="auto"/>
              <w:right w:val="single" w:sz="4" w:space="0" w:color="auto"/>
            </w:tcBorders>
            <w:shd w:val="clear" w:color="auto" w:fill="auto"/>
          </w:tcPr>
          <w:p w:rsidR="00617CB0" w:rsidRPr="00022D33" w:rsidRDefault="00617CB0" w:rsidP="000D7011">
            <w:pPr>
              <w:pStyle w:val="Tableboldedtext"/>
              <w:jc w:val="right"/>
            </w:pPr>
          </w:p>
        </w:tc>
        <w:tc>
          <w:tcPr>
            <w:tcW w:w="4698" w:type="dxa"/>
            <w:gridSpan w:val="5"/>
            <w:tcBorders>
              <w:left w:val="single" w:sz="4" w:space="0" w:color="auto"/>
              <w:bottom w:val="dashSmallGap" w:sz="4" w:space="0" w:color="auto"/>
            </w:tcBorders>
            <w:shd w:val="clear" w:color="auto" w:fill="auto"/>
          </w:tcPr>
          <w:p w:rsidR="00617CB0" w:rsidRPr="00022D33" w:rsidRDefault="00617CB0" w:rsidP="000D7011">
            <w:pPr>
              <w:pStyle w:val="Tableboldedtext"/>
              <w:jc w:val="center"/>
            </w:pPr>
            <w:r w:rsidRPr="00022D33">
              <w:t>Maturity dates</w:t>
            </w:r>
          </w:p>
        </w:tc>
      </w:tr>
      <w:tr w:rsidR="00617CB0" w:rsidRPr="00022D33" w:rsidTr="000D7011">
        <w:tc>
          <w:tcPr>
            <w:tcW w:w="1243" w:type="dxa"/>
            <w:shd w:val="clear" w:color="auto" w:fill="auto"/>
            <w:tcMar>
              <w:left w:w="0" w:type="dxa"/>
            </w:tcMar>
          </w:tcPr>
          <w:p w:rsidR="00617CB0" w:rsidRPr="00022D33" w:rsidRDefault="00617CB0" w:rsidP="000D7011">
            <w:pPr>
              <w:pStyle w:val="BodyText"/>
            </w:pPr>
          </w:p>
        </w:tc>
        <w:tc>
          <w:tcPr>
            <w:tcW w:w="1008" w:type="dxa"/>
            <w:shd w:val="clear" w:color="auto" w:fill="auto"/>
            <w:tcMar>
              <w:left w:w="0" w:type="dxa"/>
            </w:tcMar>
          </w:tcPr>
          <w:p w:rsidR="00617CB0" w:rsidRPr="00022D33" w:rsidRDefault="00617CB0" w:rsidP="000D7011">
            <w:pPr>
              <w:pStyle w:val="Tableboldedtext"/>
              <w:jc w:val="right"/>
            </w:pPr>
            <w:r w:rsidRPr="00022D33">
              <w:t>Weighted average effective interest rate %</w:t>
            </w:r>
          </w:p>
        </w:tc>
        <w:tc>
          <w:tcPr>
            <w:tcW w:w="1039" w:type="dxa"/>
            <w:tcBorders>
              <w:top w:val="dashSmallGap" w:sz="4" w:space="0" w:color="auto"/>
            </w:tcBorders>
            <w:shd w:val="clear" w:color="auto" w:fill="auto"/>
          </w:tcPr>
          <w:p w:rsidR="00617CB0" w:rsidRPr="00022D33" w:rsidRDefault="00617CB0" w:rsidP="000D7011">
            <w:pPr>
              <w:pStyle w:val="Tableboldedtext"/>
              <w:jc w:val="right"/>
            </w:pPr>
            <w:r w:rsidRPr="00022D33">
              <w:t>Carrying amount $000</w:t>
            </w:r>
          </w:p>
        </w:tc>
        <w:tc>
          <w:tcPr>
            <w:tcW w:w="939" w:type="dxa"/>
            <w:tcBorders>
              <w:top w:val="dashSmallGap" w:sz="4" w:space="0" w:color="auto"/>
            </w:tcBorders>
            <w:shd w:val="clear" w:color="auto" w:fill="auto"/>
          </w:tcPr>
          <w:p w:rsidR="00617CB0" w:rsidRPr="00022D33" w:rsidRDefault="00617CB0" w:rsidP="000D7011">
            <w:pPr>
              <w:pStyle w:val="Tableboldedtext"/>
              <w:jc w:val="right"/>
            </w:pPr>
            <w:r w:rsidRPr="00022D33">
              <w:t>Fixed interest rate $000</w:t>
            </w:r>
          </w:p>
        </w:tc>
        <w:tc>
          <w:tcPr>
            <w:tcW w:w="995" w:type="dxa"/>
            <w:tcBorders>
              <w:top w:val="dashSmallGap" w:sz="4" w:space="0" w:color="auto"/>
            </w:tcBorders>
            <w:shd w:val="clear" w:color="auto" w:fill="auto"/>
          </w:tcPr>
          <w:p w:rsidR="00617CB0" w:rsidRPr="00022D33" w:rsidRDefault="00617CB0" w:rsidP="000D7011">
            <w:pPr>
              <w:pStyle w:val="Tableboldedtext"/>
              <w:jc w:val="right"/>
            </w:pPr>
            <w:r w:rsidRPr="00022D33">
              <w:t>Variable interest rate $000</w:t>
            </w:r>
          </w:p>
        </w:tc>
        <w:tc>
          <w:tcPr>
            <w:tcW w:w="939" w:type="dxa"/>
            <w:tcBorders>
              <w:top w:val="dashSmallGap" w:sz="4" w:space="0" w:color="auto"/>
              <w:right w:val="single" w:sz="4" w:space="0" w:color="auto"/>
            </w:tcBorders>
            <w:shd w:val="clear" w:color="auto" w:fill="auto"/>
          </w:tcPr>
          <w:p w:rsidR="00617CB0" w:rsidRPr="00022D33" w:rsidRDefault="00617CB0" w:rsidP="000D7011">
            <w:pPr>
              <w:pStyle w:val="Tableboldedtext"/>
              <w:jc w:val="right"/>
            </w:pPr>
            <w:r w:rsidRPr="00022D33">
              <w:t>Non-interest bearing $000</w:t>
            </w:r>
          </w:p>
        </w:tc>
        <w:tc>
          <w:tcPr>
            <w:tcW w:w="1005" w:type="dxa"/>
            <w:tcBorders>
              <w:left w:val="single" w:sz="4" w:space="0" w:color="auto"/>
              <w:right w:val="single" w:sz="4" w:space="0" w:color="auto"/>
            </w:tcBorders>
            <w:shd w:val="clear" w:color="auto" w:fill="auto"/>
          </w:tcPr>
          <w:p w:rsidR="00617CB0" w:rsidRPr="00022D33" w:rsidRDefault="00617CB0" w:rsidP="000D7011">
            <w:pPr>
              <w:pStyle w:val="Tableboldedtext"/>
              <w:jc w:val="right"/>
            </w:pPr>
            <w:r w:rsidRPr="00022D33">
              <w:t>Nominal amount $000</w:t>
            </w:r>
          </w:p>
        </w:tc>
        <w:tc>
          <w:tcPr>
            <w:tcW w:w="939" w:type="dxa"/>
            <w:tcBorders>
              <w:top w:val="dashSmallGap" w:sz="4" w:space="0" w:color="auto"/>
              <w:left w:val="single" w:sz="4" w:space="0" w:color="auto"/>
            </w:tcBorders>
            <w:shd w:val="clear" w:color="auto" w:fill="auto"/>
          </w:tcPr>
          <w:p w:rsidR="00617CB0" w:rsidRPr="00022D33" w:rsidRDefault="00617CB0" w:rsidP="000D7011">
            <w:pPr>
              <w:pStyle w:val="Tableboldedtext"/>
              <w:jc w:val="right"/>
            </w:pPr>
            <w:r w:rsidRPr="00022D33">
              <w:rPr>
                <w:bCs/>
              </w:rPr>
              <w:t>Up</w:t>
            </w:r>
            <w:r w:rsidRPr="00022D33">
              <w:rPr>
                <w:bCs/>
                <w:spacing w:val="-15"/>
              </w:rPr>
              <w:t xml:space="preserve"> </w:t>
            </w:r>
            <w:r w:rsidRPr="00022D33">
              <w:rPr>
                <w:bCs/>
                <w:spacing w:val="-2"/>
              </w:rPr>
              <w:t>to</w:t>
            </w:r>
            <w:r w:rsidRPr="00022D33">
              <w:rPr>
                <w:bCs/>
                <w:spacing w:val="-15"/>
              </w:rPr>
              <w:t xml:space="preserve"> </w:t>
            </w:r>
            <w:r w:rsidRPr="00022D33">
              <w:rPr>
                <w:bCs/>
              </w:rPr>
              <w:t>1</w:t>
            </w:r>
            <w:r w:rsidRPr="00022D33">
              <w:rPr>
                <w:bCs/>
                <w:spacing w:val="21"/>
                <w:w w:val="95"/>
              </w:rPr>
              <w:t xml:space="preserve"> </w:t>
            </w:r>
            <w:r w:rsidRPr="00022D33">
              <w:rPr>
                <w:bCs/>
                <w:spacing w:val="-1"/>
                <w:w w:val="95"/>
              </w:rPr>
              <w:t xml:space="preserve">month </w:t>
            </w:r>
            <w:r w:rsidRPr="00022D33">
              <w:rPr>
                <w:bCs/>
              </w:rPr>
              <w:t>$000</w:t>
            </w:r>
          </w:p>
        </w:tc>
        <w:tc>
          <w:tcPr>
            <w:tcW w:w="939" w:type="dxa"/>
            <w:tcBorders>
              <w:top w:val="dashSmallGap" w:sz="4" w:space="0" w:color="auto"/>
            </w:tcBorders>
            <w:shd w:val="clear" w:color="auto" w:fill="auto"/>
          </w:tcPr>
          <w:p w:rsidR="00617CB0" w:rsidRPr="00022D33" w:rsidRDefault="00617CB0" w:rsidP="000D7011">
            <w:pPr>
              <w:pStyle w:val="Tableboldedtext"/>
              <w:jc w:val="right"/>
            </w:pPr>
            <w:r w:rsidRPr="00022D33">
              <w:t>1-3 months $000</w:t>
            </w:r>
          </w:p>
        </w:tc>
        <w:tc>
          <w:tcPr>
            <w:tcW w:w="939" w:type="dxa"/>
            <w:tcBorders>
              <w:top w:val="dashSmallGap" w:sz="4" w:space="0" w:color="auto"/>
            </w:tcBorders>
            <w:shd w:val="clear" w:color="auto" w:fill="auto"/>
          </w:tcPr>
          <w:p w:rsidR="00617CB0" w:rsidRPr="00022D33" w:rsidRDefault="00617CB0" w:rsidP="000D7011">
            <w:pPr>
              <w:pStyle w:val="Tableboldedtext"/>
              <w:jc w:val="right"/>
            </w:pPr>
            <w:r w:rsidRPr="00022D33">
              <w:t>3 months to 1 year $000</w:t>
            </w:r>
          </w:p>
        </w:tc>
        <w:tc>
          <w:tcPr>
            <w:tcW w:w="942" w:type="dxa"/>
            <w:tcBorders>
              <w:top w:val="dashSmallGap" w:sz="4" w:space="0" w:color="auto"/>
            </w:tcBorders>
            <w:shd w:val="clear" w:color="auto" w:fill="auto"/>
          </w:tcPr>
          <w:p w:rsidR="00617CB0" w:rsidRPr="00022D33" w:rsidRDefault="00617CB0" w:rsidP="000D7011">
            <w:pPr>
              <w:pStyle w:val="Tableboldedtext"/>
              <w:jc w:val="right"/>
            </w:pPr>
            <w:r w:rsidRPr="00022D33">
              <w:t>1-5 years $000</w:t>
            </w:r>
          </w:p>
        </w:tc>
        <w:tc>
          <w:tcPr>
            <w:tcW w:w="939" w:type="dxa"/>
            <w:tcBorders>
              <w:top w:val="dashSmallGap" w:sz="4" w:space="0" w:color="auto"/>
            </w:tcBorders>
            <w:shd w:val="clear" w:color="auto" w:fill="auto"/>
          </w:tcPr>
          <w:p w:rsidR="00617CB0" w:rsidRPr="00022D33" w:rsidRDefault="00617CB0" w:rsidP="000D7011">
            <w:pPr>
              <w:pStyle w:val="Tableboldedtext"/>
              <w:jc w:val="right"/>
            </w:pPr>
            <w:r w:rsidRPr="00022D33">
              <w:t>More than 5 years $000</w:t>
            </w:r>
          </w:p>
        </w:tc>
      </w:tr>
      <w:tr w:rsidR="00617CB0" w:rsidRPr="00022D33" w:rsidTr="000D7011">
        <w:tc>
          <w:tcPr>
            <w:tcW w:w="11866" w:type="dxa"/>
            <w:gridSpan w:val="12"/>
            <w:shd w:val="clear" w:color="auto" w:fill="auto"/>
            <w:tcMar>
              <w:left w:w="0" w:type="dxa"/>
            </w:tcMar>
          </w:tcPr>
          <w:p w:rsidR="00617CB0" w:rsidRPr="00022D33" w:rsidRDefault="00617CB0" w:rsidP="000D7011">
            <w:pPr>
              <w:pStyle w:val="Tabletext"/>
              <w:rPr>
                <w:b/>
              </w:rPr>
            </w:pPr>
            <w:r w:rsidRPr="00022D33">
              <w:rPr>
                <w:b/>
              </w:rPr>
              <w:t>2015</w:t>
            </w:r>
          </w:p>
        </w:tc>
      </w:tr>
      <w:tr w:rsidR="00617CB0" w:rsidRPr="00022D33" w:rsidTr="000D7011">
        <w:tc>
          <w:tcPr>
            <w:tcW w:w="11866" w:type="dxa"/>
            <w:gridSpan w:val="12"/>
            <w:shd w:val="clear" w:color="auto" w:fill="auto"/>
            <w:tcMar>
              <w:left w:w="0" w:type="dxa"/>
            </w:tcMar>
          </w:tcPr>
          <w:p w:rsidR="00617CB0" w:rsidRPr="00022D33" w:rsidRDefault="00617CB0" w:rsidP="000D7011">
            <w:pPr>
              <w:pStyle w:val="Tabletext"/>
              <w:rPr>
                <w:u w:val="single"/>
              </w:rPr>
            </w:pPr>
            <w:r w:rsidRPr="00022D33">
              <w:rPr>
                <w:u w:val="single"/>
              </w:rPr>
              <w:t>Financial assets</w:t>
            </w:r>
          </w:p>
        </w:tc>
      </w:tr>
      <w:tr w:rsidR="00617CB0" w:rsidRPr="00022D33" w:rsidTr="000D7011">
        <w:tc>
          <w:tcPr>
            <w:tcW w:w="1243" w:type="dxa"/>
            <w:shd w:val="clear" w:color="auto" w:fill="auto"/>
            <w:tcMar>
              <w:left w:w="0" w:type="dxa"/>
            </w:tcMar>
          </w:tcPr>
          <w:p w:rsidR="00617CB0" w:rsidRPr="00022D33" w:rsidRDefault="00617CB0" w:rsidP="000D7011">
            <w:pPr>
              <w:pStyle w:val="Tabletext"/>
            </w:pPr>
            <w:r w:rsidRPr="00022D33">
              <w:t>Cash and cash equivalents</w:t>
            </w:r>
          </w:p>
        </w:tc>
        <w:tc>
          <w:tcPr>
            <w:tcW w:w="1008" w:type="dxa"/>
            <w:shd w:val="clear" w:color="auto" w:fill="auto"/>
          </w:tcPr>
          <w:p w:rsidR="00617CB0" w:rsidRPr="00022D33" w:rsidRDefault="00617CB0" w:rsidP="000D7011">
            <w:pPr>
              <w:pStyle w:val="Tabletext"/>
              <w:jc w:val="right"/>
            </w:pPr>
            <w:r w:rsidRPr="00022D33">
              <w:t>2.70</w:t>
            </w:r>
          </w:p>
        </w:tc>
        <w:tc>
          <w:tcPr>
            <w:tcW w:w="1039" w:type="dxa"/>
            <w:shd w:val="clear" w:color="auto" w:fill="auto"/>
          </w:tcPr>
          <w:p w:rsidR="00617CB0" w:rsidRPr="00022D33" w:rsidRDefault="00617CB0" w:rsidP="000D7011">
            <w:pPr>
              <w:pStyle w:val="Tabletext"/>
              <w:jc w:val="right"/>
            </w:pPr>
            <w:r w:rsidRPr="00022D33">
              <w:t>58,905</w:t>
            </w:r>
          </w:p>
        </w:tc>
        <w:tc>
          <w:tcPr>
            <w:tcW w:w="939" w:type="dxa"/>
            <w:shd w:val="clear" w:color="auto" w:fill="auto"/>
          </w:tcPr>
          <w:p w:rsidR="00617CB0" w:rsidRPr="00022D33" w:rsidRDefault="00617CB0" w:rsidP="000D7011">
            <w:pPr>
              <w:pStyle w:val="Tabletext"/>
              <w:jc w:val="right"/>
            </w:pPr>
            <w:r w:rsidRPr="00022D33">
              <w:t>-</w:t>
            </w:r>
          </w:p>
        </w:tc>
        <w:tc>
          <w:tcPr>
            <w:tcW w:w="995" w:type="dxa"/>
            <w:shd w:val="clear" w:color="auto" w:fill="auto"/>
          </w:tcPr>
          <w:p w:rsidR="00617CB0" w:rsidRPr="00022D33" w:rsidRDefault="00617CB0" w:rsidP="000D7011">
            <w:pPr>
              <w:pStyle w:val="Tabletext"/>
              <w:jc w:val="right"/>
            </w:pPr>
            <w:r w:rsidRPr="00022D33">
              <w:t>6,405</w:t>
            </w:r>
          </w:p>
        </w:tc>
        <w:tc>
          <w:tcPr>
            <w:tcW w:w="939" w:type="dxa"/>
            <w:tcBorders>
              <w:right w:val="single" w:sz="4" w:space="0" w:color="auto"/>
            </w:tcBorders>
            <w:shd w:val="clear" w:color="auto" w:fill="auto"/>
          </w:tcPr>
          <w:p w:rsidR="00617CB0" w:rsidRPr="00022D33" w:rsidRDefault="00617CB0" w:rsidP="000D7011">
            <w:pPr>
              <w:pStyle w:val="Tabletext"/>
              <w:jc w:val="right"/>
            </w:pPr>
            <w:r w:rsidRPr="00022D33">
              <w:t>52,500</w:t>
            </w:r>
          </w:p>
        </w:tc>
        <w:tc>
          <w:tcPr>
            <w:tcW w:w="1005" w:type="dxa"/>
            <w:tcBorders>
              <w:left w:val="single" w:sz="4" w:space="0" w:color="auto"/>
              <w:right w:val="single" w:sz="4" w:space="0" w:color="auto"/>
            </w:tcBorders>
            <w:shd w:val="clear" w:color="auto" w:fill="auto"/>
          </w:tcPr>
          <w:p w:rsidR="00617CB0" w:rsidRPr="00022D33" w:rsidRDefault="00617CB0" w:rsidP="000D7011">
            <w:pPr>
              <w:pStyle w:val="Tabletext"/>
              <w:jc w:val="right"/>
            </w:pPr>
            <w:r w:rsidRPr="00022D33">
              <w:t>58,905</w:t>
            </w:r>
          </w:p>
        </w:tc>
        <w:tc>
          <w:tcPr>
            <w:tcW w:w="939" w:type="dxa"/>
            <w:tcBorders>
              <w:left w:val="single" w:sz="4" w:space="0" w:color="auto"/>
            </w:tcBorders>
            <w:shd w:val="clear" w:color="auto" w:fill="auto"/>
          </w:tcPr>
          <w:p w:rsidR="00617CB0" w:rsidRPr="00022D33" w:rsidRDefault="00617CB0" w:rsidP="000D7011">
            <w:pPr>
              <w:pStyle w:val="Tabletext"/>
              <w:jc w:val="right"/>
            </w:pPr>
            <w:r w:rsidRPr="00022D33">
              <w:t>58,905</w:t>
            </w:r>
          </w:p>
        </w:tc>
        <w:tc>
          <w:tcPr>
            <w:tcW w:w="939" w:type="dxa"/>
            <w:shd w:val="clear" w:color="auto" w:fill="auto"/>
          </w:tcPr>
          <w:p w:rsidR="00617CB0" w:rsidRPr="00022D33" w:rsidRDefault="00617CB0" w:rsidP="000D7011">
            <w:pPr>
              <w:pStyle w:val="Tabletext"/>
              <w:jc w:val="right"/>
            </w:pPr>
            <w:r w:rsidRPr="00022D33">
              <w:t>-</w:t>
            </w:r>
          </w:p>
        </w:tc>
        <w:tc>
          <w:tcPr>
            <w:tcW w:w="939" w:type="dxa"/>
            <w:shd w:val="clear" w:color="auto" w:fill="auto"/>
          </w:tcPr>
          <w:p w:rsidR="00617CB0" w:rsidRPr="00022D33" w:rsidRDefault="00617CB0" w:rsidP="000D7011">
            <w:pPr>
              <w:pStyle w:val="Tabletext"/>
              <w:jc w:val="right"/>
            </w:pPr>
            <w:r w:rsidRPr="00022D33">
              <w:t>-</w:t>
            </w:r>
          </w:p>
        </w:tc>
        <w:tc>
          <w:tcPr>
            <w:tcW w:w="942" w:type="dxa"/>
            <w:shd w:val="clear" w:color="auto" w:fill="auto"/>
          </w:tcPr>
          <w:p w:rsidR="00617CB0" w:rsidRPr="00022D33" w:rsidRDefault="00617CB0" w:rsidP="000D7011">
            <w:pPr>
              <w:pStyle w:val="Tabletext"/>
              <w:jc w:val="right"/>
            </w:pPr>
            <w:r w:rsidRPr="00022D33">
              <w:t>-</w:t>
            </w:r>
          </w:p>
        </w:tc>
        <w:tc>
          <w:tcPr>
            <w:tcW w:w="939" w:type="dxa"/>
            <w:shd w:val="clear" w:color="auto" w:fill="auto"/>
          </w:tcPr>
          <w:p w:rsidR="00617CB0" w:rsidRPr="00022D33" w:rsidRDefault="00617CB0" w:rsidP="000D7011">
            <w:pPr>
              <w:pStyle w:val="Tabletext"/>
              <w:jc w:val="right"/>
            </w:pPr>
            <w:r w:rsidRPr="00022D33">
              <w:t>-</w:t>
            </w:r>
          </w:p>
        </w:tc>
      </w:tr>
      <w:tr w:rsidR="00617CB0" w:rsidRPr="00022D33" w:rsidTr="000D7011">
        <w:tc>
          <w:tcPr>
            <w:tcW w:w="1243" w:type="dxa"/>
            <w:shd w:val="clear" w:color="auto" w:fill="auto"/>
            <w:tcMar>
              <w:left w:w="0" w:type="dxa"/>
            </w:tcMar>
          </w:tcPr>
          <w:p w:rsidR="00617CB0" w:rsidRPr="00022D33" w:rsidRDefault="00617CB0" w:rsidP="000D7011">
            <w:pPr>
              <w:pStyle w:val="Tabletext"/>
            </w:pPr>
            <w:r w:rsidRPr="00022D33">
              <w:t>Restricted cash and cash</w:t>
            </w:r>
          </w:p>
        </w:tc>
        <w:tc>
          <w:tcPr>
            <w:tcW w:w="1008" w:type="dxa"/>
            <w:shd w:val="clear" w:color="auto" w:fill="auto"/>
          </w:tcPr>
          <w:p w:rsidR="00617CB0" w:rsidRPr="00022D33" w:rsidRDefault="00617CB0" w:rsidP="000D7011">
            <w:pPr>
              <w:pStyle w:val="Tabletext"/>
              <w:jc w:val="right"/>
            </w:pPr>
            <w:r w:rsidRPr="00022D33">
              <w:t>-</w:t>
            </w:r>
          </w:p>
        </w:tc>
        <w:tc>
          <w:tcPr>
            <w:tcW w:w="1039" w:type="dxa"/>
            <w:shd w:val="clear" w:color="auto" w:fill="auto"/>
          </w:tcPr>
          <w:p w:rsidR="00617CB0" w:rsidRPr="00022D33" w:rsidRDefault="00617CB0" w:rsidP="000D7011">
            <w:pPr>
              <w:pStyle w:val="Tabletext"/>
              <w:jc w:val="right"/>
            </w:pPr>
            <w:r w:rsidRPr="00022D33">
              <w:t>14,887</w:t>
            </w:r>
          </w:p>
        </w:tc>
        <w:tc>
          <w:tcPr>
            <w:tcW w:w="939" w:type="dxa"/>
            <w:shd w:val="clear" w:color="auto" w:fill="auto"/>
          </w:tcPr>
          <w:p w:rsidR="00617CB0" w:rsidRPr="00022D33" w:rsidRDefault="00617CB0" w:rsidP="000D7011">
            <w:pPr>
              <w:pStyle w:val="Tabletext"/>
              <w:jc w:val="right"/>
            </w:pPr>
            <w:r w:rsidRPr="00022D33">
              <w:t>-</w:t>
            </w:r>
          </w:p>
        </w:tc>
        <w:tc>
          <w:tcPr>
            <w:tcW w:w="995" w:type="dxa"/>
            <w:shd w:val="clear" w:color="auto" w:fill="auto"/>
          </w:tcPr>
          <w:p w:rsidR="00617CB0" w:rsidRPr="00022D33" w:rsidRDefault="00617CB0" w:rsidP="000D7011">
            <w:pPr>
              <w:pStyle w:val="Tabletext"/>
              <w:jc w:val="right"/>
            </w:pPr>
            <w:r w:rsidRPr="00022D33">
              <w:t>-</w:t>
            </w:r>
          </w:p>
        </w:tc>
        <w:tc>
          <w:tcPr>
            <w:tcW w:w="939" w:type="dxa"/>
            <w:tcBorders>
              <w:right w:val="single" w:sz="4" w:space="0" w:color="auto"/>
            </w:tcBorders>
            <w:shd w:val="clear" w:color="auto" w:fill="auto"/>
          </w:tcPr>
          <w:p w:rsidR="00617CB0" w:rsidRPr="00022D33" w:rsidRDefault="00617CB0" w:rsidP="000D7011">
            <w:pPr>
              <w:pStyle w:val="Tabletext"/>
              <w:jc w:val="right"/>
            </w:pPr>
            <w:r w:rsidRPr="00022D33">
              <w:t>14,887</w:t>
            </w:r>
          </w:p>
        </w:tc>
        <w:tc>
          <w:tcPr>
            <w:tcW w:w="1005" w:type="dxa"/>
            <w:tcBorders>
              <w:left w:val="single" w:sz="4" w:space="0" w:color="auto"/>
              <w:right w:val="single" w:sz="4" w:space="0" w:color="auto"/>
            </w:tcBorders>
            <w:shd w:val="clear" w:color="auto" w:fill="auto"/>
          </w:tcPr>
          <w:p w:rsidR="00617CB0" w:rsidRPr="00022D33" w:rsidRDefault="00617CB0" w:rsidP="000D7011">
            <w:pPr>
              <w:pStyle w:val="Tabletext"/>
              <w:jc w:val="right"/>
            </w:pPr>
            <w:r w:rsidRPr="00022D33">
              <w:t>14,887</w:t>
            </w:r>
          </w:p>
        </w:tc>
        <w:tc>
          <w:tcPr>
            <w:tcW w:w="939" w:type="dxa"/>
            <w:tcBorders>
              <w:left w:val="single" w:sz="4" w:space="0" w:color="auto"/>
            </w:tcBorders>
            <w:shd w:val="clear" w:color="auto" w:fill="auto"/>
          </w:tcPr>
          <w:p w:rsidR="00617CB0" w:rsidRPr="00022D33" w:rsidRDefault="00617CB0" w:rsidP="000D7011">
            <w:pPr>
              <w:pStyle w:val="Tabletext"/>
              <w:jc w:val="right"/>
            </w:pPr>
            <w:r w:rsidRPr="00022D33">
              <w:t>-</w:t>
            </w:r>
          </w:p>
        </w:tc>
        <w:tc>
          <w:tcPr>
            <w:tcW w:w="939" w:type="dxa"/>
            <w:shd w:val="clear" w:color="auto" w:fill="auto"/>
          </w:tcPr>
          <w:p w:rsidR="00617CB0" w:rsidRPr="00022D33" w:rsidRDefault="00617CB0" w:rsidP="000D7011">
            <w:pPr>
              <w:pStyle w:val="Tabletext"/>
              <w:jc w:val="right"/>
            </w:pPr>
            <w:r w:rsidRPr="00022D33">
              <w:t>-</w:t>
            </w:r>
          </w:p>
        </w:tc>
        <w:tc>
          <w:tcPr>
            <w:tcW w:w="939" w:type="dxa"/>
            <w:shd w:val="clear" w:color="auto" w:fill="auto"/>
          </w:tcPr>
          <w:p w:rsidR="00617CB0" w:rsidRPr="00022D33" w:rsidRDefault="00617CB0" w:rsidP="000D7011">
            <w:pPr>
              <w:pStyle w:val="Tabletext"/>
              <w:jc w:val="right"/>
            </w:pPr>
            <w:r w:rsidRPr="00022D33">
              <w:t>4,801</w:t>
            </w:r>
          </w:p>
        </w:tc>
        <w:tc>
          <w:tcPr>
            <w:tcW w:w="942" w:type="dxa"/>
            <w:shd w:val="clear" w:color="auto" w:fill="auto"/>
          </w:tcPr>
          <w:p w:rsidR="00617CB0" w:rsidRPr="00022D33" w:rsidRDefault="00617CB0" w:rsidP="000D7011">
            <w:pPr>
              <w:pStyle w:val="Tabletext"/>
              <w:jc w:val="right"/>
            </w:pPr>
            <w:r w:rsidRPr="00022D33">
              <w:t>10,086</w:t>
            </w:r>
          </w:p>
        </w:tc>
        <w:tc>
          <w:tcPr>
            <w:tcW w:w="939" w:type="dxa"/>
            <w:shd w:val="clear" w:color="auto" w:fill="auto"/>
          </w:tcPr>
          <w:p w:rsidR="00617CB0" w:rsidRPr="00022D33" w:rsidRDefault="00617CB0" w:rsidP="000D7011">
            <w:pPr>
              <w:pStyle w:val="Tabletext"/>
              <w:jc w:val="right"/>
            </w:pPr>
            <w:r w:rsidRPr="00022D33">
              <w:t>-</w:t>
            </w:r>
          </w:p>
        </w:tc>
      </w:tr>
      <w:tr w:rsidR="00617CB0" w:rsidRPr="00022D33" w:rsidTr="000D7011">
        <w:tc>
          <w:tcPr>
            <w:tcW w:w="1243" w:type="dxa"/>
            <w:shd w:val="clear" w:color="auto" w:fill="auto"/>
            <w:tcMar>
              <w:left w:w="0" w:type="dxa"/>
            </w:tcMar>
          </w:tcPr>
          <w:p w:rsidR="00617CB0" w:rsidRPr="00022D33" w:rsidRDefault="00617CB0" w:rsidP="000D7011">
            <w:pPr>
              <w:pStyle w:val="Tabletext"/>
            </w:pPr>
            <w:r w:rsidRPr="00022D33">
              <w:t xml:space="preserve">Receivables </w:t>
            </w:r>
            <w:r w:rsidRPr="00022D33">
              <w:rPr>
                <w:vertAlign w:val="superscript"/>
              </w:rPr>
              <w:t>(a)</w:t>
            </w:r>
          </w:p>
        </w:tc>
        <w:tc>
          <w:tcPr>
            <w:tcW w:w="1008" w:type="dxa"/>
            <w:shd w:val="clear" w:color="auto" w:fill="auto"/>
          </w:tcPr>
          <w:p w:rsidR="00617CB0" w:rsidRPr="00022D33" w:rsidRDefault="00617CB0" w:rsidP="000D7011">
            <w:pPr>
              <w:pStyle w:val="Tabletext"/>
              <w:jc w:val="right"/>
            </w:pPr>
            <w:r w:rsidRPr="00022D33">
              <w:t>-</w:t>
            </w:r>
          </w:p>
        </w:tc>
        <w:tc>
          <w:tcPr>
            <w:tcW w:w="1039" w:type="dxa"/>
            <w:shd w:val="clear" w:color="auto" w:fill="auto"/>
          </w:tcPr>
          <w:p w:rsidR="00617CB0" w:rsidRPr="00022D33" w:rsidRDefault="00617CB0" w:rsidP="000D7011">
            <w:pPr>
              <w:pStyle w:val="Tabletext"/>
              <w:jc w:val="right"/>
            </w:pPr>
            <w:r w:rsidRPr="00022D33">
              <w:t>303,996</w:t>
            </w:r>
          </w:p>
        </w:tc>
        <w:tc>
          <w:tcPr>
            <w:tcW w:w="939" w:type="dxa"/>
            <w:shd w:val="clear" w:color="auto" w:fill="auto"/>
          </w:tcPr>
          <w:p w:rsidR="00617CB0" w:rsidRPr="00022D33" w:rsidRDefault="00617CB0" w:rsidP="000D7011">
            <w:pPr>
              <w:pStyle w:val="Tabletext"/>
              <w:jc w:val="right"/>
            </w:pPr>
            <w:r w:rsidRPr="00022D33">
              <w:t>-</w:t>
            </w:r>
          </w:p>
        </w:tc>
        <w:tc>
          <w:tcPr>
            <w:tcW w:w="995" w:type="dxa"/>
            <w:shd w:val="clear" w:color="auto" w:fill="auto"/>
          </w:tcPr>
          <w:p w:rsidR="00617CB0" w:rsidRPr="00022D33" w:rsidRDefault="00617CB0" w:rsidP="000D7011">
            <w:pPr>
              <w:pStyle w:val="Tabletext"/>
              <w:jc w:val="right"/>
            </w:pPr>
            <w:r w:rsidRPr="00022D33">
              <w:t>-</w:t>
            </w:r>
          </w:p>
        </w:tc>
        <w:tc>
          <w:tcPr>
            <w:tcW w:w="939" w:type="dxa"/>
            <w:tcBorders>
              <w:right w:val="single" w:sz="4" w:space="0" w:color="auto"/>
            </w:tcBorders>
            <w:shd w:val="clear" w:color="auto" w:fill="auto"/>
          </w:tcPr>
          <w:p w:rsidR="00617CB0" w:rsidRPr="00022D33" w:rsidRDefault="00617CB0" w:rsidP="000D7011">
            <w:pPr>
              <w:pStyle w:val="Tabletext"/>
              <w:jc w:val="right"/>
            </w:pPr>
            <w:r w:rsidRPr="00022D33">
              <w:t>303,996</w:t>
            </w:r>
          </w:p>
        </w:tc>
        <w:tc>
          <w:tcPr>
            <w:tcW w:w="1005" w:type="dxa"/>
            <w:tcBorders>
              <w:left w:val="single" w:sz="4" w:space="0" w:color="auto"/>
              <w:right w:val="single" w:sz="4" w:space="0" w:color="auto"/>
            </w:tcBorders>
            <w:shd w:val="clear" w:color="auto" w:fill="auto"/>
          </w:tcPr>
          <w:p w:rsidR="00617CB0" w:rsidRPr="00022D33" w:rsidRDefault="00617CB0" w:rsidP="000D7011">
            <w:pPr>
              <w:pStyle w:val="Tabletext"/>
              <w:jc w:val="right"/>
            </w:pPr>
            <w:r w:rsidRPr="00022D33">
              <w:t>303,996</w:t>
            </w:r>
          </w:p>
        </w:tc>
        <w:tc>
          <w:tcPr>
            <w:tcW w:w="939" w:type="dxa"/>
            <w:tcBorders>
              <w:left w:val="single" w:sz="4" w:space="0" w:color="auto"/>
            </w:tcBorders>
            <w:shd w:val="clear" w:color="auto" w:fill="auto"/>
          </w:tcPr>
          <w:p w:rsidR="00617CB0" w:rsidRPr="00022D33" w:rsidRDefault="00617CB0" w:rsidP="000D7011">
            <w:pPr>
              <w:pStyle w:val="Tabletext"/>
              <w:jc w:val="right"/>
            </w:pPr>
            <w:r w:rsidRPr="00022D33">
              <w:t>303,996</w:t>
            </w:r>
          </w:p>
        </w:tc>
        <w:tc>
          <w:tcPr>
            <w:tcW w:w="939" w:type="dxa"/>
            <w:shd w:val="clear" w:color="auto" w:fill="auto"/>
          </w:tcPr>
          <w:p w:rsidR="00617CB0" w:rsidRPr="00022D33" w:rsidRDefault="00617CB0" w:rsidP="000D7011">
            <w:pPr>
              <w:pStyle w:val="Tabletext"/>
              <w:jc w:val="right"/>
            </w:pPr>
            <w:r w:rsidRPr="00022D33">
              <w:t>-</w:t>
            </w:r>
          </w:p>
        </w:tc>
        <w:tc>
          <w:tcPr>
            <w:tcW w:w="939" w:type="dxa"/>
            <w:shd w:val="clear" w:color="auto" w:fill="auto"/>
          </w:tcPr>
          <w:p w:rsidR="00617CB0" w:rsidRPr="00022D33" w:rsidRDefault="00617CB0" w:rsidP="000D7011">
            <w:pPr>
              <w:pStyle w:val="Tabletext"/>
              <w:jc w:val="right"/>
            </w:pPr>
            <w:r w:rsidRPr="00022D33">
              <w:t>-</w:t>
            </w:r>
          </w:p>
        </w:tc>
        <w:tc>
          <w:tcPr>
            <w:tcW w:w="942" w:type="dxa"/>
            <w:shd w:val="clear" w:color="auto" w:fill="auto"/>
          </w:tcPr>
          <w:p w:rsidR="00617CB0" w:rsidRPr="00022D33" w:rsidRDefault="00617CB0" w:rsidP="000D7011">
            <w:pPr>
              <w:pStyle w:val="Tabletext"/>
              <w:jc w:val="right"/>
            </w:pPr>
            <w:r w:rsidRPr="00022D33">
              <w:t>-</w:t>
            </w:r>
          </w:p>
        </w:tc>
        <w:tc>
          <w:tcPr>
            <w:tcW w:w="939" w:type="dxa"/>
            <w:shd w:val="clear" w:color="auto" w:fill="auto"/>
          </w:tcPr>
          <w:p w:rsidR="00617CB0" w:rsidRPr="00022D33" w:rsidRDefault="00617CB0" w:rsidP="000D7011">
            <w:pPr>
              <w:pStyle w:val="Tabletext"/>
              <w:jc w:val="right"/>
            </w:pPr>
            <w:r w:rsidRPr="00022D33">
              <w:t>-</w:t>
            </w:r>
          </w:p>
        </w:tc>
      </w:tr>
      <w:tr w:rsidR="00617CB0" w:rsidRPr="00022D33" w:rsidTr="000D7011">
        <w:tc>
          <w:tcPr>
            <w:tcW w:w="1243" w:type="dxa"/>
            <w:shd w:val="clear" w:color="auto" w:fill="auto"/>
            <w:tcMar>
              <w:left w:w="0" w:type="dxa"/>
            </w:tcMar>
          </w:tcPr>
          <w:p w:rsidR="00617CB0" w:rsidRPr="00022D33" w:rsidRDefault="00617CB0" w:rsidP="000D7011">
            <w:pPr>
              <w:pStyle w:val="Tabletext"/>
            </w:pPr>
            <w:r w:rsidRPr="00022D33">
              <w:t>Finance lease receivables</w:t>
            </w:r>
          </w:p>
        </w:tc>
        <w:tc>
          <w:tcPr>
            <w:tcW w:w="1008" w:type="dxa"/>
            <w:shd w:val="clear" w:color="auto" w:fill="auto"/>
          </w:tcPr>
          <w:p w:rsidR="00617CB0" w:rsidRPr="00022D33" w:rsidRDefault="00617CB0" w:rsidP="000D7011">
            <w:pPr>
              <w:pStyle w:val="Tabletext"/>
              <w:jc w:val="right"/>
            </w:pPr>
            <w:r w:rsidRPr="00022D33">
              <w:t>4.93</w:t>
            </w:r>
          </w:p>
        </w:tc>
        <w:tc>
          <w:tcPr>
            <w:tcW w:w="1039" w:type="dxa"/>
            <w:shd w:val="clear" w:color="auto" w:fill="auto"/>
          </w:tcPr>
          <w:p w:rsidR="00617CB0" w:rsidRPr="00022D33" w:rsidRDefault="00617CB0" w:rsidP="000D7011">
            <w:pPr>
              <w:pStyle w:val="Tabletext"/>
              <w:jc w:val="right"/>
            </w:pPr>
            <w:r w:rsidRPr="00022D33">
              <w:t>2,148</w:t>
            </w:r>
          </w:p>
        </w:tc>
        <w:tc>
          <w:tcPr>
            <w:tcW w:w="939" w:type="dxa"/>
            <w:shd w:val="clear" w:color="auto" w:fill="auto"/>
          </w:tcPr>
          <w:p w:rsidR="00617CB0" w:rsidRPr="00022D33" w:rsidRDefault="00617CB0" w:rsidP="000D7011">
            <w:pPr>
              <w:pStyle w:val="Tabletext"/>
              <w:jc w:val="right"/>
            </w:pPr>
            <w:r w:rsidRPr="00022D33">
              <w:t>2,148</w:t>
            </w:r>
          </w:p>
        </w:tc>
        <w:tc>
          <w:tcPr>
            <w:tcW w:w="995" w:type="dxa"/>
            <w:shd w:val="clear" w:color="auto" w:fill="auto"/>
          </w:tcPr>
          <w:p w:rsidR="00617CB0" w:rsidRPr="00022D33" w:rsidRDefault="00617CB0" w:rsidP="000D7011">
            <w:pPr>
              <w:pStyle w:val="Tabletext"/>
              <w:jc w:val="right"/>
            </w:pPr>
            <w:r w:rsidRPr="00022D33">
              <w:t>-</w:t>
            </w:r>
          </w:p>
        </w:tc>
        <w:tc>
          <w:tcPr>
            <w:tcW w:w="939" w:type="dxa"/>
            <w:tcBorders>
              <w:right w:val="single" w:sz="4" w:space="0" w:color="auto"/>
            </w:tcBorders>
            <w:shd w:val="clear" w:color="auto" w:fill="auto"/>
          </w:tcPr>
          <w:p w:rsidR="00617CB0" w:rsidRPr="00022D33" w:rsidRDefault="00617CB0" w:rsidP="000D7011">
            <w:pPr>
              <w:pStyle w:val="Tabletext"/>
              <w:jc w:val="right"/>
            </w:pPr>
            <w:r w:rsidRPr="00022D33">
              <w:t>-</w:t>
            </w:r>
          </w:p>
        </w:tc>
        <w:tc>
          <w:tcPr>
            <w:tcW w:w="1005" w:type="dxa"/>
            <w:tcBorders>
              <w:left w:val="single" w:sz="4" w:space="0" w:color="auto"/>
              <w:right w:val="single" w:sz="4" w:space="0" w:color="auto"/>
            </w:tcBorders>
            <w:shd w:val="clear" w:color="auto" w:fill="auto"/>
          </w:tcPr>
          <w:p w:rsidR="00617CB0" w:rsidRPr="00022D33" w:rsidRDefault="00617CB0" w:rsidP="000D7011">
            <w:pPr>
              <w:pStyle w:val="Tabletext"/>
              <w:jc w:val="right"/>
            </w:pPr>
            <w:r w:rsidRPr="00022D33">
              <w:t>2,148</w:t>
            </w:r>
          </w:p>
        </w:tc>
        <w:tc>
          <w:tcPr>
            <w:tcW w:w="939" w:type="dxa"/>
            <w:tcBorders>
              <w:left w:val="single" w:sz="4" w:space="0" w:color="auto"/>
            </w:tcBorders>
            <w:shd w:val="clear" w:color="auto" w:fill="auto"/>
          </w:tcPr>
          <w:p w:rsidR="00617CB0" w:rsidRPr="00022D33" w:rsidRDefault="00617CB0" w:rsidP="000D7011">
            <w:pPr>
              <w:pStyle w:val="Tabletext"/>
              <w:jc w:val="right"/>
            </w:pPr>
            <w:r w:rsidRPr="00022D33">
              <w:t>27</w:t>
            </w:r>
          </w:p>
        </w:tc>
        <w:tc>
          <w:tcPr>
            <w:tcW w:w="939" w:type="dxa"/>
            <w:shd w:val="clear" w:color="auto" w:fill="auto"/>
          </w:tcPr>
          <w:p w:rsidR="00617CB0" w:rsidRPr="00022D33" w:rsidRDefault="00617CB0" w:rsidP="000D7011">
            <w:pPr>
              <w:pStyle w:val="Tabletext"/>
              <w:jc w:val="right"/>
            </w:pPr>
            <w:r w:rsidRPr="00022D33">
              <w:t>133</w:t>
            </w:r>
          </w:p>
        </w:tc>
        <w:tc>
          <w:tcPr>
            <w:tcW w:w="939" w:type="dxa"/>
            <w:shd w:val="clear" w:color="auto" w:fill="auto"/>
          </w:tcPr>
          <w:p w:rsidR="00617CB0" w:rsidRPr="00022D33" w:rsidRDefault="00617CB0" w:rsidP="000D7011">
            <w:pPr>
              <w:pStyle w:val="Tabletext"/>
              <w:jc w:val="right"/>
            </w:pPr>
            <w:r w:rsidRPr="00022D33">
              <w:t>401</w:t>
            </w:r>
          </w:p>
        </w:tc>
        <w:tc>
          <w:tcPr>
            <w:tcW w:w="942" w:type="dxa"/>
            <w:shd w:val="clear" w:color="auto" w:fill="auto"/>
          </w:tcPr>
          <w:p w:rsidR="00617CB0" w:rsidRPr="00022D33" w:rsidRDefault="00617CB0" w:rsidP="000D7011">
            <w:pPr>
              <w:pStyle w:val="Tabletext"/>
              <w:jc w:val="right"/>
            </w:pPr>
            <w:r w:rsidRPr="00022D33">
              <w:t>1,583</w:t>
            </w:r>
          </w:p>
        </w:tc>
        <w:tc>
          <w:tcPr>
            <w:tcW w:w="939" w:type="dxa"/>
            <w:shd w:val="clear" w:color="auto" w:fill="auto"/>
          </w:tcPr>
          <w:p w:rsidR="00617CB0" w:rsidRPr="00022D33" w:rsidRDefault="00617CB0" w:rsidP="000D7011">
            <w:pPr>
              <w:pStyle w:val="Tabletext"/>
              <w:jc w:val="right"/>
            </w:pPr>
            <w:r w:rsidRPr="00022D33">
              <w:t>4</w:t>
            </w:r>
          </w:p>
        </w:tc>
      </w:tr>
      <w:tr w:rsidR="00617CB0" w:rsidRPr="00022D33" w:rsidTr="000D7011">
        <w:tc>
          <w:tcPr>
            <w:tcW w:w="1243" w:type="dxa"/>
            <w:shd w:val="clear" w:color="auto" w:fill="auto"/>
            <w:tcMar>
              <w:left w:w="0" w:type="dxa"/>
            </w:tcMar>
          </w:tcPr>
          <w:p w:rsidR="00617CB0" w:rsidRPr="00022D33" w:rsidRDefault="00617CB0" w:rsidP="000D7011">
            <w:pPr>
              <w:pStyle w:val="Tabletext"/>
            </w:pPr>
            <w:r w:rsidRPr="00022D33">
              <w:t>Amounts receivable for services</w:t>
            </w:r>
          </w:p>
        </w:tc>
        <w:tc>
          <w:tcPr>
            <w:tcW w:w="1008" w:type="dxa"/>
            <w:shd w:val="clear" w:color="auto" w:fill="auto"/>
          </w:tcPr>
          <w:p w:rsidR="00617CB0" w:rsidRPr="00022D33" w:rsidRDefault="00617CB0" w:rsidP="000D7011">
            <w:pPr>
              <w:pStyle w:val="Tabletext"/>
              <w:jc w:val="right"/>
            </w:pPr>
            <w:r w:rsidRPr="00022D33">
              <w:t>-</w:t>
            </w:r>
          </w:p>
        </w:tc>
        <w:tc>
          <w:tcPr>
            <w:tcW w:w="1039" w:type="dxa"/>
            <w:tcBorders>
              <w:bottom w:val="single" w:sz="4" w:space="0" w:color="auto"/>
            </w:tcBorders>
            <w:shd w:val="clear" w:color="auto" w:fill="auto"/>
          </w:tcPr>
          <w:p w:rsidR="00617CB0" w:rsidRPr="00022D33" w:rsidRDefault="00617CB0" w:rsidP="000D7011">
            <w:pPr>
              <w:pStyle w:val="Tabletext"/>
              <w:jc w:val="right"/>
            </w:pPr>
            <w:r w:rsidRPr="00022D33">
              <w:t>382,151</w:t>
            </w:r>
          </w:p>
        </w:tc>
        <w:tc>
          <w:tcPr>
            <w:tcW w:w="939" w:type="dxa"/>
            <w:tcBorders>
              <w:bottom w:val="single" w:sz="4" w:space="0" w:color="auto"/>
            </w:tcBorders>
            <w:shd w:val="clear" w:color="auto" w:fill="auto"/>
          </w:tcPr>
          <w:p w:rsidR="00617CB0" w:rsidRPr="00022D33" w:rsidRDefault="00617CB0" w:rsidP="000D7011">
            <w:pPr>
              <w:pStyle w:val="Tabletext"/>
              <w:jc w:val="right"/>
            </w:pPr>
            <w:r w:rsidRPr="00022D33">
              <w:t>-</w:t>
            </w:r>
          </w:p>
        </w:tc>
        <w:tc>
          <w:tcPr>
            <w:tcW w:w="995" w:type="dxa"/>
            <w:tcBorders>
              <w:bottom w:val="single" w:sz="4" w:space="0" w:color="auto"/>
            </w:tcBorders>
            <w:shd w:val="clear" w:color="auto" w:fill="auto"/>
          </w:tcPr>
          <w:p w:rsidR="00617CB0" w:rsidRPr="00022D33" w:rsidRDefault="00617CB0" w:rsidP="000D7011">
            <w:pPr>
              <w:pStyle w:val="Tabletext"/>
              <w:jc w:val="right"/>
            </w:pPr>
            <w:r w:rsidRPr="00022D33">
              <w:t>-</w:t>
            </w:r>
          </w:p>
        </w:tc>
        <w:tc>
          <w:tcPr>
            <w:tcW w:w="939" w:type="dxa"/>
            <w:tcBorders>
              <w:bottom w:val="single" w:sz="4" w:space="0" w:color="auto"/>
              <w:right w:val="single" w:sz="4" w:space="0" w:color="auto"/>
            </w:tcBorders>
            <w:shd w:val="clear" w:color="auto" w:fill="auto"/>
          </w:tcPr>
          <w:p w:rsidR="00617CB0" w:rsidRPr="00022D33" w:rsidRDefault="00617CB0" w:rsidP="000D7011">
            <w:pPr>
              <w:pStyle w:val="Tabletext"/>
              <w:jc w:val="right"/>
            </w:pPr>
            <w:r w:rsidRPr="00022D33">
              <w:t>382,151</w:t>
            </w:r>
          </w:p>
        </w:tc>
        <w:tc>
          <w:tcPr>
            <w:tcW w:w="1005" w:type="dxa"/>
            <w:tcBorders>
              <w:left w:val="single" w:sz="4" w:space="0" w:color="auto"/>
              <w:bottom w:val="single" w:sz="4" w:space="0" w:color="auto"/>
              <w:right w:val="single" w:sz="4" w:space="0" w:color="auto"/>
            </w:tcBorders>
            <w:shd w:val="clear" w:color="auto" w:fill="auto"/>
          </w:tcPr>
          <w:p w:rsidR="00617CB0" w:rsidRPr="00022D33" w:rsidRDefault="00617CB0" w:rsidP="000D7011">
            <w:pPr>
              <w:pStyle w:val="Tabletext"/>
              <w:jc w:val="right"/>
            </w:pPr>
            <w:r w:rsidRPr="00022D33">
              <w:t>382,151</w:t>
            </w:r>
          </w:p>
        </w:tc>
        <w:tc>
          <w:tcPr>
            <w:tcW w:w="939" w:type="dxa"/>
            <w:tcBorders>
              <w:left w:val="single" w:sz="4" w:space="0" w:color="auto"/>
              <w:bottom w:val="single" w:sz="4" w:space="0" w:color="auto"/>
            </w:tcBorders>
            <w:shd w:val="clear" w:color="auto" w:fill="auto"/>
          </w:tcPr>
          <w:p w:rsidR="00617CB0" w:rsidRPr="00022D33" w:rsidRDefault="00617CB0" w:rsidP="000D7011">
            <w:pPr>
              <w:pStyle w:val="Tabletext"/>
              <w:jc w:val="right"/>
            </w:pPr>
            <w:r w:rsidRPr="00022D33">
              <w:t>-</w:t>
            </w:r>
          </w:p>
        </w:tc>
        <w:tc>
          <w:tcPr>
            <w:tcW w:w="939" w:type="dxa"/>
            <w:tcBorders>
              <w:bottom w:val="single" w:sz="4" w:space="0" w:color="auto"/>
            </w:tcBorders>
            <w:shd w:val="clear" w:color="auto" w:fill="auto"/>
          </w:tcPr>
          <w:p w:rsidR="00617CB0" w:rsidRPr="00022D33" w:rsidRDefault="00617CB0" w:rsidP="000D7011">
            <w:pPr>
              <w:pStyle w:val="Tabletext"/>
              <w:jc w:val="right"/>
            </w:pPr>
            <w:r w:rsidRPr="00022D33">
              <w:t>266</w:t>
            </w:r>
          </w:p>
        </w:tc>
        <w:tc>
          <w:tcPr>
            <w:tcW w:w="939" w:type="dxa"/>
            <w:tcBorders>
              <w:bottom w:val="single" w:sz="4" w:space="0" w:color="auto"/>
            </w:tcBorders>
            <w:shd w:val="clear" w:color="auto" w:fill="auto"/>
          </w:tcPr>
          <w:p w:rsidR="00617CB0" w:rsidRPr="00022D33" w:rsidRDefault="00617CB0" w:rsidP="000D7011">
            <w:pPr>
              <w:pStyle w:val="Tabletext"/>
              <w:jc w:val="right"/>
            </w:pPr>
            <w:r w:rsidRPr="00022D33">
              <w:t>1,203</w:t>
            </w:r>
          </w:p>
        </w:tc>
        <w:tc>
          <w:tcPr>
            <w:tcW w:w="942" w:type="dxa"/>
            <w:tcBorders>
              <w:bottom w:val="single" w:sz="4" w:space="0" w:color="auto"/>
            </w:tcBorders>
            <w:shd w:val="clear" w:color="auto" w:fill="auto"/>
          </w:tcPr>
          <w:p w:rsidR="00617CB0" w:rsidRPr="00022D33" w:rsidRDefault="00617CB0" w:rsidP="000D7011">
            <w:pPr>
              <w:pStyle w:val="Tabletext"/>
              <w:jc w:val="right"/>
            </w:pPr>
            <w:r w:rsidRPr="00022D33">
              <w:t>-</w:t>
            </w:r>
          </w:p>
        </w:tc>
        <w:tc>
          <w:tcPr>
            <w:tcW w:w="939" w:type="dxa"/>
            <w:tcBorders>
              <w:bottom w:val="single" w:sz="4" w:space="0" w:color="auto"/>
            </w:tcBorders>
            <w:shd w:val="clear" w:color="auto" w:fill="auto"/>
          </w:tcPr>
          <w:p w:rsidR="00617CB0" w:rsidRPr="00022D33" w:rsidRDefault="00617CB0" w:rsidP="000D7011">
            <w:pPr>
              <w:pStyle w:val="Tabletext"/>
              <w:jc w:val="right"/>
            </w:pPr>
            <w:r w:rsidRPr="00022D33">
              <w:t>380,682</w:t>
            </w:r>
          </w:p>
        </w:tc>
      </w:tr>
      <w:tr w:rsidR="00617CB0" w:rsidRPr="00022D33" w:rsidTr="000D7011">
        <w:tc>
          <w:tcPr>
            <w:tcW w:w="1243" w:type="dxa"/>
            <w:shd w:val="clear" w:color="auto" w:fill="auto"/>
            <w:tcMar>
              <w:left w:w="0" w:type="dxa"/>
            </w:tcMar>
          </w:tcPr>
          <w:p w:rsidR="00617CB0" w:rsidRPr="00022D33" w:rsidRDefault="00617CB0" w:rsidP="000D7011">
            <w:pPr>
              <w:pStyle w:val="Tabletext"/>
            </w:pPr>
          </w:p>
        </w:tc>
        <w:tc>
          <w:tcPr>
            <w:tcW w:w="1008" w:type="dxa"/>
            <w:shd w:val="clear" w:color="auto" w:fill="auto"/>
          </w:tcPr>
          <w:p w:rsidR="00617CB0" w:rsidRPr="00022D33" w:rsidRDefault="00617CB0" w:rsidP="000D7011">
            <w:pPr>
              <w:pStyle w:val="Tabletext"/>
            </w:pPr>
          </w:p>
        </w:tc>
        <w:tc>
          <w:tcPr>
            <w:tcW w:w="1039"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762,087</w:t>
            </w:r>
          </w:p>
        </w:tc>
        <w:tc>
          <w:tcPr>
            <w:tcW w:w="939"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2,148</w:t>
            </w:r>
          </w:p>
        </w:tc>
        <w:tc>
          <w:tcPr>
            <w:tcW w:w="995"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6,405</w:t>
            </w:r>
          </w:p>
        </w:tc>
        <w:tc>
          <w:tcPr>
            <w:tcW w:w="939" w:type="dxa"/>
            <w:tcBorders>
              <w:top w:val="single" w:sz="4" w:space="0" w:color="auto"/>
              <w:bottom w:val="double" w:sz="4" w:space="0" w:color="auto"/>
              <w:right w:val="single" w:sz="4" w:space="0" w:color="auto"/>
            </w:tcBorders>
            <w:shd w:val="clear" w:color="auto" w:fill="auto"/>
          </w:tcPr>
          <w:p w:rsidR="00617CB0" w:rsidRPr="00022D33" w:rsidRDefault="00617CB0" w:rsidP="000D7011">
            <w:pPr>
              <w:pStyle w:val="Tableboldedtext"/>
              <w:jc w:val="right"/>
            </w:pPr>
            <w:r w:rsidRPr="00022D33">
              <w:t>753,534</w:t>
            </w:r>
          </w:p>
        </w:tc>
        <w:tc>
          <w:tcPr>
            <w:tcW w:w="1005" w:type="dxa"/>
            <w:tcBorders>
              <w:top w:val="single" w:sz="4" w:space="0" w:color="auto"/>
              <w:left w:val="single" w:sz="4" w:space="0" w:color="auto"/>
              <w:bottom w:val="double" w:sz="4" w:space="0" w:color="auto"/>
              <w:right w:val="single" w:sz="4" w:space="0" w:color="auto"/>
            </w:tcBorders>
            <w:shd w:val="clear" w:color="auto" w:fill="auto"/>
          </w:tcPr>
          <w:p w:rsidR="00617CB0" w:rsidRPr="00022D33" w:rsidRDefault="00617CB0" w:rsidP="000D7011">
            <w:pPr>
              <w:pStyle w:val="Tableboldedtext"/>
              <w:jc w:val="right"/>
            </w:pPr>
            <w:r w:rsidRPr="00022D33">
              <w:t>762,087</w:t>
            </w:r>
          </w:p>
        </w:tc>
        <w:tc>
          <w:tcPr>
            <w:tcW w:w="939" w:type="dxa"/>
            <w:tcBorders>
              <w:top w:val="single" w:sz="4" w:space="0" w:color="auto"/>
              <w:left w:val="single" w:sz="4" w:space="0" w:color="auto"/>
              <w:bottom w:val="double" w:sz="4" w:space="0" w:color="auto"/>
            </w:tcBorders>
            <w:shd w:val="clear" w:color="auto" w:fill="auto"/>
          </w:tcPr>
          <w:p w:rsidR="00617CB0" w:rsidRPr="00022D33" w:rsidRDefault="00617CB0" w:rsidP="000D7011">
            <w:pPr>
              <w:pStyle w:val="Tableboldedtext"/>
              <w:jc w:val="right"/>
            </w:pPr>
            <w:r w:rsidRPr="00022D33">
              <w:t>362,928</w:t>
            </w:r>
          </w:p>
        </w:tc>
        <w:tc>
          <w:tcPr>
            <w:tcW w:w="939"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399</w:t>
            </w:r>
          </w:p>
        </w:tc>
        <w:tc>
          <w:tcPr>
            <w:tcW w:w="939"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6,405</w:t>
            </w:r>
          </w:p>
        </w:tc>
        <w:tc>
          <w:tcPr>
            <w:tcW w:w="942"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11,669</w:t>
            </w:r>
          </w:p>
        </w:tc>
        <w:tc>
          <w:tcPr>
            <w:tcW w:w="939"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380,686</w:t>
            </w:r>
          </w:p>
        </w:tc>
      </w:tr>
      <w:tr w:rsidR="00617CB0" w:rsidRPr="00022D33" w:rsidTr="000D7011">
        <w:tc>
          <w:tcPr>
            <w:tcW w:w="11866" w:type="dxa"/>
            <w:gridSpan w:val="12"/>
            <w:shd w:val="clear" w:color="auto" w:fill="auto"/>
            <w:tcMar>
              <w:left w:w="0" w:type="dxa"/>
            </w:tcMar>
          </w:tcPr>
          <w:p w:rsidR="00617CB0" w:rsidRPr="00022D33" w:rsidRDefault="00617CB0" w:rsidP="000D7011">
            <w:pPr>
              <w:pStyle w:val="Tabletext"/>
              <w:rPr>
                <w:u w:val="single"/>
              </w:rPr>
            </w:pPr>
            <w:r w:rsidRPr="00022D33">
              <w:rPr>
                <w:u w:val="single"/>
              </w:rPr>
              <w:t>Financial liabilities</w:t>
            </w:r>
          </w:p>
        </w:tc>
      </w:tr>
      <w:tr w:rsidR="00617CB0" w:rsidRPr="00022D33" w:rsidTr="000D7011">
        <w:tc>
          <w:tcPr>
            <w:tcW w:w="1243" w:type="dxa"/>
            <w:shd w:val="clear" w:color="auto" w:fill="auto"/>
            <w:tcMar>
              <w:left w:w="0" w:type="dxa"/>
            </w:tcMar>
          </w:tcPr>
          <w:p w:rsidR="00617CB0" w:rsidRPr="00022D33" w:rsidRDefault="00617CB0" w:rsidP="000D7011">
            <w:pPr>
              <w:pStyle w:val="Tabletext"/>
            </w:pPr>
            <w:r w:rsidRPr="00022D33">
              <w:t>Payables</w:t>
            </w:r>
          </w:p>
        </w:tc>
        <w:tc>
          <w:tcPr>
            <w:tcW w:w="1008" w:type="dxa"/>
            <w:shd w:val="clear" w:color="auto" w:fill="auto"/>
          </w:tcPr>
          <w:p w:rsidR="00617CB0" w:rsidRPr="00022D33" w:rsidRDefault="00617CB0" w:rsidP="000D7011">
            <w:pPr>
              <w:pStyle w:val="Tabletext"/>
              <w:jc w:val="right"/>
            </w:pPr>
            <w:r w:rsidRPr="00022D33">
              <w:t>-</w:t>
            </w:r>
          </w:p>
        </w:tc>
        <w:tc>
          <w:tcPr>
            <w:tcW w:w="1039" w:type="dxa"/>
            <w:shd w:val="clear" w:color="auto" w:fill="auto"/>
          </w:tcPr>
          <w:p w:rsidR="00617CB0" w:rsidRPr="00022D33" w:rsidRDefault="00617CB0" w:rsidP="000D7011">
            <w:pPr>
              <w:pStyle w:val="Tabletext"/>
              <w:jc w:val="right"/>
            </w:pPr>
            <w:r w:rsidRPr="00022D33">
              <w:t>69,24</w:t>
            </w:r>
            <w:r>
              <w:t>9</w:t>
            </w:r>
          </w:p>
        </w:tc>
        <w:tc>
          <w:tcPr>
            <w:tcW w:w="939" w:type="dxa"/>
            <w:shd w:val="clear" w:color="auto" w:fill="auto"/>
          </w:tcPr>
          <w:p w:rsidR="00617CB0" w:rsidRPr="00022D33" w:rsidRDefault="00617CB0" w:rsidP="000D7011">
            <w:pPr>
              <w:pStyle w:val="Tabletext"/>
              <w:jc w:val="right"/>
            </w:pPr>
            <w:r w:rsidRPr="00022D33">
              <w:t>-</w:t>
            </w:r>
          </w:p>
        </w:tc>
        <w:tc>
          <w:tcPr>
            <w:tcW w:w="995" w:type="dxa"/>
            <w:shd w:val="clear" w:color="auto" w:fill="auto"/>
          </w:tcPr>
          <w:p w:rsidR="00617CB0" w:rsidRPr="00022D33" w:rsidRDefault="00617CB0" w:rsidP="000D7011">
            <w:pPr>
              <w:pStyle w:val="Tabletext"/>
              <w:jc w:val="right"/>
            </w:pPr>
            <w:r w:rsidRPr="00022D33">
              <w:t>-</w:t>
            </w:r>
          </w:p>
        </w:tc>
        <w:tc>
          <w:tcPr>
            <w:tcW w:w="939" w:type="dxa"/>
            <w:tcBorders>
              <w:right w:val="single" w:sz="4" w:space="0" w:color="auto"/>
            </w:tcBorders>
            <w:shd w:val="clear" w:color="auto" w:fill="auto"/>
          </w:tcPr>
          <w:p w:rsidR="00617CB0" w:rsidRPr="00022D33" w:rsidRDefault="00617CB0" w:rsidP="000D7011">
            <w:pPr>
              <w:pStyle w:val="Tabletext"/>
              <w:jc w:val="right"/>
            </w:pPr>
            <w:r w:rsidRPr="00022D33">
              <w:t>69,24</w:t>
            </w:r>
            <w:r>
              <w:t>9</w:t>
            </w:r>
          </w:p>
        </w:tc>
        <w:tc>
          <w:tcPr>
            <w:tcW w:w="1005" w:type="dxa"/>
            <w:tcBorders>
              <w:left w:val="single" w:sz="4" w:space="0" w:color="auto"/>
              <w:right w:val="single" w:sz="4" w:space="0" w:color="auto"/>
            </w:tcBorders>
            <w:shd w:val="clear" w:color="auto" w:fill="auto"/>
          </w:tcPr>
          <w:p w:rsidR="00617CB0" w:rsidRPr="00022D33" w:rsidRDefault="00617CB0" w:rsidP="000D7011">
            <w:pPr>
              <w:pStyle w:val="Tabletext"/>
              <w:jc w:val="right"/>
            </w:pPr>
            <w:r w:rsidRPr="00022D33">
              <w:t>69,24</w:t>
            </w:r>
            <w:r>
              <w:t>9</w:t>
            </w:r>
          </w:p>
        </w:tc>
        <w:tc>
          <w:tcPr>
            <w:tcW w:w="939" w:type="dxa"/>
            <w:tcBorders>
              <w:left w:val="single" w:sz="4" w:space="0" w:color="auto"/>
            </w:tcBorders>
            <w:shd w:val="clear" w:color="auto" w:fill="auto"/>
          </w:tcPr>
          <w:p w:rsidR="00617CB0" w:rsidRPr="00022D33" w:rsidRDefault="00617CB0" w:rsidP="000D7011">
            <w:pPr>
              <w:pStyle w:val="Tabletext"/>
              <w:jc w:val="right"/>
            </w:pPr>
            <w:r w:rsidRPr="00022D33">
              <w:t>68,740</w:t>
            </w:r>
          </w:p>
        </w:tc>
        <w:tc>
          <w:tcPr>
            <w:tcW w:w="939" w:type="dxa"/>
            <w:shd w:val="clear" w:color="auto" w:fill="auto"/>
          </w:tcPr>
          <w:p w:rsidR="00617CB0" w:rsidRPr="00022D33" w:rsidRDefault="00617CB0" w:rsidP="000D7011">
            <w:pPr>
              <w:pStyle w:val="Tabletext"/>
              <w:jc w:val="right"/>
            </w:pPr>
            <w:r w:rsidRPr="00022D33">
              <w:t>507</w:t>
            </w:r>
          </w:p>
        </w:tc>
        <w:tc>
          <w:tcPr>
            <w:tcW w:w="939" w:type="dxa"/>
            <w:shd w:val="clear" w:color="auto" w:fill="auto"/>
          </w:tcPr>
          <w:p w:rsidR="00617CB0" w:rsidRPr="00022D33" w:rsidRDefault="00617CB0" w:rsidP="000D7011">
            <w:pPr>
              <w:pStyle w:val="Tabletext"/>
              <w:jc w:val="right"/>
            </w:pPr>
            <w:r w:rsidRPr="00022D33">
              <w:t>2</w:t>
            </w:r>
          </w:p>
        </w:tc>
        <w:tc>
          <w:tcPr>
            <w:tcW w:w="942" w:type="dxa"/>
            <w:shd w:val="clear" w:color="auto" w:fill="auto"/>
          </w:tcPr>
          <w:p w:rsidR="00617CB0" w:rsidRPr="00022D33" w:rsidRDefault="00617CB0" w:rsidP="000D7011">
            <w:pPr>
              <w:pStyle w:val="Tabletext"/>
              <w:jc w:val="right"/>
            </w:pPr>
            <w:r w:rsidRPr="00022D33">
              <w:t>-</w:t>
            </w:r>
          </w:p>
        </w:tc>
        <w:tc>
          <w:tcPr>
            <w:tcW w:w="939" w:type="dxa"/>
            <w:shd w:val="clear" w:color="auto" w:fill="auto"/>
          </w:tcPr>
          <w:p w:rsidR="00617CB0" w:rsidRPr="00022D33" w:rsidRDefault="00617CB0" w:rsidP="000D7011">
            <w:pPr>
              <w:pStyle w:val="Tabletext"/>
              <w:jc w:val="right"/>
            </w:pPr>
            <w:r w:rsidRPr="00022D33">
              <w:t>-</w:t>
            </w:r>
          </w:p>
        </w:tc>
      </w:tr>
      <w:tr w:rsidR="00617CB0" w:rsidRPr="00022D33" w:rsidTr="000D7011">
        <w:tc>
          <w:tcPr>
            <w:tcW w:w="1243" w:type="dxa"/>
            <w:shd w:val="clear" w:color="auto" w:fill="auto"/>
            <w:tcMar>
              <w:left w:w="0" w:type="dxa"/>
            </w:tcMar>
          </w:tcPr>
          <w:p w:rsidR="00617CB0" w:rsidRPr="00022D33" w:rsidRDefault="00617CB0" w:rsidP="000D7011">
            <w:pPr>
              <w:pStyle w:val="Tabletext"/>
            </w:pPr>
            <w:r w:rsidRPr="00022D33">
              <w:t>WATC borrowings</w:t>
            </w:r>
          </w:p>
        </w:tc>
        <w:tc>
          <w:tcPr>
            <w:tcW w:w="1008" w:type="dxa"/>
            <w:shd w:val="clear" w:color="auto" w:fill="auto"/>
          </w:tcPr>
          <w:p w:rsidR="00617CB0" w:rsidRPr="00022D33" w:rsidRDefault="00617CB0" w:rsidP="000D7011">
            <w:pPr>
              <w:pStyle w:val="Tabletext"/>
              <w:jc w:val="right"/>
            </w:pPr>
            <w:r w:rsidRPr="00022D33">
              <w:t>3.11</w:t>
            </w:r>
          </w:p>
        </w:tc>
        <w:tc>
          <w:tcPr>
            <w:tcW w:w="1039" w:type="dxa"/>
            <w:shd w:val="clear" w:color="auto" w:fill="auto"/>
          </w:tcPr>
          <w:p w:rsidR="00617CB0" w:rsidRPr="00022D33" w:rsidRDefault="00617CB0" w:rsidP="000D7011">
            <w:pPr>
              <w:pStyle w:val="Tabletext"/>
              <w:jc w:val="right"/>
            </w:pPr>
            <w:r w:rsidRPr="00022D33">
              <w:t>91,316</w:t>
            </w:r>
          </w:p>
        </w:tc>
        <w:tc>
          <w:tcPr>
            <w:tcW w:w="939" w:type="dxa"/>
            <w:shd w:val="clear" w:color="auto" w:fill="auto"/>
          </w:tcPr>
          <w:p w:rsidR="00617CB0" w:rsidRPr="00022D33" w:rsidRDefault="00617CB0" w:rsidP="000D7011">
            <w:pPr>
              <w:pStyle w:val="Tabletext"/>
              <w:jc w:val="right"/>
            </w:pPr>
            <w:r w:rsidRPr="00022D33">
              <w:t>91,316</w:t>
            </w:r>
          </w:p>
        </w:tc>
        <w:tc>
          <w:tcPr>
            <w:tcW w:w="995" w:type="dxa"/>
            <w:shd w:val="clear" w:color="auto" w:fill="auto"/>
          </w:tcPr>
          <w:p w:rsidR="00617CB0" w:rsidRPr="00022D33" w:rsidRDefault="00617CB0" w:rsidP="000D7011">
            <w:pPr>
              <w:pStyle w:val="Tabletext"/>
              <w:jc w:val="right"/>
            </w:pPr>
            <w:r w:rsidRPr="00022D33">
              <w:t>-</w:t>
            </w:r>
          </w:p>
        </w:tc>
        <w:tc>
          <w:tcPr>
            <w:tcW w:w="939" w:type="dxa"/>
            <w:tcBorders>
              <w:right w:val="single" w:sz="4" w:space="0" w:color="auto"/>
            </w:tcBorders>
            <w:shd w:val="clear" w:color="auto" w:fill="auto"/>
          </w:tcPr>
          <w:p w:rsidR="00617CB0" w:rsidRPr="00022D33" w:rsidRDefault="00617CB0" w:rsidP="000D7011">
            <w:pPr>
              <w:pStyle w:val="Tabletext"/>
              <w:jc w:val="right"/>
            </w:pPr>
            <w:r w:rsidRPr="00022D33">
              <w:t>-</w:t>
            </w:r>
          </w:p>
        </w:tc>
        <w:tc>
          <w:tcPr>
            <w:tcW w:w="1005" w:type="dxa"/>
            <w:tcBorders>
              <w:left w:val="single" w:sz="4" w:space="0" w:color="auto"/>
              <w:right w:val="single" w:sz="4" w:space="0" w:color="auto"/>
            </w:tcBorders>
            <w:shd w:val="clear" w:color="auto" w:fill="auto"/>
          </w:tcPr>
          <w:p w:rsidR="00617CB0" w:rsidRPr="00022D33" w:rsidRDefault="00617CB0" w:rsidP="000D7011">
            <w:pPr>
              <w:pStyle w:val="Tabletext"/>
              <w:jc w:val="right"/>
            </w:pPr>
            <w:r w:rsidRPr="00022D33">
              <w:t>91,316</w:t>
            </w:r>
          </w:p>
        </w:tc>
        <w:tc>
          <w:tcPr>
            <w:tcW w:w="939" w:type="dxa"/>
            <w:tcBorders>
              <w:left w:val="single" w:sz="4" w:space="0" w:color="auto"/>
            </w:tcBorders>
            <w:shd w:val="clear" w:color="auto" w:fill="auto"/>
          </w:tcPr>
          <w:p w:rsidR="00617CB0" w:rsidRPr="00022D33" w:rsidRDefault="00617CB0" w:rsidP="000D7011">
            <w:pPr>
              <w:pStyle w:val="Tabletext"/>
              <w:jc w:val="right"/>
            </w:pPr>
            <w:r w:rsidRPr="00022D33">
              <w:t>2,382</w:t>
            </w:r>
          </w:p>
        </w:tc>
        <w:tc>
          <w:tcPr>
            <w:tcW w:w="939" w:type="dxa"/>
            <w:shd w:val="clear" w:color="auto" w:fill="auto"/>
          </w:tcPr>
          <w:p w:rsidR="00617CB0" w:rsidRPr="00022D33" w:rsidRDefault="00617CB0" w:rsidP="000D7011">
            <w:pPr>
              <w:pStyle w:val="Tabletext"/>
              <w:jc w:val="right"/>
            </w:pPr>
            <w:r w:rsidRPr="00022D33">
              <w:t>4,592</w:t>
            </w:r>
          </w:p>
        </w:tc>
        <w:tc>
          <w:tcPr>
            <w:tcW w:w="939" w:type="dxa"/>
            <w:shd w:val="clear" w:color="auto" w:fill="auto"/>
          </w:tcPr>
          <w:p w:rsidR="00617CB0" w:rsidRPr="00022D33" w:rsidRDefault="00617CB0" w:rsidP="000D7011">
            <w:pPr>
              <w:pStyle w:val="Tabletext"/>
              <w:jc w:val="right"/>
            </w:pPr>
            <w:r w:rsidRPr="00022D33">
              <w:t>27,215</w:t>
            </w:r>
          </w:p>
        </w:tc>
        <w:tc>
          <w:tcPr>
            <w:tcW w:w="942" w:type="dxa"/>
            <w:shd w:val="clear" w:color="auto" w:fill="auto"/>
          </w:tcPr>
          <w:p w:rsidR="00617CB0" w:rsidRPr="00022D33" w:rsidRDefault="00617CB0" w:rsidP="000D7011">
            <w:pPr>
              <w:pStyle w:val="Tabletext"/>
              <w:jc w:val="right"/>
            </w:pPr>
            <w:r w:rsidRPr="00022D33">
              <w:t>57,127</w:t>
            </w:r>
          </w:p>
        </w:tc>
        <w:tc>
          <w:tcPr>
            <w:tcW w:w="939" w:type="dxa"/>
            <w:shd w:val="clear" w:color="auto" w:fill="auto"/>
          </w:tcPr>
          <w:p w:rsidR="00617CB0" w:rsidRPr="00022D33" w:rsidRDefault="00617CB0" w:rsidP="000D7011">
            <w:pPr>
              <w:pStyle w:val="Tabletext"/>
              <w:jc w:val="right"/>
            </w:pPr>
          </w:p>
        </w:tc>
      </w:tr>
      <w:tr w:rsidR="00617CB0" w:rsidRPr="00022D33" w:rsidTr="000D7011">
        <w:tc>
          <w:tcPr>
            <w:tcW w:w="1243" w:type="dxa"/>
            <w:shd w:val="clear" w:color="auto" w:fill="auto"/>
            <w:tcMar>
              <w:left w:w="0" w:type="dxa"/>
            </w:tcMar>
          </w:tcPr>
          <w:p w:rsidR="00617CB0" w:rsidRPr="00022D33" w:rsidRDefault="00617CB0" w:rsidP="000D7011">
            <w:pPr>
              <w:pStyle w:val="Tabletext"/>
            </w:pPr>
            <w:r w:rsidRPr="00022D33">
              <w:t>Heritage Maintenance Payments</w:t>
            </w:r>
          </w:p>
        </w:tc>
        <w:tc>
          <w:tcPr>
            <w:tcW w:w="1008" w:type="dxa"/>
            <w:shd w:val="clear" w:color="auto" w:fill="auto"/>
          </w:tcPr>
          <w:p w:rsidR="00617CB0" w:rsidRPr="00022D33" w:rsidRDefault="00617CB0" w:rsidP="000D7011">
            <w:pPr>
              <w:pStyle w:val="Tabletext"/>
              <w:jc w:val="right"/>
            </w:pPr>
            <w:r w:rsidRPr="00022D33">
              <w:t>12.46</w:t>
            </w:r>
          </w:p>
        </w:tc>
        <w:tc>
          <w:tcPr>
            <w:tcW w:w="1039" w:type="dxa"/>
            <w:shd w:val="clear" w:color="auto" w:fill="auto"/>
          </w:tcPr>
          <w:p w:rsidR="00617CB0" w:rsidRPr="00022D33" w:rsidRDefault="00617CB0" w:rsidP="000D7011">
            <w:pPr>
              <w:pStyle w:val="Tabletext"/>
              <w:jc w:val="right"/>
            </w:pPr>
            <w:r w:rsidRPr="00022D33">
              <w:t>51,778</w:t>
            </w:r>
          </w:p>
        </w:tc>
        <w:tc>
          <w:tcPr>
            <w:tcW w:w="939" w:type="dxa"/>
            <w:shd w:val="clear" w:color="auto" w:fill="auto"/>
          </w:tcPr>
          <w:p w:rsidR="00617CB0" w:rsidRPr="00022D33" w:rsidRDefault="00617CB0" w:rsidP="000D7011">
            <w:pPr>
              <w:pStyle w:val="Tabletext"/>
              <w:jc w:val="right"/>
            </w:pPr>
            <w:r w:rsidRPr="00022D33">
              <w:t>51,778</w:t>
            </w:r>
          </w:p>
        </w:tc>
        <w:tc>
          <w:tcPr>
            <w:tcW w:w="995" w:type="dxa"/>
            <w:shd w:val="clear" w:color="auto" w:fill="auto"/>
          </w:tcPr>
          <w:p w:rsidR="00617CB0" w:rsidRPr="00022D33" w:rsidRDefault="00617CB0" w:rsidP="000D7011">
            <w:pPr>
              <w:pStyle w:val="Tabletext"/>
              <w:jc w:val="right"/>
            </w:pPr>
            <w:r w:rsidRPr="00022D33">
              <w:t>-</w:t>
            </w:r>
          </w:p>
        </w:tc>
        <w:tc>
          <w:tcPr>
            <w:tcW w:w="939" w:type="dxa"/>
            <w:tcBorders>
              <w:right w:val="single" w:sz="4" w:space="0" w:color="auto"/>
            </w:tcBorders>
            <w:shd w:val="clear" w:color="auto" w:fill="auto"/>
          </w:tcPr>
          <w:p w:rsidR="00617CB0" w:rsidRPr="00022D33" w:rsidRDefault="00617CB0" w:rsidP="000D7011">
            <w:pPr>
              <w:pStyle w:val="Tabletext"/>
              <w:jc w:val="right"/>
            </w:pPr>
            <w:r w:rsidRPr="00022D33">
              <w:t>-</w:t>
            </w:r>
          </w:p>
        </w:tc>
        <w:tc>
          <w:tcPr>
            <w:tcW w:w="1005" w:type="dxa"/>
            <w:tcBorders>
              <w:left w:val="single" w:sz="4" w:space="0" w:color="auto"/>
              <w:right w:val="single" w:sz="4" w:space="0" w:color="auto"/>
            </w:tcBorders>
            <w:shd w:val="clear" w:color="auto" w:fill="auto"/>
          </w:tcPr>
          <w:p w:rsidR="00617CB0" w:rsidRPr="00022D33" w:rsidRDefault="00617CB0" w:rsidP="000D7011">
            <w:pPr>
              <w:pStyle w:val="Tabletext"/>
              <w:jc w:val="right"/>
            </w:pPr>
            <w:r w:rsidRPr="00022D33">
              <w:t>51,778</w:t>
            </w:r>
          </w:p>
        </w:tc>
        <w:tc>
          <w:tcPr>
            <w:tcW w:w="939" w:type="dxa"/>
            <w:tcBorders>
              <w:left w:val="single" w:sz="4" w:space="0" w:color="auto"/>
            </w:tcBorders>
            <w:shd w:val="clear" w:color="auto" w:fill="auto"/>
          </w:tcPr>
          <w:p w:rsidR="00617CB0" w:rsidRPr="00022D33" w:rsidRDefault="00617CB0" w:rsidP="000D7011">
            <w:pPr>
              <w:pStyle w:val="Tabletext"/>
              <w:jc w:val="right"/>
            </w:pPr>
            <w:r w:rsidRPr="00022D33">
              <w:t>431</w:t>
            </w:r>
          </w:p>
        </w:tc>
        <w:tc>
          <w:tcPr>
            <w:tcW w:w="939" w:type="dxa"/>
            <w:shd w:val="clear" w:color="auto" w:fill="auto"/>
          </w:tcPr>
          <w:p w:rsidR="00617CB0" w:rsidRPr="00022D33" w:rsidRDefault="00617CB0" w:rsidP="000D7011">
            <w:pPr>
              <w:pStyle w:val="Tabletext"/>
              <w:jc w:val="right"/>
            </w:pPr>
            <w:r w:rsidRPr="00022D33">
              <w:t>863</w:t>
            </w:r>
          </w:p>
        </w:tc>
        <w:tc>
          <w:tcPr>
            <w:tcW w:w="939" w:type="dxa"/>
            <w:shd w:val="clear" w:color="auto" w:fill="auto"/>
          </w:tcPr>
          <w:p w:rsidR="00617CB0" w:rsidRPr="00022D33" w:rsidRDefault="00617CB0" w:rsidP="000D7011">
            <w:pPr>
              <w:pStyle w:val="Tabletext"/>
              <w:jc w:val="right"/>
            </w:pPr>
            <w:r w:rsidRPr="00022D33">
              <w:t>3,931</w:t>
            </w:r>
          </w:p>
        </w:tc>
        <w:tc>
          <w:tcPr>
            <w:tcW w:w="942" w:type="dxa"/>
            <w:shd w:val="clear" w:color="auto" w:fill="auto"/>
          </w:tcPr>
          <w:p w:rsidR="00617CB0" w:rsidRPr="00022D33" w:rsidRDefault="00617CB0" w:rsidP="000D7011">
            <w:pPr>
              <w:pStyle w:val="Tabletext"/>
              <w:jc w:val="right"/>
            </w:pPr>
            <w:r w:rsidRPr="00022D33">
              <w:t>22,934</w:t>
            </w:r>
          </w:p>
        </w:tc>
        <w:tc>
          <w:tcPr>
            <w:tcW w:w="939" w:type="dxa"/>
            <w:shd w:val="clear" w:color="auto" w:fill="auto"/>
          </w:tcPr>
          <w:p w:rsidR="00617CB0" w:rsidRPr="00022D33" w:rsidRDefault="00617CB0" w:rsidP="000D7011">
            <w:pPr>
              <w:pStyle w:val="Tabletext"/>
              <w:jc w:val="right"/>
            </w:pPr>
            <w:r w:rsidRPr="00022D33">
              <w:t>23,619</w:t>
            </w:r>
          </w:p>
        </w:tc>
      </w:tr>
      <w:tr w:rsidR="00617CB0" w:rsidRPr="00022D33" w:rsidTr="000D7011">
        <w:tc>
          <w:tcPr>
            <w:tcW w:w="1243" w:type="dxa"/>
            <w:shd w:val="clear" w:color="auto" w:fill="auto"/>
            <w:tcMar>
              <w:left w:w="0" w:type="dxa"/>
            </w:tcMar>
          </w:tcPr>
          <w:p w:rsidR="00617CB0" w:rsidRPr="00022D33" w:rsidRDefault="00617CB0" w:rsidP="000D7011">
            <w:pPr>
              <w:pStyle w:val="Tabletext"/>
            </w:pPr>
            <w:r w:rsidRPr="00022D33">
              <w:t>Unearned revenue - construction projects in progress</w:t>
            </w:r>
          </w:p>
        </w:tc>
        <w:tc>
          <w:tcPr>
            <w:tcW w:w="1008" w:type="dxa"/>
            <w:shd w:val="clear" w:color="auto" w:fill="auto"/>
          </w:tcPr>
          <w:p w:rsidR="00617CB0" w:rsidRPr="00022D33" w:rsidRDefault="00617CB0" w:rsidP="000D7011">
            <w:pPr>
              <w:pStyle w:val="Tabletext"/>
              <w:jc w:val="right"/>
            </w:pPr>
            <w:r w:rsidRPr="00022D33">
              <w:t>-</w:t>
            </w:r>
          </w:p>
        </w:tc>
        <w:tc>
          <w:tcPr>
            <w:tcW w:w="1039" w:type="dxa"/>
            <w:tcBorders>
              <w:bottom w:val="single" w:sz="4" w:space="0" w:color="auto"/>
            </w:tcBorders>
            <w:shd w:val="clear" w:color="auto" w:fill="auto"/>
          </w:tcPr>
          <w:p w:rsidR="00617CB0" w:rsidRPr="00022D33" w:rsidRDefault="00617CB0" w:rsidP="000D7011">
            <w:pPr>
              <w:pStyle w:val="Tabletext"/>
              <w:jc w:val="right"/>
            </w:pPr>
            <w:r w:rsidRPr="00022D33">
              <w:t>226,813</w:t>
            </w:r>
          </w:p>
        </w:tc>
        <w:tc>
          <w:tcPr>
            <w:tcW w:w="939" w:type="dxa"/>
            <w:tcBorders>
              <w:bottom w:val="single" w:sz="4" w:space="0" w:color="auto"/>
            </w:tcBorders>
            <w:shd w:val="clear" w:color="auto" w:fill="auto"/>
          </w:tcPr>
          <w:p w:rsidR="00617CB0" w:rsidRPr="00022D33" w:rsidRDefault="00617CB0" w:rsidP="000D7011">
            <w:pPr>
              <w:pStyle w:val="Tabletext"/>
              <w:jc w:val="right"/>
            </w:pPr>
            <w:r w:rsidRPr="00022D33">
              <w:t>-</w:t>
            </w:r>
          </w:p>
        </w:tc>
        <w:tc>
          <w:tcPr>
            <w:tcW w:w="995" w:type="dxa"/>
            <w:tcBorders>
              <w:bottom w:val="single" w:sz="4" w:space="0" w:color="auto"/>
            </w:tcBorders>
            <w:shd w:val="clear" w:color="auto" w:fill="auto"/>
          </w:tcPr>
          <w:p w:rsidR="00617CB0" w:rsidRPr="00022D33" w:rsidRDefault="00617CB0" w:rsidP="000D7011">
            <w:pPr>
              <w:pStyle w:val="Tabletext"/>
              <w:jc w:val="right"/>
            </w:pPr>
            <w:r w:rsidRPr="00022D33">
              <w:t>-</w:t>
            </w:r>
          </w:p>
        </w:tc>
        <w:tc>
          <w:tcPr>
            <w:tcW w:w="939" w:type="dxa"/>
            <w:tcBorders>
              <w:bottom w:val="single" w:sz="4" w:space="0" w:color="auto"/>
              <w:right w:val="single" w:sz="4" w:space="0" w:color="auto"/>
            </w:tcBorders>
            <w:shd w:val="clear" w:color="auto" w:fill="auto"/>
          </w:tcPr>
          <w:p w:rsidR="00617CB0" w:rsidRPr="00022D33" w:rsidRDefault="00617CB0" w:rsidP="000D7011">
            <w:pPr>
              <w:pStyle w:val="Tabletext"/>
              <w:jc w:val="right"/>
            </w:pPr>
            <w:r w:rsidRPr="00022D33">
              <w:t>226,813</w:t>
            </w:r>
          </w:p>
        </w:tc>
        <w:tc>
          <w:tcPr>
            <w:tcW w:w="1005" w:type="dxa"/>
            <w:tcBorders>
              <w:left w:val="single" w:sz="4" w:space="0" w:color="auto"/>
              <w:bottom w:val="single" w:sz="4" w:space="0" w:color="auto"/>
              <w:right w:val="single" w:sz="4" w:space="0" w:color="auto"/>
            </w:tcBorders>
            <w:shd w:val="clear" w:color="auto" w:fill="auto"/>
          </w:tcPr>
          <w:p w:rsidR="00617CB0" w:rsidRPr="00022D33" w:rsidRDefault="00617CB0" w:rsidP="000D7011">
            <w:pPr>
              <w:pStyle w:val="Tabletext"/>
              <w:jc w:val="right"/>
            </w:pPr>
            <w:r w:rsidRPr="00022D33">
              <w:t>226,813</w:t>
            </w:r>
          </w:p>
        </w:tc>
        <w:tc>
          <w:tcPr>
            <w:tcW w:w="939" w:type="dxa"/>
            <w:tcBorders>
              <w:left w:val="single" w:sz="4" w:space="0" w:color="auto"/>
              <w:bottom w:val="single" w:sz="4" w:space="0" w:color="auto"/>
            </w:tcBorders>
            <w:shd w:val="clear" w:color="auto" w:fill="auto"/>
          </w:tcPr>
          <w:p w:rsidR="00617CB0" w:rsidRPr="00022D33" w:rsidRDefault="00617CB0" w:rsidP="000D7011">
            <w:pPr>
              <w:pStyle w:val="Tabletext"/>
              <w:jc w:val="right"/>
            </w:pPr>
            <w:r w:rsidRPr="00022D33">
              <w:t>226,813</w:t>
            </w:r>
          </w:p>
        </w:tc>
        <w:tc>
          <w:tcPr>
            <w:tcW w:w="939" w:type="dxa"/>
            <w:tcBorders>
              <w:bottom w:val="single" w:sz="4" w:space="0" w:color="auto"/>
            </w:tcBorders>
            <w:shd w:val="clear" w:color="auto" w:fill="auto"/>
          </w:tcPr>
          <w:p w:rsidR="00617CB0" w:rsidRPr="00022D33" w:rsidRDefault="00617CB0" w:rsidP="000D7011">
            <w:pPr>
              <w:pStyle w:val="Tabletext"/>
              <w:jc w:val="right"/>
            </w:pPr>
            <w:r w:rsidRPr="00022D33">
              <w:t>-</w:t>
            </w:r>
          </w:p>
        </w:tc>
        <w:tc>
          <w:tcPr>
            <w:tcW w:w="939" w:type="dxa"/>
            <w:tcBorders>
              <w:bottom w:val="single" w:sz="4" w:space="0" w:color="auto"/>
            </w:tcBorders>
            <w:shd w:val="clear" w:color="auto" w:fill="auto"/>
          </w:tcPr>
          <w:p w:rsidR="00617CB0" w:rsidRPr="00022D33" w:rsidRDefault="00617CB0" w:rsidP="000D7011">
            <w:pPr>
              <w:pStyle w:val="Tabletext"/>
              <w:jc w:val="right"/>
            </w:pPr>
            <w:r w:rsidRPr="00022D33">
              <w:t>-</w:t>
            </w:r>
          </w:p>
        </w:tc>
        <w:tc>
          <w:tcPr>
            <w:tcW w:w="942" w:type="dxa"/>
            <w:tcBorders>
              <w:bottom w:val="single" w:sz="4" w:space="0" w:color="auto"/>
            </w:tcBorders>
            <w:shd w:val="clear" w:color="auto" w:fill="auto"/>
          </w:tcPr>
          <w:p w:rsidR="00617CB0" w:rsidRPr="00022D33" w:rsidRDefault="00617CB0" w:rsidP="000D7011">
            <w:pPr>
              <w:pStyle w:val="Tabletext"/>
              <w:jc w:val="right"/>
            </w:pPr>
            <w:r w:rsidRPr="00022D33">
              <w:t>-</w:t>
            </w:r>
          </w:p>
        </w:tc>
        <w:tc>
          <w:tcPr>
            <w:tcW w:w="939" w:type="dxa"/>
            <w:tcBorders>
              <w:bottom w:val="single" w:sz="4" w:space="0" w:color="auto"/>
            </w:tcBorders>
            <w:shd w:val="clear" w:color="auto" w:fill="auto"/>
          </w:tcPr>
          <w:p w:rsidR="00617CB0" w:rsidRPr="00022D33" w:rsidRDefault="00617CB0" w:rsidP="000D7011">
            <w:pPr>
              <w:pStyle w:val="Tabletext"/>
              <w:jc w:val="right"/>
            </w:pPr>
            <w:r w:rsidRPr="00022D33">
              <w:t>-</w:t>
            </w:r>
          </w:p>
        </w:tc>
      </w:tr>
      <w:tr w:rsidR="00617CB0" w:rsidRPr="00022D33" w:rsidTr="000D7011">
        <w:tc>
          <w:tcPr>
            <w:tcW w:w="1243" w:type="dxa"/>
            <w:shd w:val="clear" w:color="auto" w:fill="auto"/>
            <w:tcMar>
              <w:left w:w="0" w:type="dxa"/>
            </w:tcMar>
          </w:tcPr>
          <w:p w:rsidR="00617CB0" w:rsidRPr="00022D33" w:rsidRDefault="00617CB0" w:rsidP="000D7011">
            <w:pPr>
              <w:pStyle w:val="Tabletext"/>
            </w:pPr>
          </w:p>
        </w:tc>
        <w:tc>
          <w:tcPr>
            <w:tcW w:w="1008" w:type="dxa"/>
            <w:shd w:val="clear" w:color="auto" w:fill="auto"/>
          </w:tcPr>
          <w:p w:rsidR="00617CB0" w:rsidRPr="00022D33" w:rsidRDefault="00617CB0" w:rsidP="000D7011">
            <w:pPr>
              <w:pStyle w:val="Tabletext"/>
            </w:pPr>
          </w:p>
        </w:tc>
        <w:tc>
          <w:tcPr>
            <w:tcW w:w="1039"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439,152</w:t>
            </w:r>
          </w:p>
        </w:tc>
        <w:tc>
          <w:tcPr>
            <w:tcW w:w="939"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143,094</w:t>
            </w:r>
          </w:p>
        </w:tc>
        <w:tc>
          <w:tcPr>
            <w:tcW w:w="995"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w:t>
            </w:r>
          </w:p>
        </w:tc>
        <w:tc>
          <w:tcPr>
            <w:tcW w:w="939" w:type="dxa"/>
            <w:tcBorders>
              <w:top w:val="single" w:sz="4" w:space="0" w:color="auto"/>
              <w:bottom w:val="double" w:sz="4" w:space="0" w:color="auto"/>
              <w:right w:val="single" w:sz="4" w:space="0" w:color="auto"/>
            </w:tcBorders>
            <w:shd w:val="clear" w:color="auto" w:fill="auto"/>
          </w:tcPr>
          <w:p w:rsidR="00617CB0" w:rsidRPr="00022D33" w:rsidRDefault="00617CB0" w:rsidP="000D7011">
            <w:pPr>
              <w:pStyle w:val="Tableboldedtext"/>
              <w:jc w:val="right"/>
            </w:pPr>
            <w:r w:rsidRPr="00022D33">
              <w:t>296,062</w:t>
            </w:r>
          </w:p>
        </w:tc>
        <w:tc>
          <w:tcPr>
            <w:tcW w:w="1005" w:type="dxa"/>
            <w:tcBorders>
              <w:top w:val="single" w:sz="4" w:space="0" w:color="auto"/>
              <w:left w:val="single" w:sz="4" w:space="0" w:color="auto"/>
              <w:bottom w:val="double" w:sz="4" w:space="0" w:color="auto"/>
              <w:right w:val="single" w:sz="4" w:space="0" w:color="auto"/>
            </w:tcBorders>
            <w:shd w:val="clear" w:color="auto" w:fill="auto"/>
          </w:tcPr>
          <w:p w:rsidR="00617CB0" w:rsidRPr="00022D33" w:rsidRDefault="00617CB0" w:rsidP="000D7011">
            <w:pPr>
              <w:pStyle w:val="Tableboldedtext"/>
              <w:jc w:val="right"/>
            </w:pPr>
            <w:r w:rsidRPr="00022D33">
              <w:t>439,156</w:t>
            </w:r>
          </w:p>
        </w:tc>
        <w:tc>
          <w:tcPr>
            <w:tcW w:w="939" w:type="dxa"/>
            <w:tcBorders>
              <w:top w:val="single" w:sz="4" w:space="0" w:color="auto"/>
              <w:left w:val="single" w:sz="4" w:space="0" w:color="auto"/>
              <w:bottom w:val="double" w:sz="4" w:space="0" w:color="auto"/>
            </w:tcBorders>
            <w:shd w:val="clear" w:color="auto" w:fill="auto"/>
          </w:tcPr>
          <w:p w:rsidR="00617CB0" w:rsidRPr="00022D33" w:rsidRDefault="00617CB0" w:rsidP="000D7011">
            <w:pPr>
              <w:pStyle w:val="Tableboldedtext"/>
              <w:jc w:val="right"/>
            </w:pPr>
            <w:r w:rsidRPr="00022D33">
              <w:t>298,366</w:t>
            </w:r>
          </w:p>
        </w:tc>
        <w:tc>
          <w:tcPr>
            <w:tcW w:w="939"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5,962</w:t>
            </w:r>
          </w:p>
        </w:tc>
        <w:tc>
          <w:tcPr>
            <w:tcW w:w="939"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31,148</w:t>
            </w:r>
          </w:p>
        </w:tc>
        <w:tc>
          <w:tcPr>
            <w:tcW w:w="942"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80,061</w:t>
            </w:r>
          </w:p>
        </w:tc>
        <w:tc>
          <w:tcPr>
            <w:tcW w:w="939"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23,619</w:t>
            </w:r>
          </w:p>
        </w:tc>
      </w:tr>
    </w:tbl>
    <w:p w:rsidR="00617CB0" w:rsidRPr="00022D33" w:rsidRDefault="00617CB0" w:rsidP="000D7011">
      <w:pPr>
        <w:pStyle w:val="Heading4"/>
        <w:numPr>
          <w:ilvl w:val="0"/>
          <w:numId w:val="27"/>
        </w:numPr>
        <w:rPr>
          <w:rStyle w:val="BodyTextChar"/>
          <w:b w:val="0"/>
          <w:bCs w:val="0"/>
          <w:sz w:val="20"/>
          <w:szCs w:val="20"/>
        </w:rPr>
      </w:pPr>
      <w:r w:rsidRPr="00022D33">
        <w:rPr>
          <w:rStyle w:val="BodyTextChar"/>
          <w:b w:val="0"/>
          <w:bCs w:val="0"/>
          <w:sz w:val="20"/>
          <w:szCs w:val="20"/>
        </w:rPr>
        <w:t xml:space="preserve">The amount of receivables excludes the GST recoverable from the ATO (statutory receivable). </w:t>
      </w:r>
    </w:p>
    <w:p w:rsidR="00617CB0" w:rsidRPr="00022D33" w:rsidRDefault="00617CB0" w:rsidP="00617CB0">
      <w:pPr>
        <w:pStyle w:val="Heading4"/>
        <w:rPr>
          <w:b w:val="0"/>
          <w:i/>
        </w:rPr>
        <w:sectPr w:rsidR="00617CB0" w:rsidRPr="00022D33" w:rsidSect="005F3639">
          <w:pgSz w:w="11906" w:h="16838" w:code="9"/>
          <w:pgMar w:top="1440" w:right="1440" w:bottom="1276" w:left="1440" w:header="0" w:footer="709" w:gutter="0"/>
          <w:cols w:space="708"/>
          <w:docGrid w:linePitch="360"/>
        </w:sectPr>
      </w:pPr>
    </w:p>
    <w:p w:rsidR="00617CB0" w:rsidRPr="00022D33" w:rsidRDefault="00617CB0" w:rsidP="00617CB0">
      <w:pPr>
        <w:pStyle w:val="Heading4"/>
        <w:rPr>
          <w:b w:val="0"/>
          <w:i/>
        </w:rPr>
      </w:pPr>
      <w:r w:rsidRPr="00022D33">
        <w:rPr>
          <w:b w:val="0"/>
          <w:i/>
        </w:rPr>
        <w:t>Interest rate sensitivity analysis</w:t>
      </w:r>
    </w:p>
    <w:p w:rsidR="00617CB0" w:rsidRPr="00022D33" w:rsidRDefault="00617CB0" w:rsidP="00617CB0">
      <w:pPr>
        <w:pStyle w:val="BodyText"/>
      </w:pPr>
      <w:r w:rsidRPr="00022D33">
        <w:t>The following table represents a summary of the interest rate sensitivity of the Department’s financial assets and liabilities at the end of the reporting period on the surplus for the period and equity for a 1% change in interest rates. It is assumed that the change in interest rates is held constant throughout the reporting period.</w:t>
      </w:r>
      <w:r>
        <w:br/>
      </w:r>
    </w:p>
    <w:p w:rsidR="00617CB0" w:rsidRPr="00022D33" w:rsidRDefault="00196F4C" w:rsidP="00617CB0">
      <w:pPr>
        <w:pStyle w:val="Caption"/>
        <w:keepNext/>
        <w:spacing w:after="60"/>
      </w:pPr>
      <w:fldSimple w:instr=" SEQ Table \* ARABIC ">
        <w:r w:rsidR="00D8778B">
          <w:rPr>
            <w:noProof/>
          </w:rPr>
          <w:t>60</w:t>
        </w:r>
      </w:fldSimple>
      <w:r w:rsidR="00617CB0" w:rsidRPr="00022D33">
        <w:t xml:space="preserve"> Interest rate sensitivity analysis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1468"/>
        <w:gridCol w:w="1456"/>
        <w:gridCol w:w="1437"/>
        <w:gridCol w:w="1457"/>
        <w:gridCol w:w="1438"/>
      </w:tblGrid>
      <w:tr w:rsidR="00617CB0" w:rsidRPr="00022D33" w:rsidTr="000D7011">
        <w:tc>
          <w:tcPr>
            <w:tcW w:w="1986" w:type="dxa"/>
            <w:tcBorders>
              <w:top w:val="nil"/>
              <w:left w:val="nil"/>
              <w:bottom w:val="nil"/>
              <w:right w:val="nil"/>
            </w:tcBorders>
            <w:shd w:val="clear" w:color="auto" w:fill="auto"/>
          </w:tcPr>
          <w:p w:rsidR="00617CB0" w:rsidRPr="00022D33" w:rsidRDefault="00617CB0" w:rsidP="000D7011">
            <w:pPr>
              <w:pStyle w:val="Tabletext"/>
            </w:pPr>
          </w:p>
        </w:tc>
        <w:tc>
          <w:tcPr>
            <w:tcW w:w="1468" w:type="dxa"/>
            <w:tcBorders>
              <w:top w:val="nil"/>
              <w:left w:val="nil"/>
              <w:bottom w:val="nil"/>
              <w:right w:val="nil"/>
            </w:tcBorders>
            <w:shd w:val="clear" w:color="auto" w:fill="auto"/>
          </w:tcPr>
          <w:p w:rsidR="00617CB0" w:rsidRPr="00022D33" w:rsidRDefault="00617CB0" w:rsidP="000D7011">
            <w:pPr>
              <w:pStyle w:val="Tabletext"/>
            </w:pPr>
          </w:p>
        </w:tc>
        <w:tc>
          <w:tcPr>
            <w:tcW w:w="2893" w:type="dxa"/>
            <w:gridSpan w:val="2"/>
            <w:tcBorders>
              <w:top w:val="nil"/>
              <w:left w:val="nil"/>
              <w:bottom w:val="nil"/>
              <w:right w:val="nil"/>
            </w:tcBorders>
            <w:shd w:val="clear" w:color="auto" w:fill="auto"/>
          </w:tcPr>
          <w:p w:rsidR="00617CB0" w:rsidRPr="00022D33" w:rsidRDefault="00617CB0" w:rsidP="000D7011">
            <w:pPr>
              <w:pStyle w:val="Tableboldedtext"/>
              <w:jc w:val="center"/>
            </w:pPr>
            <w:r w:rsidRPr="00022D33">
              <w:t>-100 basis points</w:t>
            </w:r>
          </w:p>
        </w:tc>
        <w:tc>
          <w:tcPr>
            <w:tcW w:w="2895" w:type="dxa"/>
            <w:gridSpan w:val="2"/>
            <w:tcBorders>
              <w:top w:val="nil"/>
              <w:left w:val="nil"/>
              <w:bottom w:val="nil"/>
              <w:right w:val="nil"/>
            </w:tcBorders>
            <w:shd w:val="clear" w:color="auto" w:fill="auto"/>
          </w:tcPr>
          <w:p w:rsidR="00617CB0" w:rsidRPr="00022D33" w:rsidRDefault="00617CB0" w:rsidP="000D7011">
            <w:pPr>
              <w:pStyle w:val="Tableboldedtext"/>
              <w:jc w:val="center"/>
            </w:pPr>
            <w:r w:rsidRPr="00022D33">
              <w:t>+100 basis points</w:t>
            </w:r>
          </w:p>
        </w:tc>
      </w:tr>
      <w:tr w:rsidR="00617CB0" w:rsidRPr="00022D33" w:rsidTr="000D7011">
        <w:tc>
          <w:tcPr>
            <w:tcW w:w="1986" w:type="dxa"/>
            <w:tcBorders>
              <w:top w:val="nil"/>
              <w:left w:val="nil"/>
              <w:bottom w:val="nil"/>
              <w:right w:val="nil"/>
            </w:tcBorders>
            <w:shd w:val="clear" w:color="auto" w:fill="auto"/>
          </w:tcPr>
          <w:p w:rsidR="00617CB0" w:rsidRPr="00022D33" w:rsidRDefault="00617CB0" w:rsidP="000D7011">
            <w:pPr>
              <w:pStyle w:val="BodyText"/>
            </w:pPr>
          </w:p>
        </w:tc>
        <w:tc>
          <w:tcPr>
            <w:tcW w:w="1468" w:type="dxa"/>
            <w:tcBorders>
              <w:top w:val="nil"/>
              <w:left w:val="nil"/>
              <w:bottom w:val="nil"/>
              <w:right w:val="nil"/>
            </w:tcBorders>
            <w:shd w:val="clear" w:color="auto" w:fill="auto"/>
          </w:tcPr>
          <w:p w:rsidR="00617CB0" w:rsidRPr="00022D33" w:rsidRDefault="00617CB0" w:rsidP="000D7011">
            <w:pPr>
              <w:pStyle w:val="Tableboldedtext"/>
              <w:jc w:val="right"/>
            </w:pPr>
            <w:r w:rsidRPr="00022D33">
              <w:t>Carrying amount $000</w:t>
            </w:r>
          </w:p>
        </w:tc>
        <w:tc>
          <w:tcPr>
            <w:tcW w:w="1456" w:type="dxa"/>
            <w:tcBorders>
              <w:top w:val="nil"/>
              <w:left w:val="nil"/>
              <w:bottom w:val="nil"/>
              <w:right w:val="nil"/>
            </w:tcBorders>
            <w:shd w:val="clear" w:color="auto" w:fill="auto"/>
          </w:tcPr>
          <w:p w:rsidR="00617CB0" w:rsidRPr="00022D33" w:rsidRDefault="00617CB0" w:rsidP="000D7011">
            <w:pPr>
              <w:pStyle w:val="Tableboldedtext"/>
              <w:jc w:val="right"/>
            </w:pPr>
            <w:r w:rsidRPr="00022D33">
              <w:t>Surplus $000</w:t>
            </w:r>
          </w:p>
        </w:tc>
        <w:tc>
          <w:tcPr>
            <w:tcW w:w="1437" w:type="dxa"/>
            <w:tcBorders>
              <w:top w:val="nil"/>
              <w:left w:val="nil"/>
              <w:bottom w:val="nil"/>
              <w:right w:val="nil"/>
            </w:tcBorders>
            <w:shd w:val="clear" w:color="auto" w:fill="auto"/>
          </w:tcPr>
          <w:p w:rsidR="00617CB0" w:rsidRPr="00022D33" w:rsidRDefault="00617CB0" w:rsidP="000D7011">
            <w:pPr>
              <w:pStyle w:val="Tableboldedtext"/>
              <w:jc w:val="right"/>
            </w:pPr>
            <w:r w:rsidRPr="00022D33">
              <w:t>Equity $000</w:t>
            </w:r>
          </w:p>
        </w:tc>
        <w:tc>
          <w:tcPr>
            <w:tcW w:w="1457" w:type="dxa"/>
            <w:tcBorders>
              <w:top w:val="nil"/>
              <w:left w:val="nil"/>
              <w:bottom w:val="nil"/>
              <w:right w:val="nil"/>
            </w:tcBorders>
            <w:shd w:val="clear" w:color="auto" w:fill="auto"/>
          </w:tcPr>
          <w:p w:rsidR="00617CB0" w:rsidRPr="00022D33" w:rsidRDefault="00617CB0" w:rsidP="000D7011">
            <w:pPr>
              <w:pStyle w:val="Tableboldedtext"/>
              <w:jc w:val="right"/>
            </w:pPr>
            <w:r w:rsidRPr="00022D33">
              <w:t>Surplus $000</w:t>
            </w:r>
          </w:p>
        </w:tc>
        <w:tc>
          <w:tcPr>
            <w:tcW w:w="1438" w:type="dxa"/>
            <w:tcBorders>
              <w:top w:val="nil"/>
              <w:left w:val="nil"/>
              <w:bottom w:val="nil"/>
              <w:right w:val="nil"/>
            </w:tcBorders>
            <w:shd w:val="clear" w:color="auto" w:fill="auto"/>
          </w:tcPr>
          <w:p w:rsidR="00617CB0" w:rsidRPr="00022D33" w:rsidRDefault="00617CB0" w:rsidP="000D7011">
            <w:pPr>
              <w:pStyle w:val="Tableboldedtext"/>
              <w:jc w:val="right"/>
            </w:pPr>
            <w:r w:rsidRPr="00022D33">
              <w:t>Equity $000</w:t>
            </w:r>
          </w:p>
        </w:tc>
      </w:tr>
      <w:tr w:rsidR="00617CB0" w:rsidRPr="00022D33" w:rsidTr="000D7011">
        <w:tc>
          <w:tcPr>
            <w:tcW w:w="9242" w:type="dxa"/>
            <w:gridSpan w:val="6"/>
            <w:tcBorders>
              <w:top w:val="nil"/>
              <w:left w:val="nil"/>
              <w:bottom w:val="nil"/>
              <w:right w:val="nil"/>
            </w:tcBorders>
            <w:shd w:val="clear" w:color="auto" w:fill="auto"/>
          </w:tcPr>
          <w:p w:rsidR="00617CB0" w:rsidRPr="00022D33" w:rsidRDefault="00617CB0" w:rsidP="000D7011">
            <w:pPr>
              <w:pStyle w:val="Tabletext"/>
              <w:rPr>
                <w:b/>
              </w:rPr>
            </w:pPr>
            <w:r w:rsidRPr="00022D33">
              <w:rPr>
                <w:b/>
              </w:rPr>
              <w:t>2016</w:t>
            </w:r>
          </w:p>
        </w:tc>
      </w:tr>
      <w:tr w:rsidR="00617CB0" w:rsidRPr="00022D33" w:rsidTr="000D7011">
        <w:tc>
          <w:tcPr>
            <w:tcW w:w="9242" w:type="dxa"/>
            <w:gridSpan w:val="6"/>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Financial assets</w:t>
            </w:r>
          </w:p>
        </w:tc>
      </w:tr>
      <w:tr w:rsidR="00617CB0" w:rsidRPr="00022D33" w:rsidTr="000D7011">
        <w:tc>
          <w:tcPr>
            <w:tcW w:w="1986" w:type="dxa"/>
            <w:tcBorders>
              <w:top w:val="nil"/>
              <w:left w:val="nil"/>
              <w:bottom w:val="nil"/>
              <w:right w:val="nil"/>
            </w:tcBorders>
            <w:shd w:val="clear" w:color="auto" w:fill="auto"/>
          </w:tcPr>
          <w:p w:rsidR="00617CB0" w:rsidRPr="00022D33" w:rsidRDefault="00617CB0" w:rsidP="000D7011">
            <w:pPr>
              <w:pStyle w:val="Tabletext"/>
            </w:pPr>
            <w:r w:rsidRPr="00022D33">
              <w:t xml:space="preserve">Cash and cash equivalents </w:t>
            </w:r>
          </w:p>
        </w:tc>
        <w:tc>
          <w:tcPr>
            <w:tcW w:w="1468"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7,393</w:t>
            </w:r>
          </w:p>
        </w:tc>
        <w:tc>
          <w:tcPr>
            <w:tcW w:w="1456"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(74)</w:t>
            </w:r>
          </w:p>
        </w:tc>
        <w:tc>
          <w:tcPr>
            <w:tcW w:w="1437"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(74)</w:t>
            </w:r>
          </w:p>
        </w:tc>
        <w:tc>
          <w:tcPr>
            <w:tcW w:w="1457"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74</w:t>
            </w:r>
          </w:p>
        </w:tc>
        <w:tc>
          <w:tcPr>
            <w:tcW w:w="1438"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74</w:t>
            </w:r>
          </w:p>
        </w:tc>
      </w:tr>
      <w:tr w:rsidR="00617CB0" w:rsidRPr="00022D33" w:rsidTr="000D7011">
        <w:tc>
          <w:tcPr>
            <w:tcW w:w="1986" w:type="dxa"/>
            <w:tcBorders>
              <w:top w:val="nil"/>
              <w:left w:val="nil"/>
              <w:bottom w:val="nil"/>
              <w:right w:val="nil"/>
            </w:tcBorders>
            <w:shd w:val="clear" w:color="auto" w:fill="auto"/>
          </w:tcPr>
          <w:p w:rsidR="00617CB0" w:rsidRPr="00022D33" w:rsidRDefault="00617CB0" w:rsidP="000D7011">
            <w:pPr>
              <w:pStyle w:val="Tabletext"/>
            </w:pPr>
            <w:r w:rsidRPr="00022D33">
              <w:t>Total increase/(decrease)</w:t>
            </w:r>
          </w:p>
        </w:tc>
        <w:tc>
          <w:tcPr>
            <w:tcW w:w="1468"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text"/>
              <w:jc w:val="right"/>
              <w:rPr>
                <w:b/>
              </w:rPr>
            </w:pPr>
            <w:r w:rsidRPr="00022D33">
              <w:rPr>
                <w:b/>
              </w:rPr>
              <w:t>7,393</w:t>
            </w:r>
          </w:p>
        </w:tc>
        <w:tc>
          <w:tcPr>
            <w:tcW w:w="1456"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text"/>
              <w:jc w:val="right"/>
              <w:rPr>
                <w:b/>
              </w:rPr>
            </w:pPr>
            <w:r w:rsidRPr="00022D33">
              <w:rPr>
                <w:b/>
              </w:rPr>
              <w:t>(74)</w:t>
            </w:r>
          </w:p>
        </w:tc>
        <w:tc>
          <w:tcPr>
            <w:tcW w:w="1437"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text"/>
              <w:jc w:val="right"/>
              <w:rPr>
                <w:b/>
              </w:rPr>
            </w:pPr>
            <w:r w:rsidRPr="00022D33">
              <w:rPr>
                <w:b/>
              </w:rPr>
              <w:t>(74)</w:t>
            </w:r>
          </w:p>
        </w:tc>
        <w:tc>
          <w:tcPr>
            <w:tcW w:w="1457"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text"/>
              <w:jc w:val="right"/>
              <w:rPr>
                <w:b/>
              </w:rPr>
            </w:pPr>
            <w:r w:rsidRPr="00022D33">
              <w:rPr>
                <w:b/>
              </w:rPr>
              <w:t>74</w:t>
            </w:r>
          </w:p>
        </w:tc>
        <w:tc>
          <w:tcPr>
            <w:tcW w:w="1438"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text"/>
              <w:jc w:val="right"/>
              <w:rPr>
                <w:b/>
              </w:rPr>
            </w:pPr>
            <w:r w:rsidRPr="00022D33">
              <w:rPr>
                <w:b/>
              </w:rPr>
              <w:t>74</w:t>
            </w:r>
          </w:p>
        </w:tc>
      </w:tr>
      <w:tr w:rsidR="00617CB0" w:rsidRPr="00022D33" w:rsidTr="000D7011">
        <w:tc>
          <w:tcPr>
            <w:tcW w:w="9242" w:type="dxa"/>
            <w:gridSpan w:val="6"/>
            <w:tcBorders>
              <w:top w:val="nil"/>
              <w:left w:val="nil"/>
              <w:bottom w:val="nil"/>
              <w:right w:val="nil"/>
            </w:tcBorders>
            <w:shd w:val="clear" w:color="auto" w:fill="auto"/>
          </w:tcPr>
          <w:p w:rsidR="00617CB0" w:rsidRPr="00022D33" w:rsidRDefault="00617CB0" w:rsidP="000D7011">
            <w:pPr>
              <w:pStyle w:val="Tabletext"/>
              <w:rPr>
                <w:b/>
              </w:rPr>
            </w:pPr>
            <w:r w:rsidRPr="00022D33">
              <w:rPr>
                <w:b/>
              </w:rPr>
              <w:t>2015</w:t>
            </w:r>
          </w:p>
        </w:tc>
      </w:tr>
      <w:tr w:rsidR="00617CB0" w:rsidRPr="00022D33" w:rsidTr="000D7011">
        <w:tc>
          <w:tcPr>
            <w:tcW w:w="9242" w:type="dxa"/>
            <w:gridSpan w:val="6"/>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Financial assets</w:t>
            </w:r>
          </w:p>
        </w:tc>
      </w:tr>
      <w:tr w:rsidR="00617CB0" w:rsidRPr="00022D33" w:rsidTr="000D7011">
        <w:tc>
          <w:tcPr>
            <w:tcW w:w="1986" w:type="dxa"/>
            <w:tcBorders>
              <w:top w:val="nil"/>
              <w:left w:val="nil"/>
              <w:bottom w:val="nil"/>
              <w:right w:val="nil"/>
            </w:tcBorders>
            <w:shd w:val="clear" w:color="auto" w:fill="auto"/>
          </w:tcPr>
          <w:p w:rsidR="00617CB0" w:rsidRPr="00022D33" w:rsidRDefault="00617CB0" w:rsidP="000D7011">
            <w:pPr>
              <w:pStyle w:val="Tabletext"/>
            </w:pPr>
            <w:r w:rsidRPr="00022D33">
              <w:t xml:space="preserve">Cash and cash equivalents </w:t>
            </w:r>
          </w:p>
        </w:tc>
        <w:tc>
          <w:tcPr>
            <w:tcW w:w="1468"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6,405</w:t>
            </w:r>
          </w:p>
        </w:tc>
        <w:tc>
          <w:tcPr>
            <w:tcW w:w="1456"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(64)</w:t>
            </w:r>
          </w:p>
        </w:tc>
        <w:tc>
          <w:tcPr>
            <w:tcW w:w="1437"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(64)</w:t>
            </w:r>
          </w:p>
        </w:tc>
        <w:tc>
          <w:tcPr>
            <w:tcW w:w="1457"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64</w:t>
            </w:r>
          </w:p>
        </w:tc>
        <w:tc>
          <w:tcPr>
            <w:tcW w:w="1438"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64</w:t>
            </w:r>
          </w:p>
        </w:tc>
      </w:tr>
      <w:tr w:rsidR="00617CB0" w:rsidRPr="00022D33" w:rsidTr="000D7011">
        <w:tc>
          <w:tcPr>
            <w:tcW w:w="1986" w:type="dxa"/>
            <w:tcBorders>
              <w:top w:val="nil"/>
              <w:left w:val="nil"/>
              <w:bottom w:val="nil"/>
              <w:right w:val="nil"/>
            </w:tcBorders>
            <w:shd w:val="clear" w:color="auto" w:fill="auto"/>
          </w:tcPr>
          <w:p w:rsidR="00617CB0" w:rsidRPr="00022D33" w:rsidRDefault="00617CB0" w:rsidP="000D7011">
            <w:pPr>
              <w:pStyle w:val="Tabletext"/>
            </w:pPr>
            <w:r w:rsidRPr="00022D33">
              <w:t>Total increase/(decrease)</w:t>
            </w:r>
          </w:p>
        </w:tc>
        <w:tc>
          <w:tcPr>
            <w:tcW w:w="1468"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text"/>
              <w:jc w:val="right"/>
              <w:rPr>
                <w:b/>
              </w:rPr>
            </w:pPr>
            <w:r>
              <w:rPr>
                <w:b/>
              </w:rPr>
              <w:t>6</w:t>
            </w:r>
            <w:r w:rsidRPr="00022D33">
              <w:rPr>
                <w:b/>
              </w:rPr>
              <w:t>,405</w:t>
            </w:r>
          </w:p>
        </w:tc>
        <w:tc>
          <w:tcPr>
            <w:tcW w:w="1456"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text"/>
              <w:jc w:val="right"/>
              <w:rPr>
                <w:b/>
              </w:rPr>
            </w:pPr>
            <w:r w:rsidRPr="00022D33">
              <w:rPr>
                <w:b/>
              </w:rPr>
              <w:t>(64)</w:t>
            </w:r>
          </w:p>
        </w:tc>
        <w:tc>
          <w:tcPr>
            <w:tcW w:w="1437"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text"/>
              <w:jc w:val="right"/>
              <w:rPr>
                <w:b/>
              </w:rPr>
            </w:pPr>
            <w:r w:rsidRPr="00022D33">
              <w:rPr>
                <w:b/>
              </w:rPr>
              <w:t>(64)</w:t>
            </w:r>
          </w:p>
        </w:tc>
        <w:tc>
          <w:tcPr>
            <w:tcW w:w="1457"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text"/>
              <w:jc w:val="right"/>
              <w:rPr>
                <w:b/>
              </w:rPr>
            </w:pPr>
            <w:r w:rsidRPr="00022D33">
              <w:rPr>
                <w:b/>
              </w:rPr>
              <w:t>64</w:t>
            </w:r>
          </w:p>
        </w:tc>
        <w:tc>
          <w:tcPr>
            <w:tcW w:w="1438"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text"/>
              <w:jc w:val="right"/>
              <w:rPr>
                <w:b/>
              </w:rPr>
            </w:pPr>
            <w:r w:rsidRPr="00022D33">
              <w:rPr>
                <w:b/>
              </w:rPr>
              <w:t>64</w:t>
            </w:r>
          </w:p>
        </w:tc>
      </w:tr>
    </w:tbl>
    <w:p w:rsidR="00617CB0" w:rsidRPr="00022D33" w:rsidRDefault="00617CB0" w:rsidP="00617CB0">
      <w:pPr>
        <w:pStyle w:val="Heading4"/>
        <w:rPr>
          <w:b w:val="0"/>
          <w:i/>
        </w:rPr>
      </w:pPr>
      <w:r w:rsidRPr="00022D33">
        <w:rPr>
          <w:b w:val="0"/>
          <w:i/>
          <w:spacing w:val="-3"/>
        </w:rPr>
        <w:t>Fair</w:t>
      </w:r>
      <w:r w:rsidRPr="00022D33">
        <w:rPr>
          <w:b w:val="0"/>
          <w:i/>
        </w:rPr>
        <w:t xml:space="preserve"> values</w:t>
      </w:r>
    </w:p>
    <w:p w:rsidR="00617CB0" w:rsidRPr="00022D33" w:rsidRDefault="00617CB0" w:rsidP="00617CB0">
      <w:pPr>
        <w:pStyle w:val="BodyText"/>
      </w:pPr>
      <w:r w:rsidRPr="00022D33">
        <w:t>All financial assets and liabilities recognised in the Statement of Financial Position, whether they are carried at cost or fair value, are recognised at amounts that represent a reasonable approximation of fair value unless otherwise stated in the applicable notes.</w:t>
      </w:r>
    </w:p>
    <w:p w:rsidR="00617CB0" w:rsidRPr="00022D33" w:rsidRDefault="00617CB0" w:rsidP="00617CB0">
      <w:pPr>
        <w:pStyle w:val="Heading3"/>
      </w:pPr>
      <w:r w:rsidRPr="00022D33">
        <w:t>Note 41. Remuneration of auditor</w:t>
      </w:r>
    </w:p>
    <w:p w:rsidR="00617CB0" w:rsidRPr="00022D33" w:rsidRDefault="00617CB0" w:rsidP="00617CB0">
      <w:pPr>
        <w:pStyle w:val="BodyText"/>
      </w:pPr>
      <w:r w:rsidRPr="00022D33">
        <w:t>Remuneration paid or payable to the Auditor General in respect of the audit for the current financial year is as follows:</w:t>
      </w:r>
      <w:r>
        <w:br/>
      </w:r>
    </w:p>
    <w:p w:rsidR="00617CB0" w:rsidRPr="00022D33" w:rsidRDefault="00196F4C" w:rsidP="00617CB0">
      <w:pPr>
        <w:pStyle w:val="Caption"/>
        <w:keepNext/>
        <w:spacing w:after="60"/>
      </w:pPr>
      <w:fldSimple w:instr=" SEQ Table \* ARABIC ">
        <w:r w:rsidR="00D8778B">
          <w:rPr>
            <w:noProof/>
          </w:rPr>
          <w:t>61</w:t>
        </w:r>
      </w:fldSimple>
      <w:r w:rsidR="00617CB0" w:rsidRPr="00022D33">
        <w:t xml:space="preserve"> Remuneration of auditor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Auditing</w:t>
            </w:r>
            <w:r w:rsidRPr="00022D33">
              <w:rPr>
                <w:spacing w:val="-2"/>
              </w:rPr>
              <w:t xml:space="preserve"> </w:t>
            </w:r>
            <w:r w:rsidRPr="00022D33">
              <w:t>the accounts, financial statements and</w:t>
            </w:r>
            <w:r w:rsidRPr="00022D33">
              <w:rPr>
                <w:spacing w:val="-2"/>
              </w:rPr>
              <w:t xml:space="preserve"> </w:t>
            </w:r>
            <w:r w:rsidRPr="00022D33">
              <w:t>key</w:t>
            </w:r>
            <w:r w:rsidRPr="00022D33">
              <w:rPr>
                <w:spacing w:val="25"/>
              </w:rPr>
              <w:t xml:space="preserve"> </w:t>
            </w:r>
            <w:r w:rsidRPr="00022D33">
              <w:t>performance indicators</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370</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368</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single" w:sz="4" w:space="0" w:color="auto"/>
              <w:left w:val="nil"/>
              <w:bottom w:val="double" w:sz="4" w:space="0" w:color="auto"/>
              <w:right w:val="nil"/>
            </w:tcBorders>
          </w:tcPr>
          <w:p w:rsidR="00617CB0" w:rsidRPr="00022D33" w:rsidRDefault="00617CB0" w:rsidP="000D7011">
            <w:pPr>
              <w:pStyle w:val="Tabletext"/>
              <w:jc w:val="right"/>
              <w:rPr>
                <w:b/>
              </w:rPr>
            </w:pPr>
            <w:r w:rsidRPr="00022D33">
              <w:rPr>
                <w:b/>
              </w:rPr>
              <w:t>370</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text"/>
              <w:jc w:val="right"/>
              <w:rPr>
                <w:b/>
              </w:rPr>
            </w:pPr>
            <w:r w:rsidRPr="00022D33">
              <w:rPr>
                <w:b/>
              </w:rPr>
              <w:t>368</w:t>
            </w:r>
          </w:p>
        </w:tc>
      </w:tr>
    </w:tbl>
    <w:p w:rsidR="00617CB0" w:rsidRPr="00022D33" w:rsidRDefault="00617CB0" w:rsidP="00617CB0">
      <w:pPr>
        <w:pStyle w:val="Caption"/>
        <w:keepNext/>
        <w:rPr>
          <w:noProof/>
        </w:rPr>
      </w:pPr>
      <w:r w:rsidRPr="00022D33">
        <w:br w:type="page"/>
      </w:r>
      <w:r w:rsidRPr="00022D33">
        <w:rPr>
          <w:noProof/>
        </w:rPr>
        <w:t>Note 42. Remuneration of senior officers</w:t>
      </w:r>
    </w:p>
    <w:p w:rsidR="00617CB0" w:rsidRPr="00022D33" w:rsidRDefault="00617CB0" w:rsidP="00617CB0">
      <w:pPr>
        <w:pStyle w:val="BodyText"/>
      </w:pPr>
      <w:r w:rsidRPr="00022D33">
        <w:t>The number of senior officers whose total fees, salaries, superannuation, non-monetary benefits and other benefits for the financial year fall within the following bands are:</w:t>
      </w:r>
      <w:r>
        <w:br/>
      </w:r>
    </w:p>
    <w:p w:rsidR="00617CB0" w:rsidRPr="00022D33" w:rsidRDefault="00196F4C" w:rsidP="00617CB0">
      <w:pPr>
        <w:pStyle w:val="Caption"/>
        <w:keepNext/>
        <w:spacing w:after="60"/>
      </w:pPr>
      <w:fldSimple w:instr=" SEQ Table \* ARABIC ">
        <w:r w:rsidR="00D8778B">
          <w:rPr>
            <w:noProof/>
          </w:rPr>
          <w:t>62</w:t>
        </w:r>
      </w:fldSimple>
      <w:r w:rsidR="00617CB0" w:rsidRPr="00022D33">
        <w:t xml:space="preserve"> Remuneration of senior officers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tcPr>
          <w:p w:rsidR="00617CB0" w:rsidRPr="00022D33" w:rsidRDefault="00617CB0" w:rsidP="000D7011">
            <w:pPr>
              <w:pStyle w:val="Tableboldedtext"/>
              <w:jc w:val="right"/>
            </w:pPr>
            <w:r w:rsidRPr="00022D33">
              <w:t>2016</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30,001 - 40,000</w:t>
            </w:r>
          </w:p>
        </w:tc>
        <w:tc>
          <w:tcPr>
            <w:tcW w:w="1474" w:type="dxa"/>
            <w:tcBorders>
              <w:top w:val="nil"/>
              <w:left w:val="nil"/>
              <w:bottom w:val="nil"/>
              <w:right w:val="nil"/>
            </w:tcBorders>
          </w:tcPr>
          <w:p w:rsidR="00617CB0" w:rsidRPr="00022D33" w:rsidRDefault="00617CB0" w:rsidP="000D7011">
            <w:pPr>
              <w:pStyle w:val="Tabletext"/>
              <w:jc w:val="right"/>
            </w:pPr>
            <w:r w:rsidRPr="00022D33">
              <w:t>-</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t>60,001 – 70,000</w:t>
            </w:r>
          </w:p>
        </w:tc>
        <w:tc>
          <w:tcPr>
            <w:tcW w:w="1474" w:type="dxa"/>
            <w:tcBorders>
              <w:top w:val="nil"/>
              <w:left w:val="nil"/>
              <w:bottom w:val="nil"/>
              <w:right w:val="nil"/>
            </w:tcBorders>
          </w:tcPr>
          <w:p w:rsidR="00617CB0" w:rsidRPr="00022D33" w:rsidRDefault="00617CB0" w:rsidP="000D7011">
            <w:pPr>
              <w:pStyle w:val="Tabletext"/>
              <w:jc w:val="right"/>
            </w:pPr>
            <w:r>
              <w:t>1</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t>-</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80,001 - 90,000</w:t>
            </w:r>
          </w:p>
        </w:tc>
        <w:tc>
          <w:tcPr>
            <w:tcW w:w="1474" w:type="dxa"/>
            <w:tcBorders>
              <w:top w:val="nil"/>
              <w:left w:val="nil"/>
              <w:bottom w:val="nil"/>
              <w:right w:val="nil"/>
            </w:tcBorders>
          </w:tcPr>
          <w:p w:rsidR="00617CB0" w:rsidRPr="00022D33" w:rsidRDefault="00617CB0" w:rsidP="000D7011">
            <w:pPr>
              <w:pStyle w:val="Tabletext"/>
              <w:jc w:val="right"/>
            </w:pPr>
            <w:r w:rsidRPr="00022D33">
              <w:t>1</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90,001 - 100,000</w:t>
            </w:r>
          </w:p>
        </w:tc>
        <w:tc>
          <w:tcPr>
            <w:tcW w:w="1474" w:type="dxa"/>
            <w:tcBorders>
              <w:top w:val="nil"/>
              <w:left w:val="nil"/>
              <w:bottom w:val="nil"/>
              <w:right w:val="nil"/>
            </w:tcBorders>
          </w:tcPr>
          <w:p w:rsidR="00617CB0" w:rsidRPr="00022D33" w:rsidRDefault="00617CB0" w:rsidP="000D7011">
            <w:pPr>
              <w:pStyle w:val="Tabletext"/>
              <w:jc w:val="right"/>
            </w:pPr>
            <w:r>
              <w:t>-</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120,001 - 130,000</w:t>
            </w:r>
          </w:p>
        </w:tc>
        <w:tc>
          <w:tcPr>
            <w:tcW w:w="1474" w:type="dxa"/>
            <w:tcBorders>
              <w:top w:val="nil"/>
              <w:left w:val="nil"/>
              <w:bottom w:val="nil"/>
              <w:right w:val="nil"/>
            </w:tcBorders>
          </w:tcPr>
          <w:p w:rsidR="00617CB0" w:rsidRPr="00022D33" w:rsidRDefault="00617CB0" w:rsidP="000D7011">
            <w:pPr>
              <w:pStyle w:val="Tabletext"/>
              <w:jc w:val="right"/>
            </w:pPr>
            <w:r>
              <w:t>2</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20</w:t>
            </w:r>
            <w:r>
              <w:t>0</w:t>
            </w:r>
            <w:r w:rsidRPr="00022D33">
              <w:t>,001 -  210,000</w:t>
            </w:r>
          </w:p>
        </w:tc>
        <w:tc>
          <w:tcPr>
            <w:tcW w:w="1474" w:type="dxa"/>
            <w:tcBorders>
              <w:top w:val="nil"/>
              <w:left w:val="nil"/>
              <w:bottom w:val="nil"/>
              <w:right w:val="nil"/>
            </w:tcBorders>
          </w:tcPr>
          <w:p w:rsidR="00617CB0" w:rsidRPr="00022D33" w:rsidRDefault="00617CB0" w:rsidP="000D7011">
            <w:pPr>
              <w:pStyle w:val="Tabletext"/>
              <w:jc w:val="right"/>
            </w:pPr>
            <w:r>
              <w:t>-</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210,001 - 220,000</w:t>
            </w:r>
          </w:p>
        </w:tc>
        <w:tc>
          <w:tcPr>
            <w:tcW w:w="1474" w:type="dxa"/>
            <w:tcBorders>
              <w:top w:val="nil"/>
              <w:left w:val="nil"/>
              <w:bottom w:val="nil"/>
              <w:right w:val="nil"/>
            </w:tcBorders>
          </w:tcPr>
          <w:p w:rsidR="00617CB0" w:rsidRPr="00022D33" w:rsidRDefault="00617CB0" w:rsidP="000D7011">
            <w:pPr>
              <w:pStyle w:val="Tabletext"/>
              <w:jc w:val="right"/>
            </w:pPr>
            <w:r w:rsidRPr="00022D33">
              <w:t>-</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260,001 - 270,000</w:t>
            </w:r>
          </w:p>
        </w:tc>
        <w:tc>
          <w:tcPr>
            <w:tcW w:w="1474" w:type="dxa"/>
            <w:tcBorders>
              <w:top w:val="nil"/>
              <w:left w:val="nil"/>
              <w:bottom w:val="nil"/>
              <w:right w:val="nil"/>
            </w:tcBorders>
          </w:tcPr>
          <w:p w:rsidR="00617CB0" w:rsidRPr="00022D33" w:rsidRDefault="00617CB0" w:rsidP="000D7011">
            <w:pPr>
              <w:pStyle w:val="Tabletext"/>
              <w:jc w:val="right"/>
            </w:pPr>
            <w:r w:rsidRPr="00022D33">
              <w:t>-</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270,001 - 280,000</w:t>
            </w:r>
          </w:p>
        </w:tc>
        <w:tc>
          <w:tcPr>
            <w:tcW w:w="1474" w:type="dxa"/>
            <w:tcBorders>
              <w:top w:val="nil"/>
              <w:left w:val="nil"/>
              <w:bottom w:val="nil"/>
              <w:right w:val="nil"/>
            </w:tcBorders>
          </w:tcPr>
          <w:p w:rsidR="00617CB0" w:rsidRPr="00022D33" w:rsidRDefault="00617CB0" w:rsidP="000D7011">
            <w:pPr>
              <w:pStyle w:val="Tabletext"/>
              <w:jc w:val="right"/>
            </w:pPr>
            <w:r w:rsidRPr="00022D33">
              <w:t>2</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3</w:t>
            </w:r>
            <w:r>
              <w:t>5</w:t>
            </w:r>
            <w:r w:rsidRPr="00022D33">
              <w:t>0,001 - 3</w:t>
            </w:r>
            <w:r>
              <w:t>6</w:t>
            </w:r>
            <w:r w:rsidRPr="00022D33">
              <w:t>0,000</w:t>
            </w:r>
          </w:p>
        </w:tc>
        <w:tc>
          <w:tcPr>
            <w:tcW w:w="1474" w:type="dxa"/>
            <w:tcBorders>
              <w:top w:val="nil"/>
              <w:left w:val="nil"/>
              <w:bottom w:val="nil"/>
              <w:right w:val="nil"/>
            </w:tcBorders>
          </w:tcPr>
          <w:p w:rsidR="00617CB0" w:rsidRPr="00022D33" w:rsidRDefault="00617CB0" w:rsidP="000D7011">
            <w:pPr>
              <w:pStyle w:val="Tabletext"/>
              <w:jc w:val="right"/>
            </w:pPr>
            <w:r w:rsidRPr="00022D33">
              <w:t>1</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380,001 - 390,000</w:t>
            </w:r>
          </w:p>
        </w:tc>
        <w:tc>
          <w:tcPr>
            <w:tcW w:w="1474" w:type="dxa"/>
            <w:tcBorders>
              <w:top w:val="nil"/>
              <w:left w:val="nil"/>
              <w:bottom w:val="nil"/>
              <w:right w:val="nil"/>
            </w:tcBorders>
          </w:tcPr>
          <w:p w:rsidR="00617CB0" w:rsidRPr="00022D33" w:rsidRDefault="00617CB0" w:rsidP="000D7011">
            <w:pPr>
              <w:pStyle w:val="Tabletext"/>
              <w:jc w:val="right"/>
            </w:pPr>
            <w:r w:rsidRPr="00022D33">
              <w:t>-</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390,001 - 400,000</w:t>
            </w:r>
          </w:p>
        </w:tc>
        <w:tc>
          <w:tcPr>
            <w:tcW w:w="1474" w:type="dxa"/>
            <w:tcBorders>
              <w:top w:val="nil"/>
              <w:left w:val="nil"/>
              <w:bottom w:val="nil"/>
              <w:right w:val="nil"/>
            </w:tcBorders>
          </w:tcPr>
          <w:p w:rsidR="00617CB0" w:rsidRPr="00022D33" w:rsidRDefault="00617CB0" w:rsidP="000D7011">
            <w:pPr>
              <w:pStyle w:val="Tabletext"/>
              <w:jc w:val="right"/>
            </w:pPr>
            <w:r>
              <w:t>-</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4</w:t>
            </w:r>
            <w:r>
              <w:t>2</w:t>
            </w:r>
            <w:r w:rsidRPr="00022D33">
              <w:t>0,001 - 4</w:t>
            </w:r>
            <w:r>
              <w:t>3</w:t>
            </w:r>
            <w:r w:rsidRPr="00022D33">
              <w:t>0,000</w:t>
            </w:r>
          </w:p>
        </w:tc>
        <w:tc>
          <w:tcPr>
            <w:tcW w:w="1474" w:type="dxa"/>
            <w:tcBorders>
              <w:top w:val="nil"/>
              <w:left w:val="nil"/>
              <w:bottom w:val="nil"/>
              <w:right w:val="nil"/>
            </w:tcBorders>
          </w:tcPr>
          <w:p w:rsidR="00617CB0" w:rsidRPr="00022D33" w:rsidRDefault="00617CB0" w:rsidP="000D7011">
            <w:pPr>
              <w:pStyle w:val="Tabletext"/>
              <w:jc w:val="right"/>
            </w:pPr>
            <w:r w:rsidRPr="00022D33">
              <w:t>1</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4</w:t>
            </w:r>
            <w:r>
              <w:t>3</w:t>
            </w:r>
            <w:r w:rsidRPr="00022D33">
              <w:t>0,001 - 4</w:t>
            </w:r>
            <w:r>
              <w:t>4</w:t>
            </w:r>
            <w:r w:rsidRPr="00022D33">
              <w:t>0,000</w:t>
            </w:r>
          </w:p>
        </w:tc>
        <w:tc>
          <w:tcPr>
            <w:tcW w:w="1474" w:type="dxa"/>
            <w:tcBorders>
              <w:top w:val="nil"/>
              <w:left w:val="nil"/>
              <w:bottom w:val="nil"/>
              <w:right w:val="nil"/>
            </w:tcBorders>
          </w:tcPr>
          <w:p w:rsidR="00617CB0" w:rsidRPr="00022D33" w:rsidRDefault="00617CB0" w:rsidP="000D7011">
            <w:pPr>
              <w:pStyle w:val="Tabletext"/>
              <w:jc w:val="right"/>
            </w:pPr>
            <w:r>
              <w:t>1</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t>-</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t>480,001 – 490,000</w:t>
            </w:r>
          </w:p>
        </w:tc>
        <w:tc>
          <w:tcPr>
            <w:tcW w:w="1474" w:type="dxa"/>
            <w:tcBorders>
              <w:top w:val="nil"/>
              <w:left w:val="nil"/>
              <w:bottom w:val="nil"/>
              <w:right w:val="nil"/>
            </w:tcBorders>
          </w:tcPr>
          <w:p w:rsidR="00617CB0" w:rsidRPr="00022D33" w:rsidRDefault="00617CB0" w:rsidP="000D7011">
            <w:pPr>
              <w:pStyle w:val="Tabletext"/>
              <w:jc w:val="right"/>
            </w:pPr>
            <w:r>
              <w:t>-</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t>1</w:t>
            </w:r>
          </w:p>
        </w:tc>
      </w:tr>
    </w:tbl>
    <w:p w:rsidR="00617CB0" w:rsidRPr="00022D33" w:rsidRDefault="00617CB0" w:rsidP="00617CB0">
      <w:pPr>
        <w:pStyle w:val="BodyText"/>
      </w:pPr>
    </w:p>
    <w:p w:rsidR="00617CB0" w:rsidRPr="00022D33" w:rsidRDefault="00196F4C" w:rsidP="00617CB0">
      <w:pPr>
        <w:pStyle w:val="Caption"/>
        <w:keepNext/>
        <w:spacing w:after="60"/>
      </w:pPr>
      <w:fldSimple w:instr=" SEQ Table \* ARABIC ">
        <w:r w:rsidR="00D8778B">
          <w:rPr>
            <w:noProof/>
          </w:rPr>
          <w:t>63</w:t>
        </w:r>
      </w:fldSimple>
      <w:r w:rsidR="00617CB0" w:rsidRPr="00022D33">
        <w:t xml:space="preserve"> Remuneration of senior officers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bookmarkStart w:id="13" w:name="Note_43._Explanatory_statement_–_control"/>
            <w:bookmarkEnd w:id="13"/>
          </w:p>
        </w:tc>
        <w:tc>
          <w:tcPr>
            <w:tcW w:w="1474" w:type="dxa"/>
            <w:tcBorders>
              <w:top w:val="nil"/>
              <w:left w:val="nil"/>
              <w:bottom w:val="nil"/>
              <w:right w:val="nil"/>
            </w:tcBorders>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Cash remuneration received for the year </w:t>
            </w:r>
          </w:p>
        </w:tc>
        <w:tc>
          <w:tcPr>
            <w:tcW w:w="1474" w:type="dxa"/>
            <w:tcBorders>
              <w:top w:val="nil"/>
              <w:left w:val="nil"/>
              <w:bottom w:val="nil"/>
              <w:right w:val="nil"/>
            </w:tcBorders>
          </w:tcPr>
          <w:p w:rsidR="00617CB0" w:rsidRPr="00022D33" w:rsidRDefault="00617CB0" w:rsidP="000D7011">
            <w:pPr>
              <w:pStyle w:val="Tabletext"/>
              <w:jc w:val="right"/>
            </w:pPr>
            <w:r w:rsidRPr="00022D33">
              <w:t>1,890</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1,676</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Adjustment for accruals</w:t>
            </w:r>
          </w:p>
        </w:tc>
        <w:tc>
          <w:tcPr>
            <w:tcW w:w="1474" w:type="dxa"/>
            <w:tcBorders>
              <w:top w:val="nil"/>
              <w:left w:val="nil"/>
              <w:bottom w:val="nil"/>
              <w:right w:val="nil"/>
            </w:tcBorders>
          </w:tcPr>
          <w:p w:rsidR="00617CB0" w:rsidRPr="00022D33" w:rsidRDefault="00617CB0" w:rsidP="000D7011">
            <w:pPr>
              <w:pStyle w:val="Tabletext"/>
              <w:jc w:val="right"/>
            </w:pPr>
            <w:r w:rsidRPr="00022D33">
              <w:t>(49)</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 xml:space="preserve">Annual leave and long service leave accruals </w:t>
            </w:r>
          </w:p>
        </w:tc>
        <w:tc>
          <w:tcPr>
            <w:tcW w:w="1474" w:type="dxa"/>
            <w:tcBorders>
              <w:top w:val="nil"/>
              <w:left w:val="nil"/>
              <w:bottom w:val="nil"/>
              <w:right w:val="nil"/>
            </w:tcBorders>
          </w:tcPr>
          <w:p w:rsidR="00617CB0" w:rsidRPr="00022D33" w:rsidRDefault="00617CB0" w:rsidP="000D7011">
            <w:pPr>
              <w:pStyle w:val="Tabletext"/>
              <w:jc w:val="right"/>
            </w:pPr>
            <w:r w:rsidRPr="00022D33">
              <w:t>(25)</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66</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Other benefits</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357</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344</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r w:rsidRPr="00022D33">
              <w:t>Total remuneration of senior officers</w:t>
            </w:r>
          </w:p>
        </w:tc>
        <w:tc>
          <w:tcPr>
            <w:tcW w:w="1474" w:type="dxa"/>
            <w:tcBorders>
              <w:top w:val="single" w:sz="4" w:space="0" w:color="auto"/>
              <w:left w:val="nil"/>
              <w:bottom w:val="double" w:sz="4" w:space="0" w:color="auto"/>
              <w:right w:val="nil"/>
            </w:tcBorders>
          </w:tcPr>
          <w:p w:rsidR="00617CB0" w:rsidRPr="00022D33" w:rsidRDefault="00617CB0" w:rsidP="000D7011">
            <w:pPr>
              <w:pStyle w:val="Tabletext"/>
              <w:jc w:val="right"/>
              <w:rPr>
                <w:b/>
              </w:rPr>
            </w:pPr>
            <w:r w:rsidRPr="00022D33">
              <w:rPr>
                <w:b/>
              </w:rPr>
              <w:t>2,173</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text"/>
              <w:jc w:val="right"/>
              <w:rPr>
                <w:b/>
              </w:rPr>
            </w:pPr>
            <w:r w:rsidRPr="00022D33">
              <w:rPr>
                <w:b/>
              </w:rPr>
              <w:t>2,085</w:t>
            </w:r>
          </w:p>
        </w:tc>
      </w:tr>
    </w:tbl>
    <w:p w:rsidR="00617CB0" w:rsidRDefault="00617CB0" w:rsidP="00617CB0">
      <w:pPr>
        <w:pStyle w:val="Heading3"/>
        <w:rPr>
          <w:b w:val="0"/>
          <w:bCs w:val="0"/>
          <w:sz w:val="24"/>
          <w:szCs w:val="24"/>
          <w:lang w:eastAsia="en-AU"/>
        </w:rPr>
      </w:pPr>
      <w:r w:rsidRPr="00022D33">
        <w:rPr>
          <w:b w:val="0"/>
          <w:bCs w:val="0"/>
          <w:sz w:val="24"/>
          <w:szCs w:val="24"/>
          <w:lang w:eastAsia="en-AU"/>
        </w:rPr>
        <w:t>The total remuneration includes the superannuation expense incurred by the Department in respect of senior officers.</w:t>
      </w:r>
    </w:p>
    <w:p w:rsidR="00617CB0" w:rsidRDefault="00617CB0" w:rsidP="00617CB0">
      <w:pPr>
        <w:pStyle w:val="Heading3"/>
        <w:sectPr w:rsidR="00617CB0" w:rsidSect="005F3639">
          <w:pgSz w:w="11906" w:h="16838" w:code="9"/>
          <w:pgMar w:top="1440" w:right="1440" w:bottom="1276" w:left="1440" w:header="0" w:footer="709" w:gutter="0"/>
          <w:cols w:space="708"/>
          <w:docGrid w:linePitch="360"/>
        </w:sectPr>
      </w:pPr>
    </w:p>
    <w:p w:rsidR="00617CB0" w:rsidRPr="00022D33" w:rsidRDefault="00617CB0" w:rsidP="00617CB0">
      <w:pPr>
        <w:pStyle w:val="Heading3"/>
        <w:rPr>
          <w:spacing w:val="-18"/>
        </w:rPr>
      </w:pPr>
      <w:r w:rsidRPr="00022D33">
        <w:t>Note</w:t>
      </w:r>
      <w:r w:rsidRPr="00022D33">
        <w:rPr>
          <w:spacing w:val="-19"/>
        </w:rPr>
        <w:t xml:space="preserve"> </w:t>
      </w:r>
      <w:r w:rsidRPr="00022D33">
        <w:t>43.</w:t>
      </w:r>
      <w:r w:rsidRPr="00022D33">
        <w:rPr>
          <w:spacing w:val="-18"/>
        </w:rPr>
        <w:t xml:space="preserve"> </w:t>
      </w:r>
      <w:r w:rsidRPr="00022D33">
        <w:t>Explanatory</w:t>
      </w:r>
      <w:r w:rsidRPr="00022D33">
        <w:rPr>
          <w:spacing w:val="-18"/>
        </w:rPr>
        <w:t xml:space="preserve"> </w:t>
      </w:r>
      <w:r w:rsidRPr="00022D33">
        <w:t>statement</w:t>
      </w:r>
      <w:r w:rsidRPr="00022D33">
        <w:rPr>
          <w:spacing w:val="-18"/>
        </w:rPr>
        <w:t xml:space="preserve"> </w:t>
      </w:r>
    </w:p>
    <w:p w:rsidR="00617CB0" w:rsidRPr="00022D33" w:rsidRDefault="00617CB0" w:rsidP="00617CB0">
      <w:pPr>
        <w:pStyle w:val="Heading3"/>
        <w:rPr>
          <w:b w:val="0"/>
          <w:bCs w:val="0"/>
          <w:sz w:val="24"/>
          <w:szCs w:val="24"/>
          <w:lang w:eastAsia="en-AU"/>
        </w:rPr>
      </w:pPr>
      <w:r w:rsidRPr="00022D33">
        <w:rPr>
          <w:b w:val="0"/>
          <w:bCs w:val="0"/>
          <w:sz w:val="24"/>
          <w:szCs w:val="24"/>
          <w:lang w:eastAsia="en-AU"/>
        </w:rPr>
        <w:t>All variances between estimates (original budget) and actual results for 2016, and between the actual results for 2016 and 2015 are shown below. Narratives are provided for key variations selected from observed major variances, which are generally greater than:</w:t>
      </w:r>
    </w:p>
    <w:p w:rsidR="00854541" w:rsidRDefault="00617CB0" w:rsidP="00854541">
      <w:pPr>
        <w:pStyle w:val="Heading3"/>
        <w:numPr>
          <w:ilvl w:val="0"/>
          <w:numId w:val="28"/>
        </w:numPr>
        <w:ind w:left="284" w:hanging="284"/>
        <w:rPr>
          <w:b w:val="0"/>
          <w:bCs w:val="0"/>
          <w:sz w:val="24"/>
          <w:szCs w:val="24"/>
          <w:lang w:eastAsia="en-AU"/>
        </w:rPr>
      </w:pPr>
      <w:r w:rsidRPr="00022D33">
        <w:rPr>
          <w:b w:val="0"/>
          <w:bCs w:val="0"/>
          <w:sz w:val="24"/>
          <w:szCs w:val="24"/>
          <w:lang w:eastAsia="en-AU"/>
        </w:rPr>
        <w:t>5% and $24.3 million for the Statements of Comprehensive Income and Cash Flows; and</w:t>
      </w:r>
    </w:p>
    <w:p w:rsidR="00617CB0" w:rsidRPr="00854541" w:rsidRDefault="00617CB0" w:rsidP="00854541">
      <w:pPr>
        <w:pStyle w:val="Heading3"/>
        <w:numPr>
          <w:ilvl w:val="0"/>
          <w:numId w:val="28"/>
        </w:numPr>
        <w:ind w:left="284" w:hanging="284"/>
        <w:rPr>
          <w:b w:val="0"/>
          <w:bCs w:val="0"/>
          <w:sz w:val="24"/>
          <w:szCs w:val="24"/>
          <w:lang w:eastAsia="en-AU"/>
        </w:rPr>
      </w:pPr>
      <w:r w:rsidRPr="00854541">
        <w:rPr>
          <w:b w:val="0"/>
          <w:sz w:val="24"/>
          <w:szCs w:val="24"/>
          <w:lang w:eastAsia="en-AU"/>
        </w:rPr>
        <w:t>5% and $25.0 million for the Statement of Financial Position.</w:t>
      </w:r>
      <w:r w:rsidRPr="00854541">
        <w:rPr>
          <w:b w:val="0"/>
          <w:sz w:val="24"/>
          <w:szCs w:val="24"/>
          <w:lang w:eastAsia="en-AU"/>
        </w:rPr>
        <w:br/>
      </w:r>
    </w:p>
    <w:p w:rsidR="00617CB0" w:rsidRPr="00022D33" w:rsidRDefault="00196F4C" w:rsidP="00617CB0">
      <w:pPr>
        <w:pStyle w:val="Caption"/>
        <w:keepNext/>
        <w:spacing w:after="60"/>
      </w:pPr>
      <w:fldSimple w:instr=" SEQ Table \* ARABIC ">
        <w:r w:rsidR="00D8778B">
          <w:rPr>
            <w:noProof/>
          </w:rPr>
          <w:t>64</w:t>
        </w:r>
      </w:fldSimple>
      <w:r w:rsidR="00617CB0" w:rsidRPr="00022D33">
        <w:t xml:space="preserve"> </w:t>
      </w:r>
      <w:r w:rsidR="00617CB0" w:rsidRPr="00A638DA">
        <w:t>Statement of Comprehensive Income (Controlled Operations)</w:t>
      </w:r>
    </w:p>
    <w:tbl>
      <w:tblPr>
        <w:tblW w:w="0" w:type="auto"/>
        <w:tblLook w:val="04A0" w:firstRow="1" w:lastRow="0" w:firstColumn="1" w:lastColumn="0" w:noHBand="0" w:noVBand="1"/>
      </w:tblPr>
      <w:tblGrid>
        <w:gridCol w:w="2123"/>
        <w:gridCol w:w="1118"/>
        <w:gridCol w:w="1203"/>
        <w:gridCol w:w="1203"/>
        <w:gridCol w:w="1203"/>
        <w:gridCol w:w="1194"/>
        <w:gridCol w:w="1198"/>
      </w:tblGrid>
      <w:tr w:rsidR="00617CB0" w:rsidRPr="00022D33" w:rsidTr="000D7011">
        <w:tc>
          <w:tcPr>
            <w:tcW w:w="2123" w:type="dxa"/>
            <w:shd w:val="clear" w:color="auto" w:fill="auto"/>
          </w:tcPr>
          <w:p w:rsidR="00617CB0" w:rsidRPr="00022D33" w:rsidRDefault="00617CB0" w:rsidP="000D7011">
            <w:pPr>
              <w:pStyle w:val="BodyText"/>
            </w:pPr>
          </w:p>
        </w:tc>
        <w:tc>
          <w:tcPr>
            <w:tcW w:w="1118" w:type="dxa"/>
            <w:shd w:val="clear" w:color="auto" w:fill="auto"/>
          </w:tcPr>
          <w:p w:rsidR="00617CB0" w:rsidRDefault="00617CB0" w:rsidP="000D7011">
            <w:pPr>
              <w:pStyle w:val="Tableboldedtext"/>
              <w:jc w:val="right"/>
            </w:pPr>
            <w:r>
              <w:t>Variance</w:t>
            </w:r>
          </w:p>
          <w:p w:rsidR="00617CB0" w:rsidRPr="00022D33" w:rsidRDefault="00617CB0" w:rsidP="000D7011">
            <w:pPr>
              <w:pStyle w:val="Tableboldedtext"/>
              <w:jc w:val="right"/>
            </w:pPr>
            <w:r w:rsidRPr="00022D33">
              <w:t>Note</w:t>
            </w:r>
          </w:p>
        </w:tc>
        <w:tc>
          <w:tcPr>
            <w:tcW w:w="1203" w:type="dxa"/>
            <w:shd w:val="clear" w:color="auto" w:fill="auto"/>
          </w:tcPr>
          <w:p w:rsidR="00617CB0" w:rsidRPr="00022D33" w:rsidRDefault="00617CB0" w:rsidP="000D7011">
            <w:pPr>
              <w:pStyle w:val="Tableboldedtext"/>
              <w:jc w:val="right"/>
            </w:pPr>
            <w:r w:rsidRPr="00022D33">
              <w:t>Estimate 2016  $000</w:t>
            </w:r>
          </w:p>
        </w:tc>
        <w:tc>
          <w:tcPr>
            <w:tcW w:w="1203" w:type="dxa"/>
            <w:shd w:val="clear" w:color="auto" w:fill="auto"/>
          </w:tcPr>
          <w:p w:rsidR="00617CB0" w:rsidRPr="00022D33" w:rsidRDefault="00617CB0" w:rsidP="000D7011">
            <w:pPr>
              <w:pStyle w:val="Tableboldedtext"/>
              <w:jc w:val="right"/>
            </w:pPr>
            <w:r w:rsidRPr="00022D33">
              <w:t>Actual 2016  $000</w:t>
            </w:r>
          </w:p>
        </w:tc>
        <w:tc>
          <w:tcPr>
            <w:tcW w:w="1203" w:type="dxa"/>
            <w:shd w:val="clear" w:color="auto" w:fill="auto"/>
          </w:tcPr>
          <w:p w:rsidR="00617CB0" w:rsidRPr="00022D33" w:rsidRDefault="00617CB0" w:rsidP="000D7011">
            <w:pPr>
              <w:pStyle w:val="Tableboldedtext"/>
              <w:jc w:val="right"/>
            </w:pPr>
            <w:r w:rsidRPr="00022D33">
              <w:t>Actual 2015 $ 000</w:t>
            </w:r>
          </w:p>
        </w:tc>
        <w:tc>
          <w:tcPr>
            <w:tcW w:w="1194" w:type="dxa"/>
            <w:shd w:val="clear" w:color="auto" w:fill="auto"/>
          </w:tcPr>
          <w:p w:rsidR="00617CB0" w:rsidRPr="00022D33" w:rsidRDefault="00617CB0" w:rsidP="000D7011">
            <w:pPr>
              <w:pStyle w:val="Tableboldedtext"/>
              <w:jc w:val="right"/>
            </w:pPr>
            <w:r w:rsidRPr="00022D33">
              <w:t>Variance between estimate and actual $000</w:t>
            </w:r>
          </w:p>
        </w:tc>
        <w:tc>
          <w:tcPr>
            <w:tcW w:w="1198" w:type="dxa"/>
            <w:shd w:val="clear" w:color="auto" w:fill="auto"/>
          </w:tcPr>
          <w:p w:rsidR="00617CB0" w:rsidRPr="00022D33" w:rsidRDefault="00617CB0" w:rsidP="000D7011">
            <w:pPr>
              <w:pStyle w:val="Tableboldedtext"/>
              <w:jc w:val="right"/>
            </w:pPr>
            <w:r w:rsidRPr="00022D33">
              <w:t>Variance between actual results for 2016 and 2015 $000</w:t>
            </w:r>
          </w:p>
        </w:tc>
      </w:tr>
      <w:tr w:rsidR="00617CB0" w:rsidRPr="00022D33" w:rsidTr="000D7011">
        <w:tc>
          <w:tcPr>
            <w:tcW w:w="9242" w:type="dxa"/>
            <w:gridSpan w:val="7"/>
            <w:shd w:val="clear" w:color="auto" w:fill="auto"/>
          </w:tcPr>
          <w:p w:rsidR="00617CB0" w:rsidRPr="00022D33" w:rsidRDefault="00617CB0" w:rsidP="000D7011">
            <w:pPr>
              <w:pStyle w:val="Tabletext"/>
              <w:rPr>
                <w:b/>
              </w:rPr>
            </w:pPr>
            <w:r w:rsidRPr="00022D33">
              <w:rPr>
                <w:b/>
              </w:rPr>
              <w:t>COST OF SERVICES</w:t>
            </w:r>
          </w:p>
        </w:tc>
      </w:tr>
      <w:tr w:rsidR="00617CB0" w:rsidRPr="00022D33" w:rsidTr="000D7011">
        <w:tc>
          <w:tcPr>
            <w:tcW w:w="9242" w:type="dxa"/>
            <w:gridSpan w:val="7"/>
            <w:shd w:val="clear" w:color="auto" w:fill="auto"/>
          </w:tcPr>
          <w:p w:rsidR="00617CB0" w:rsidRPr="00022D33" w:rsidRDefault="00617CB0" w:rsidP="000D7011">
            <w:pPr>
              <w:pStyle w:val="Tabletext"/>
              <w:rPr>
                <w:b/>
              </w:rPr>
            </w:pPr>
            <w:r w:rsidRPr="00022D33">
              <w:rPr>
                <w:b/>
              </w:rPr>
              <w:t>Expenses</w:t>
            </w:r>
          </w:p>
        </w:tc>
      </w:tr>
      <w:tr w:rsidR="00617CB0" w:rsidRPr="00022D33" w:rsidTr="000D7011">
        <w:tc>
          <w:tcPr>
            <w:tcW w:w="2123" w:type="dxa"/>
            <w:shd w:val="clear" w:color="auto" w:fill="auto"/>
          </w:tcPr>
          <w:p w:rsidR="00617CB0" w:rsidRPr="00022D33" w:rsidRDefault="00617CB0" w:rsidP="000D7011">
            <w:pPr>
              <w:pStyle w:val="Tabletext"/>
            </w:pPr>
            <w:r w:rsidRPr="00022D33">
              <w:t>Employee benefits expense</w:t>
            </w:r>
          </w:p>
        </w:tc>
        <w:tc>
          <w:tcPr>
            <w:tcW w:w="1118" w:type="dxa"/>
            <w:shd w:val="clear" w:color="auto" w:fill="auto"/>
          </w:tcPr>
          <w:p w:rsidR="00617CB0" w:rsidRPr="00022D33" w:rsidRDefault="00617CB0" w:rsidP="000D7011">
            <w:pPr>
              <w:pStyle w:val="Tabletext"/>
              <w:jc w:val="right"/>
            </w:pPr>
          </w:p>
        </w:tc>
        <w:tc>
          <w:tcPr>
            <w:tcW w:w="1203" w:type="dxa"/>
            <w:shd w:val="clear" w:color="auto" w:fill="auto"/>
          </w:tcPr>
          <w:p w:rsidR="00617CB0" w:rsidRPr="00022D33" w:rsidRDefault="00617CB0" w:rsidP="000D7011">
            <w:pPr>
              <w:pStyle w:val="Tabletext"/>
              <w:jc w:val="right"/>
            </w:pPr>
            <w:r w:rsidRPr="00022D33">
              <w:t>150,655</w:t>
            </w:r>
          </w:p>
        </w:tc>
        <w:tc>
          <w:tcPr>
            <w:tcW w:w="1203" w:type="dxa"/>
            <w:shd w:val="clear" w:color="auto" w:fill="auto"/>
          </w:tcPr>
          <w:p w:rsidR="00617CB0" w:rsidRPr="00022D33" w:rsidRDefault="00617CB0" w:rsidP="000D7011">
            <w:pPr>
              <w:pStyle w:val="Tabletext"/>
              <w:jc w:val="right"/>
            </w:pPr>
            <w:r w:rsidRPr="00022D33">
              <w:t>129,453</w:t>
            </w:r>
          </w:p>
        </w:tc>
        <w:tc>
          <w:tcPr>
            <w:tcW w:w="1203" w:type="dxa"/>
            <w:shd w:val="clear" w:color="auto" w:fill="auto"/>
          </w:tcPr>
          <w:p w:rsidR="00617CB0" w:rsidRPr="00022D33" w:rsidRDefault="00617CB0" w:rsidP="000D7011">
            <w:pPr>
              <w:pStyle w:val="Tabletext"/>
              <w:jc w:val="right"/>
            </w:pPr>
            <w:r w:rsidRPr="00022D33">
              <w:t>136,610</w:t>
            </w:r>
          </w:p>
        </w:tc>
        <w:tc>
          <w:tcPr>
            <w:tcW w:w="1194" w:type="dxa"/>
            <w:shd w:val="clear" w:color="auto" w:fill="auto"/>
          </w:tcPr>
          <w:p w:rsidR="00617CB0" w:rsidRPr="00022D33" w:rsidRDefault="00617CB0" w:rsidP="000D7011">
            <w:pPr>
              <w:pStyle w:val="Tabletext"/>
              <w:jc w:val="right"/>
            </w:pPr>
            <w:r w:rsidRPr="00022D33">
              <w:t>(21,202)</w:t>
            </w:r>
          </w:p>
        </w:tc>
        <w:tc>
          <w:tcPr>
            <w:tcW w:w="1198" w:type="dxa"/>
            <w:shd w:val="clear" w:color="auto" w:fill="auto"/>
          </w:tcPr>
          <w:p w:rsidR="00617CB0" w:rsidRPr="00022D33" w:rsidRDefault="00617CB0" w:rsidP="000D7011">
            <w:pPr>
              <w:pStyle w:val="Tabletext"/>
              <w:jc w:val="right"/>
            </w:pPr>
            <w:r w:rsidRPr="00022D33">
              <w:t>(7,157)</w:t>
            </w:r>
          </w:p>
        </w:tc>
      </w:tr>
      <w:tr w:rsidR="00617CB0" w:rsidRPr="00022D33" w:rsidTr="000D7011">
        <w:tc>
          <w:tcPr>
            <w:tcW w:w="2123" w:type="dxa"/>
            <w:shd w:val="clear" w:color="auto" w:fill="auto"/>
          </w:tcPr>
          <w:p w:rsidR="00617CB0" w:rsidRPr="00022D33" w:rsidRDefault="00617CB0" w:rsidP="000D7011">
            <w:pPr>
              <w:pStyle w:val="Tableitalics"/>
              <w:rPr>
                <w:i w:val="0"/>
              </w:rPr>
            </w:pPr>
            <w:r w:rsidRPr="00022D33">
              <w:rPr>
                <w:i w:val="0"/>
              </w:rPr>
              <w:t>Supplies and services</w:t>
            </w:r>
          </w:p>
        </w:tc>
        <w:tc>
          <w:tcPr>
            <w:tcW w:w="1118" w:type="dxa"/>
            <w:shd w:val="clear" w:color="auto" w:fill="auto"/>
          </w:tcPr>
          <w:p w:rsidR="00617CB0" w:rsidRPr="00022D33" w:rsidRDefault="00617CB0" w:rsidP="000D7011">
            <w:pPr>
              <w:pStyle w:val="Tabletext"/>
              <w:jc w:val="right"/>
            </w:pPr>
            <w:r>
              <w:t>A</w:t>
            </w:r>
          </w:p>
        </w:tc>
        <w:tc>
          <w:tcPr>
            <w:tcW w:w="1203" w:type="dxa"/>
            <w:shd w:val="clear" w:color="auto" w:fill="auto"/>
          </w:tcPr>
          <w:p w:rsidR="00617CB0" w:rsidRPr="00022D33" w:rsidRDefault="00617CB0" w:rsidP="000D7011">
            <w:pPr>
              <w:pStyle w:val="Tabletext"/>
              <w:jc w:val="right"/>
            </w:pPr>
            <w:r w:rsidRPr="00022D33">
              <w:t>920,887</w:t>
            </w:r>
          </w:p>
        </w:tc>
        <w:tc>
          <w:tcPr>
            <w:tcW w:w="1203" w:type="dxa"/>
            <w:shd w:val="clear" w:color="auto" w:fill="auto"/>
          </w:tcPr>
          <w:p w:rsidR="00617CB0" w:rsidRPr="00022D33" w:rsidRDefault="00617CB0" w:rsidP="000D7011">
            <w:pPr>
              <w:pStyle w:val="Tabletext"/>
              <w:jc w:val="right"/>
            </w:pPr>
            <w:r w:rsidRPr="00022D33">
              <w:t>885,072</w:t>
            </w:r>
          </w:p>
        </w:tc>
        <w:tc>
          <w:tcPr>
            <w:tcW w:w="1203" w:type="dxa"/>
            <w:shd w:val="clear" w:color="auto" w:fill="auto"/>
          </w:tcPr>
          <w:p w:rsidR="00617CB0" w:rsidRPr="00022D33" w:rsidRDefault="00617CB0" w:rsidP="000D7011">
            <w:pPr>
              <w:pStyle w:val="Tabletext"/>
              <w:jc w:val="right"/>
            </w:pPr>
            <w:r w:rsidRPr="00022D33">
              <w:t>1,060,765</w:t>
            </w:r>
          </w:p>
        </w:tc>
        <w:tc>
          <w:tcPr>
            <w:tcW w:w="1194" w:type="dxa"/>
            <w:shd w:val="clear" w:color="auto" w:fill="auto"/>
          </w:tcPr>
          <w:p w:rsidR="00617CB0" w:rsidRPr="00022D33" w:rsidRDefault="00617CB0" w:rsidP="000D7011">
            <w:pPr>
              <w:pStyle w:val="Tabletext"/>
              <w:jc w:val="right"/>
            </w:pPr>
            <w:r w:rsidRPr="00022D33">
              <w:t>(35,815)</w:t>
            </w:r>
          </w:p>
        </w:tc>
        <w:tc>
          <w:tcPr>
            <w:tcW w:w="1198" w:type="dxa"/>
            <w:shd w:val="clear" w:color="auto" w:fill="auto"/>
          </w:tcPr>
          <w:p w:rsidR="00617CB0" w:rsidRPr="00022D33" w:rsidRDefault="00617CB0" w:rsidP="000D7011">
            <w:pPr>
              <w:pStyle w:val="Tabletext"/>
              <w:jc w:val="right"/>
            </w:pPr>
            <w:r w:rsidRPr="00022D33">
              <w:t>(175,693)</w:t>
            </w:r>
          </w:p>
        </w:tc>
      </w:tr>
      <w:tr w:rsidR="00617CB0" w:rsidRPr="00022D33" w:rsidTr="000D7011">
        <w:tc>
          <w:tcPr>
            <w:tcW w:w="2123" w:type="dxa"/>
            <w:shd w:val="clear" w:color="auto" w:fill="auto"/>
          </w:tcPr>
          <w:p w:rsidR="00617CB0" w:rsidRPr="00022D33" w:rsidRDefault="00617CB0" w:rsidP="000D7011">
            <w:pPr>
              <w:pStyle w:val="Tableitalics"/>
              <w:rPr>
                <w:i w:val="0"/>
              </w:rPr>
            </w:pPr>
            <w:r w:rsidRPr="00022D33">
              <w:rPr>
                <w:i w:val="0"/>
              </w:rPr>
              <w:t>Depreciation and amortisation expense</w:t>
            </w:r>
          </w:p>
        </w:tc>
        <w:tc>
          <w:tcPr>
            <w:tcW w:w="1118" w:type="dxa"/>
            <w:shd w:val="clear" w:color="auto" w:fill="auto"/>
          </w:tcPr>
          <w:p w:rsidR="00617CB0" w:rsidRPr="00022D33" w:rsidRDefault="00617CB0" w:rsidP="000D7011">
            <w:pPr>
              <w:pStyle w:val="Tabletext"/>
              <w:jc w:val="right"/>
            </w:pPr>
          </w:p>
        </w:tc>
        <w:tc>
          <w:tcPr>
            <w:tcW w:w="1203" w:type="dxa"/>
            <w:shd w:val="clear" w:color="auto" w:fill="auto"/>
          </w:tcPr>
          <w:p w:rsidR="00617CB0" w:rsidRPr="00022D33" w:rsidRDefault="00617CB0" w:rsidP="000D7011">
            <w:pPr>
              <w:pStyle w:val="Tabletext"/>
              <w:jc w:val="right"/>
            </w:pPr>
            <w:r w:rsidRPr="00022D33">
              <w:t>97,423</w:t>
            </w:r>
          </w:p>
        </w:tc>
        <w:tc>
          <w:tcPr>
            <w:tcW w:w="1203" w:type="dxa"/>
            <w:shd w:val="clear" w:color="auto" w:fill="auto"/>
          </w:tcPr>
          <w:p w:rsidR="00617CB0" w:rsidRPr="00022D33" w:rsidRDefault="00617CB0" w:rsidP="000D7011">
            <w:pPr>
              <w:pStyle w:val="Tabletext"/>
              <w:jc w:val="right"/>
            </w:pPr>
            <w:r w:rsidRPr="00022D33">
              <w:t>79,031</w:t>
            </w:r>
          </w:p>
        </w:tc>
        <w:tc>
          <w:tcPr>
            <w:tcW w:w="1203" w:type="dxa"/>
            <w:shd w:val="clear" w:color="auto" w:fill="auto"/>
          </w:tcPr>
          <w:p w:rsidR="00617CB0" w:rsidRPr="00022D33" w:rsidRDefault="00617CB0" w:rsidP="000D7011">
            <w:pPr>
              <w:pStyle w:val="Tabletext"/>
              <w:jc w:val="right"/>
            </w:pPr>
            <w:r w:rsidRPr="00022D33">
              <w:t>83,187</w:t>
            </w:r>
          </w:p>
        </w:tc>
        <w:tc>
          <w:tcPr>
            <w:tcW w:w="1194" w:type="dxa"/>
            <w:shd w:val="clear" w:color="auto" w:fill="auto"/>
          </w:tcPr>
          <w:p w:rsidR="00617CB0" w:rsidRPr="00022D33" w:rsidRDefault="00617CB0" w:rsidP="000D7011">
            <w:pPr>
              <w:pStyle w:val="Tabletext"/>
              <w:jc w:val="right"/>
            </w:pPr>
            <w:r w:rsidRPr="00022D33">
              <w:t>(18,392)</w:t>
            </w:r>
          </w:p>
        </w:tc>
        <w:tc>
          <w:tcPr>
            <w:tcW w:w="1198" w:type="dxa"/>
            <w:shd w:val="clear" w:color="auto" w:fill="auto"/>
          </w:tcPr>
          <w:p w:rsidR="00617CB0" w:rsidRPr="00022D33" w:rsidRDefault="00617CB0" w:rsidP="000D7011">
            <w:pPr>
              <w:pStyle w:val="Tabletext"/>
              <w:jc w:val="right"/>
            </w:pPr>
            <w:r w:rsidRPr="00022D33">
              <w:t>(4,156)</w:t>
            </w:r>
          </w:p>
        </w:tc>
      </w:tr>
      <w:tr w:rsidR="00617CB0" w:rsidRPr="00022D33" w:rsidTr="000D7011">
        <w:tc>
          <w:tcPr>
            <w:tcW w:w="2123" w:type="dxa"/>
            <w:shd w:val="clear" w:color="auto" w:fill="auto"/>
          </w:tcPr>
          <w:p w:rsidR="00617CB0" w:rsidRPr="00022D33" w:rsidRDefault="00617CB0" w:rsidP="000D7011">
            <w:pPr>
              <w:pStyle w:val="Tabletext"/>
            </w:pPr>
            <w:r w:rsidRPr="00022D33">
              <w:t>Finance costs</w:t>
            </w:r>
          </w:p>
        </w:tc>
        <w:tc>
          <w:tcPr>
            <w:tcW w:w="1118" w:type="dxa"/>
            <w:shd w:val="clear" w:color="auto" w:fill="auto"/>
          </w:tcPr>
          <w:p w:rsidR="00617CB0" w:rsidRPr="00022D33" w:rsidRDefault="00617CB0" w:rsidP="000D7011">
            <w:pPr>
              <w:pStyle w:val="Tabletext"/>
              <w:jc w:val="right"/>
            </w:pPr>
          </w:p>
        </w:tc>
        <w:tc>
          <w:tcPr>
            <w:tcW w:w="1203" w:type="dxa"/>
            <w:shd w:val="clear" w:color="auto" w:fill="auto"/>
          </w:tcPr>
          <w:p w:rsidR="00617CB0" w:rsidRPr="00022D33" w:rsidRDefault="00617CB0" w:rsidP="000D7011">
            <w:pPr>
              <w:pStyle w:val="Tabletext"/>
              <w:jc w:val="right"/>
            </w:pPr>
            <w:r w:rsidRPr="00022D33">
              <w:t>10,982</w:t>
            </w:r>
          </w:p>
        </w:tc>
        <w:tc>
          <w:tcPr>
            <w:tcW w:w="1203" w:type="dxa"/>
            <w:shd w:val="clear" w:color="auto" w:fill="auto"/>
          </w:tcPr>
          <w:p w:rsidR="00617CB0" w:rsidRPr="00022D33" w:rsidRDefault="00617CB0" w:rsidP="000D7011">
            <w:pPr>
              <w:pStyle w:val="Tabletext"/>
              <w:jc w:val="right"/>
            </w:pPr>
            <w:r w:rsidRPr="00022D33">
              <w:t>9,003</w:t>
            </w:r>
          </w:p>
        </w:tc>
        <w:tc>
          <w:tcPr>
            <w:tcW w:w="1203" w:type="dxa"/>
            <w:shd w:val="clear" w:color="auto" w:fill="auto"/>
          </w:tcPr>
          <w:p w:rsidR="00617CB0" w:rsidRPr="00022D33" w:rsidRDefault="00617CB0" w:rsidP="000D7011">
            <w:pPr>
              <w:pStyle w:val="Tabletext"/>
              <w:jc w:val="right"/>
            </w:pPr>
            <w:r w:rsidRPr="00022D33">
              <w:t>4,824</w:t>
            </w:r>
          </w:p>
        </w:tc>
        <w:tc>
          <w:tcPr>
            <w:tcW w:w="1194" w:type="dxa"/>
            <w:shd w:val="clear" w:color="auto" w:fill="auto"/>
          </w:tcPr>
          <w:p w:rsidR="00617CB0" w:rsidRPr="00022D33" w:rsidRDefault="00617CB0" w:rsidP="000D7011">
            <w:pPr>
              <w:pStyle w:val="Tabletext"/>
              <w:jc w:val="right"/>
            </w:pPr>
            <w:r w:rsidRPr="00022D33">
              <w:t>(1,979)</w:t>
            </w:r>
          </w:p>
        </w:tc>
        <w:tc>
          <w:tcPr>
            <w:tcW w:w="1198" w:type="dxa"/>
            <w:shd w:val="clear" w:color="auto" w:fill="auto"/>
          </w:tcPr>
          <w:p w:rsidR="00617CB0" w:rsidRPr="00022D33" w:rsidRDefault="00617CB0" w:rsidP="000D7011">
            <w:pPr>
              <w:pStyle w:val="Tabletext"/>
              <w:jc w:val="right"/>
            </w:pPr>
            <w:r w:rsidRPr="00022D33">
              <w:t>4,179</w:t>
            </w:r>
          </w:p>
        </w:tc>
      </w:tr>
      <w:tr w:rsidR="00617CB0" w:rsidRPr="00022D33" w:rsidTr="000D7011">
        <w:tc>
          <w:tcPr>
            <w:tcW w:w="2123" w:type="dxa"/>
            <w:shd w:val="clear" w:color="auto" w:fill="auto"/>
          </w:tcPr>
          <w:p w:rsidR="00617CB0" w:rsidRPr="00022D33" w:rsidRDefault="00617CB0" w:rsidP="000D7011">
            <w:pPr>
              <w:pStyle w:val="Tabletext"/>
            </w:pPr>
            <w:r w:rsidRPr="00022D33">
              <w:t>Accommodation expenses</w:t>
            </w:r>
          </w:p>
        </w:tc>
        <w:tc>
          <w:tcPr>
            <w:tcW w:w="1118" w:type="dxa"/>
            <w:shd w:val="clear" w:color="auto" w:fill="auto"/>
          </w:tcPr>
          <w:p w:rsidR="00617CB0" w:rsidRPr="00022D33" w:rsidRDefault="00617CB0" w:rsidP="000D7011">
            <w:pPr>
              <w:pStyle w:val="Tabletext"/>
              <w:jc w:val="right"/>
            </w:pPr>
          </w:p>
        </w:tc>
        <w:tc>
          <w:tcPr>
            <w:tcW w:w="1203" w:type="dxa"/>
            <w:shd w:val="clear" w:color="auto" w:fill="auto"/>
          </w:tcPr>
          <w:p w:rsidR="00617CB0" w:rsidRPr="00022D33" w:rsidRDefault="00617CB0" w:rsidP="000D7011">
            <w:pPr>
              <w:pStyle w:val="Tabletext"/>
              <w:jc w:val="right"/>
            </w:pPr>
            <w:r w:rsidRPr="00022D33">
              <w:t>21,218</w:t>
            </w:r>
          </w:p>
        </w:tc>
        <w:tc>
          <w:tcPr>
            <w:tcW w:w="1203" w:type="dxa"/>
            <w:shd w:val="clear" w:color="auto" w:fill="auto"/>
          </w:tcPr>
          <w:p w:rsidR="00617CB0" w:rsidRPr="00022D33" w:rsidRDefault="00617CB0" w:rsidP="000D7011">
            <w:pPr>
              <w:pStyle w:val="Tabletext"/>
              <w:jc w:val="right"/>
            </w:pPr>
            <w:r w:rsidRPr="00022D33">
              <w:t>38,894</w:t>
            </w:r>
          </w:p>
        </w:tc>
        <w:tc>
          <w:tcPr>
            <w:tcW w:w="1203" w:type="dxa"/>
            <w:shd w:val="clear" w:color="auto" w:fill="auto"/>
          </w:tcPr>
          <w:p w:rsidR="00617CB0" w:rsidRPr="00022D33" w:rsidRDefault="00617CB0" w:rsidP="000D7011">
            <w:pPr>
              <w:pStyle w:val="Tabletext"/>
              <w:jc w:val="right"/>
            </w:pPr>
            <w:r w:rsidRPr="00022D33">
              <w:t>35,481</w:t>
            </w:r>
          </w:p>
        </w:tc>
        <w:tc>
          <w:tcPr>
            <w:tcW w:w="1194" w:type="dxa"/>
            <w:shd w:val="clear" w:color="auto" w:fill="auto"/>
          </w:tcPr>
          <w:p w:rsidR="00617CB0" w:rsidRPr="00022D33" w:rsidRDefault="00617CB0" w:rsidP="000D7011">
            <w:pPr>
              <w:pStyle w:val="Tabletext"/>
              <w:jc w:val="right"/>
            </w:pPr>
            <w:r w:rsidRPr="00022D33">
              <w:t>17,676</w:t>
            </w:r>
          </w:p>
        </w:tc>
        <w:tc>
          <w:tcPr>
            <w:tcW w:w="1198" w:type="dxa"/>
            <w:shd w:val="clear" w:color="auto" w:fill="auto"/>
          </w:tcPr>
          <w:p w:rsidR="00617CB0" w:rsidRPr="00022D33" w:rsidRDefault="00617CB0" w:rsidP="000D7011">
            <w:pPr>
              <w:pStyle w:val="Tabletext"/>
              <w:jc w:val="right"/>
            </w:pPr>
            <w:r w:rsidRPr="00022D33">
              <w:t>3,413</w:t>
            </w:r>
          </w:p>
        </w:tc>
      </w:tr>
      <w:tr w:rsidR="00617CB0" w:rsidRPr="00022D33" w:rsidTr="000D7011">
        <w:tc>
          <w:tcPr>
            <w:tcW w:w="2123" w:type="dxa"/>
            <w:shd w:val="clear" w:color="auto" w:fill="auto"/>
          </w:tcPr>
          <w:p w:rsidR="00617CB0" w:rsidRPr="00022D33" w:rsidRDefault="00617CB0" w:rsidP="000D7011">
            <w:pPr>
              <w:pStyle w:val="Tabletext"/>
            </w:pPr>
            <w:r w:rsidRPr="00022D33">
              <w:t>Grants and subsidies</w:t>
            </w:r>
          </w:p>
        </w:tc>
        <w:tc>
          <w:tcPr>
            <w:tcW w:w="1118" w:type="dxa"/>
            <w:shd w:val="clear" w:color="auto" w:fill="auto"/>
          </w:tcPr>
          <w:p w:rsidR="00617CB0" w:rsidRPr="00022D33" w:rsidRDefault="00617CB0" w:rsidP="000D7011">
            <w:pPr>
              <w:pStyle w:val="Tabletext"/>
              <w:jc w:val="right"/>
            </w:pPr>
            <w:r w:rsidRPr="00022D33">
              <w:t>B</w:t>
            </w:r>
          </w:p>
        </w:tc>
        <w:tc>
          <w:tcPr>
            <w:tcW w:w="1203" w:type="dxa"/>
            <w:shd w:val="clear" w:color="auto" w:fill="auto"/>
          </w:tcPr>
          <w:p w:rsidR="00617CB0" w:rsidRPr="00022D33" w:rsidRDefault="00617CB0" w:rsidP="000D7011">
            <w:pPr>
              <w:pStyle w:val="Tabletext"/>
              <w:jc w:val="right"/>
            </w:pPr>
            <w:r w:rsidRPr="00022D33">
              <w:t>5,235</w:t>
            </w:r>
          </w:p>
        </w:tc>
        <w:tc>
          <w:tcPr>
            <w:tcW w:w="1203" w:type="dxa"/>
            <w:shd w:val="clear" w:color="auto" w:fill="auto"/>
          </w:tcPr>
          <w:p w:rsidR="00617CB0" w:rsidRPr="00022D33" w:rsidRDefault="00617CB0" w:rsidP="000D7011">
            <w:pPr>
              <w:pStyle w:val="Tabletext"/>
              <w:jc w:val="right"/>
            </w:pPr>
            <w:r w:rsidRPr="00022D33">
              <w:t>3,761</w:t>
            </w:r>
          </w:p>
        </w:tc>
        <w:tc>
          <w:tcPr>
            <w:tcW w:w="1203" w:type="dxa"/>
            <w:shd w:val="clear" w:color="auto" w:fill="auto"/>
          </w:tcPr>
          <w:p w:rsidR="00617CB0" w:rsidRPr="00022D33" w:rsidRDefault="00617CB0" w:rsidP="000D7011">
            <w:pPr>
              <w:pStyle w:val="Tabletext"/>
              <w:jc w:val="right"/>
            </w:pPr>
            <w:r w:rsidRPr="00022D33">
              <w:t>64,228</w:t>
            </w:r>
          </w:p>
        </w:tc>
        <w:tc>
          <w:tcPr>
            <w:tcW w:w="1194" w:type="dxa"/>
            <w:shd w:val="clear" w:color="auto" w:fill="auto"/>
          </w:tcPr>
          <w:p w:rsidR="00617CB0" w:rsidRPr="00022D33" w:rsidRDefault="00617CB0" w:rsidP="000D7011">
            <w:pPr>
              <w:pStyle w:val="Tabletext"/>
              <w:jc w:val="right"/>
            </w:pPr>
            <w:r w:rsidRPr="00022D33">
              <w:t>(1,474)</w:t>
            </w:r>
          </w:p>
        </w:tc>
        <w:tc>
          <w:tcPr>
            <w:tcW w:w="1198" w:type="dxa"/>
            <w:shd w:val="clear" w:color="auto" w:fill="auto"/>
          </w:tcPr>
          <w:p w:rsidR="00617CB0" w:rsidRPr="00022D33" w:rsidRDefault="00617CB0" w:rsidP="000D7011">
            <w:pPr>
              <w:pStyle w:val="Tabletext"/>
              <w:jc w:val="right"/>
            </w:pPr>
            <w:r w:rsidRPr="00022D33">
              <w:t>(60,467)</w:t>
            </w:r>
          </w:p>
        </w:tc>
      </w:tr>
      <w:tr w:rsidR="00617CB0" w:rsidRPr="00022D33" w:rsidTr="000D7011">
        <w:tc>
          <w:tcPr>
            <w:tcW w:w="2123" w:type="dxa"/>
            <w:shd w:val="clear" w:color="auto" w:fill="auto"/>
          </w:tcPr>
          <w:p w:rsidR="00617CB0" w:rsidRPr="00022D33" w:rsidRDefault="00617CB0" w:rsidP="000D7011">
            <w:pPr>
              <w:pStyle w:val="Tabletext"/>
            </w:pPr>
            <w:r w:rsidRPr="00022D33">
              <w:t>Loss on disposal of non-current assets</w:t>
            </w:r>
          </w:p>
        </w:tc>
        <w:tc>
          <w:tcPr>
            <w:tcW w:w="1118" w:type="dxa"/>
            <w:shd w:val="clear" w:color="auto" w:fill="auto"/>
          </w:tcPr>
          <w:p w:rsidR="00617CB0" w:rsidRPr="00022D33" w:rsidRDefault="00617CB0" w:rsidP="000D7011">
            <w:pPr>
              <w:pStyle w:val="Tabletext"/>
              <w:jc w:val="right"/>
            </w:pPr>
          </w:p>
        </w:tc>
        <w:tc>
          <w:tcPr>
            <w:tcW w:w="1203" w:type="dxa"/>
            <w:shd w:val="clear" w:color="auto" w:fill="auto"/>
          </w:tcPr>
          <w:p w:rsidR="00617CB0" w:rsidRPr="00022D33" w:rsidRDefault="00617CB0" w:rsidP="000D7011">
            <w:pPr>
              <w:pStyle w:val="Tabletext"/>
              <w:jc w:val="right"/>
            </w:pPr>
            <w:r w:rsidRPr="00022D33">
              <w:t>-</w:t>
            </w:r>
          </w:p>
        </w:tc>
        <w:tc>
          <w:tcPr>
            <w:tcW w:w="1203" w:type="dxa"/>
            <w:shd w:val="clear" w:color="auto" w:fill="auto"/>
          </w:tcPr>
          <w:p w:rsidR="00617CB0" w:rsidRPr="00022D33" w:rsidRDefault="00617CB0" w:rsidP="000D7011">
            <w:pPr>
              <w:pStyle w:val="Tabletext"/>
              <w:jc w:val="right"/>
            </w:pPr>
            <w:r w:rsidRPr="00022D33">
              <w:t>1</w:t>
            </w:r>
          </w:p>
        </w:tc>
        <w:tc>
          <w:tcPr>
            <w:tcW w:w="1203" w:type="dxa"/>
            <w:shd w:val="clear" w:color="auto" w:fill="auto"/>
          </w:tcPr>
          <w:p w:rsidR="00617CB0" w:rsidRPr="00022D33" w:rsidRDefault="00617CB0" w:rsidP="000D7011">
            <w:pPr>
              <w:pStyle w:val="Tabletext"/>
              <w:jc w:val="right"/>
            </w:pPr>
            <w:r w:rsidRPr="00022D33">
              <w:t>2</w:t>
            </w:r>
          </w:p>
        </w:tc>
        <w:tc>
          <w:tcPr>
            <w:tcW w:w="1194" w:type="dxa"/>
            <w:shd w:val="clear" w:color="auto" w:fill="auto"/>
          </w:tcPr>
          <w:p w:rsidR="00617CB0" w:rsidRPr="00022D33" w:rsidRDefault="00617CB0" w:rsidP="000D7011">
            <w:pPr>
              <w:pStyle w:val="Tabletext"/>
              <w:jc w:val="right"/>
            </w:pPr>
            <w:r w:rsidRPr="00022D33">
              <w:t>1</w:t>
            </w:r>
          </w:p>
        </w:tc>
        <w:tc>
          <w:tcPr>
            <w:tcW w:w="1198" w:type="dxa"/>
            <w:shd w:val="clear" w:color="auto" w:fill="auto"/>
          </w:tcPr>
          <w:p w:rsidR="00617CB0" w:rsidRPr="00022D33" w:rsidRDefault="00617CB0" w:rsidP="000D7011">
            <w:pPr>
              <w:pStyle w:val="Tabletext"/>
              <w:jc w:val="right"/>
            </w:pPr>
            <w:r w:rsidRPr="00022D33">
              <w:t>(1)</w:t>
            </w:r>
          </w:p>
        </w:tc>
      </w:tr>
      <w:tr w:rsidR="00617CB0" w:rsidRPr="00022D33" w:rsidTr="000D7011">
        <w:tc>
          <w:tcPr>
            <w:tcW w:w="2123" w:type="dxa"/>
            <w:shd w:val="clear" w:color="auto" w:fill="auto"/>
          </w:tcPr>
          <w:p w:rsidR="00617CB0" w:rsidRPr="00022D33" w:rsidRDefault="00617CB0" w:rsidP="000D7011">
            <w:pPr>
              <w:pStyle w:val="Tabletext"/>
            </w:pPr>
            <w:r w:rsidRPr="00022D33">
              <w:t>Other expenses</w:t>
            </w:r>
          </w:p>
        </w:tc>
        <w:tc>
          <w:tcPr>
            <w:tcW w:w="1118" w:type="dxa"/>
            <w:shd w:val="clear" w:color="auto" w:fill="auto"/>
          </w:tcPr>
          <w:p w:rsidR="00617CB0" w:rsidRPr="00022D33" w:rsidRDefault="00617CB0" w:rsidP="000D7011">
            <w:pPr>
              <w:pStyle w:val="Tabletext"/>
              <w:jc w:val="right"/>
            </w:pPr>
            <w:r w:rsidRPr="00022D33">
              <w:t>1,C</w:t>
            </w:r>
          </w:p>
        </w:tc>
        <w:tc>
          <w:tcPr>
            <w:tcW w:w="1203" w:type="dxa"/>
            <w:tcBorders>
              <w:bottom w:val="single" w:sz="4" w:space="0" w:color="auto"/>
            </w:tcBorders>
            <w:shd w:val="clear" w:color="auto" w:fill="auto"/>
          </w:tcPr>
          <w:p w:rsidR="00617CB0" w:rsidRPr="00022D33" w:rsidRDefault="00617CB0" w:rsidP="000D7011">
            <w:pPr>
              <w:pStyle w:val="Tabletext"/>
              <w:jc w:val="right"/>
            </w:pPr>
            <w:r w:rsidRPr="00022D33">
              <w:t>6,319</w:t>
            </w:r>
          </w:p>
        </w:tc>
        <w:tc>
          <w:tcPr>
            <w:tcW w:w="1203" w:type="dxa"/>
            <w:tcBorders>
              <w:bottom w:val="single" w:sz="4" w:space="0" w:color="auto"/>
            </w:tcBorders>
            <w:shd w:val="clear" w:color="auto" w:fill="auto"/>
          </w:tcPr>
          <w:p w:rsidR="00617CB0" w:rsidRPr="00022D33" w:rsidRDefault="00617CB0" w:rsidP="000D7011">
            <w:pPr>
              <w:pStyle w:val="Tabletext"/>
              <w:jc w:val="right"/>
            </w:pPr>
            <w:r w:rsidRPr="00022D33">
              <w:t>51,783</w:t>
            </w:r>
          </w:p>
        </w:tc>
        <w:tc>
          <w:tcPr>
            <w:tcW w:w="1203" w:type="dxa"/>
            <w:tcBorders>
              <w:bottom w:val="single" w:sz="4" w:space="0" w:color="auto"/>
            </w:tcBorders>
            <w:shd w:val="clear" w:color="auto" w:fill="auto"/>
          </w:tcPr>
          <w:p w:rsidR="00617CB0" w:rsidRPr="00022D33" w:rsidRDefault="00617CB0" w:rsidP="000D7011">
            <w:pPr>
              <w:pStyle w:val="Tabletext"/>
              <w:jc w:val="right"/>
            </w:pPr>
            <w:r w:rsidRPr="00022D33">
              <w:t>1,538</w:t>
            </w:r>
          </w:p>
        </w:tc>
        <w:tc>
          <w:tcPr>
            <w:tcW w:w="1194" w:type="dxa"/>
            <w:tcBorders>
              <w:bottom w:val="single" w:sz="4" w:space="0" w:color="auto"/>
            </w:tcBorders>
            <w:shd w:val="clear" w:color="auto" w:fill="auto"/>
          </w:tcPr>
          <w:p w:rsidR="00617CB0" w:rsidRPr="00022D33" w:rsidRDefault="00617CB0" w:rsidP="000D7011">
            <w:pPr>
              <w:pStyle w:val="Tabletext"/>
              <w:jc w:val="right"/>
            </w:pPr>
            <w:r w:rsidRPr="00022D33">
              <w:t>45,464</w:t>
            </w:r>
          </w:p>
        </w:tc>
        <w:tc>
          <w:tcPr>
            <w:tcW w:w="1198" w:type="dxa"/>
            <w:tcBorders>
              <w:bottom w:val="single" w:sz="4" w:space="0" w:color="auto"/>
            </w:tcBorders>
            <w:shd w:val="clear" w:color="auto" w:fill="auto"/>
          </w:tcPr>
          <w:p w:rsidR="00617CB0" w:rsidRPr="00022D33" w:rsidRDefault="00617CB0" w:rsidP="000D7011">
            <w:pPr>
              <w:pStyle w:val="Tabletext"/>
              <w:jc w:val="right"/>
            </w:pPr>
            <w:r w:rsidRPr="00022D33">
              <w:t>50,245</w:t>
            </w:r>
          </w:p>
        </w:tc>
      </w:tr>
      <w:tr w:rsidR="00617CB0" w:rsidRPr="00022D33" w:rsidTr="000D7011">
        <w:tc>
          <w:tcPr>
            <w:tcW w:w="2123" w:type="dxa"/>
            <w:shd w:val="clear" w:color="auto" w:fill="auto"/>
          </w:tcPr>
          <w:p w:rsidR="00617CB0" w:rsidRPr="00022D33" w:rsidRDefault="00617CB0" w:rsidP="000D7011">
            <w:pPr>
              <w:pStyle w:val="Tabletext"/>
              <w:rPr>
                <w:b/>
              </w:rPr>
            </w:pPr>
            <w:r w:rsidRPr="00022D33">
              <w:rPr>
                <w:b/>
              </w:rPr>
              <w:t>Total cost of services</w:t>
            </w:r>
          </w:p>
        </w:tc>
        <w:tc>
          <w:tcPr>
            <w:tcW w:w="1118" w:type="dxa"/>
            <w:shd w:val="clear" w:color="auto" w:fill="auto"/>
          </w:tcPr>
          <w:p w:rsidR="00617CB0" w:rsidRPr="00022D33" w:rsidRDefault="00617CB0" w:rsidP="000D7011">
            <w:pPr>
              <w:pStyle w:val="Tabletext"/>
              <w:jc w:val="right"/>
              <w:rPr>
                <w:b/>
              </w:rPr>
            </w:pPr>
          </w:p>
        </w:tc>
        <w:tc>
          <w:tcPr>
            <w:tcW w:w="1203"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1,212,719</w:t>
            </w:r>
          </w:p>
        </w:tc>
        <w:tc>
          <w:tcPr>
            <w:tcW w:w="1203"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1,196,998</w:t>
            </w:r>
          </w:p>
        </w:tc>
        <w:tc>
          <w:tcPr>
            <w:tcW w:w="1203"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1,386,636</w:t>
            </w:r>
          </w:p>
        </w:tc>
        <w:tc>
          <w:tcPr>
            <w:tcW w:w="1194"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(15,721)</w:t>
            </w:r>
          </w:p>
        </w:tc>
        <w:tc>
          <w:tcPr>
            <w:tcW w:w="1198"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(189,637)</w:t>
            </w:r>
          </w:p>
        </w:tc>
      </w:tr>
      <w:tr w:rsidR="00617CB0" w:rsidRPr="00022D33" w:rsidTr="000D7011">
        <w:tc>
          <w:tcPr>
            <w:tcW w:w="9242" w:type="dxa"/>
            <w:gridSpan w:val="7"/>
            <w:shd w:val="clear" w:color="auto" w:fill="auto"/>
          </w:tcPr>
          <w:p w:rsidR="00617CB0" w:rsidRPr="00022D33" w:rsidRDefault="00617CB0" w:rsidP="000D7011">
            <w:pPr>
              <w:pStyle w:val="Tabletext"/>
            </w:pPr>
            <w:r w:rsidRPr="00022D33">
              <w:rPr>
                <w:b/>
              </w:rPr>
              <w:t>Income</w:t>
            </w:r>
          </w:p>
        </w:tc>
      </w:tr>
      <w:tr w:rsidR="00617CB0" w:rsidRPr="00022D33" w:rsidTr="000D7011">
        <w:tc>
          <w:tcPr>
            <w:tcW w:w="9242" w:type="dxa"/>
            <w:gridSpan w:val="7"/>
            <w:shd w:val="clear" w:color="auto" w:fill="auto"/>
          </w:tcPr>
          <w:p w:rsidR="00617CB0" w:rsidRPr="00022D33" w:rsidRDefault="00617CB0" w:rsidP="000D7011">
            <w:pPr>
              <w:pStyle w:val="Tabletext"/>
              <w:rPr>
                <w:i/>
              </w:rPr>
            </w:pPr>
            <w:r w:rsidRPr="00022D33">
              <w:rPr>
                <w:i/>
              </w:rPr>
              <w:t>Revenue</w:t>
            </w:r>
          </w:p>
        </w:tc>
      </w:tr>
      <w:tr w:rsidR="00617CB0" w:rsidRPr="00022D33" w:rsidTr="000D7011">
        <w:tc>
          <w:tcPr>
            <w:tcW w:w="2123" w:type="dxa"/>
            <w:shd w:val="clear" w:color="auto" w:fill="auto"/>
          </w:tcPr>
          <w:p w:rsidR="00617CB0" w:rsidRPr="00022D33" w:rsidRDefault="00617CB0" w:rsidP="000D7011">
            <w:pPr>
              <w:pStyle w:val="Tabletext"/>
            </w:pPr>
            <w:r w:rsidRPr="00022D33">
              <w:t xml:space="preserve">User charges and fees </w:t>
            </w:r>
          </w:p>
        </w:tc>
        <w:tc>
          <w:tcPr>
            <w:tcW w:w="1118" w:type="dxa"/>
            <w:shd w:val="clear" w:color="auto" w:fill="auto"/>
          </w:tcPr>
          <w:p w:rsidR="00617CB0" w:rsidRPr="00022D33" w:rsidRDefault="00617CB0" w:rsidP="000D7011">
            <w:pPr>
              <w:pStyle w:val="Tabletext"/>
              <w:jc w:val="right"/>
            </w:pPr>
            <w:r w:rsidRPr="00022D33">
              <w:t>D</w:t>
            </w:r>
          </w:p>
        </w:tc>
        <w:tc>
          <w:tcPr>
            <w:tcW w:w="1203" w:type="dxa"/>
            <w:shd w:val="clear" w:color="auto" w:fill="auto"/>
          </w:tcPr>
          <w:p w:rsidR="00617CB0" w:rsidRPr="00022D33" w:rsidRDefault="00617CB0" w:rsidP="000D7011">
            <w:pPr>
              <w:pStyle w:val="Tabletext"/>
              <w:jc w:val="right"/>
            </w:pPr>
            <w:r w:rsidRPr="00022D33">
              <w:t>976,463</w:t>
            </w:r>
          </w:p>
        </w:tc>
        <w:tc>
          <w:tcPr>
            <w:tcW w:w="1203" w:type="dxa"/>
            <w:shd w:val="clear" w:color="auto" w:fill="auto"/>
          </w:tcPr>
          <w:p w:rsidR="00617CB0" w:rsidRPr="00022D33" w:rsidRDefault="00617CB0" w:rsidP="000D7011">
            <w:pPr>
              <w:pStyle w:val="Tabletext"/>
              <w:jc w:val="right"/>
            </w:pPr>
            <w:r w:rsidRPr="00022D33">
              <w:t>961,918</w:t>
            </w:r>
          </w:p>
        </w:tc>
        <w:tc>
          <w:tcPr>
            <w:tcW w:w="1203" w:type="dxa"/>
            <w:shd w:val="clear" w:color="auto" w:fill="auto"/>
          </w:tcPr>
          <w:p w:rsidR="00617CB0" w:rsidRPr="00022D33" w:rsidRDefault="00617CB0" w:rsidP="000D7011">
            <w:pPr>
              <w:pStyle w:val="Tabletext"/>
              <w:jc w:val="right"/>
            </w:pPr>
            <w:r w:rsidRPr="00022D33">
              <w:t>1,149,378</w:t>
            </w:r>
          </w:p>
        </w:tc>
        <w:tc>
          <w:tcPr>
            <w:tcW w:w="1194" w:type="dxa"/>
            <w:shd w:val="clear" w:color="auto" w:fill="auto"/>
          </w:tcPr>
          <w:p w:rsidR="00617CB0" w:rsidRPr="00022D33" w:rsidRDefault="00617CB0" w:rsidP="000D7011">
            <w:pPr>
              <w:pStyle w:val="Tabletext"/>
              <w:jc w:val="right"/>
            </w:pPr>
            <w:r w:rsidRPr="00022D33">
              <w:t>(14,545)</w:t>
            </w:r>
          </w:p>
        </w:tc>
        <w:tc>
          <w:tcPr>
            <w:tcW w:w="1198" w:type="dxa"/>
            <w:shd w:val="clear" w:color="auto" w:fill="auto"/>
          </w:tcPr>
          <w:p w:rsidR="00617CB0" w:rsidRPr="00022D33" w:rsidRDefault="00617CB0" w:rsidP="000D7011">
            <w:pPr>
              <w:pStyle w:val="Tabletext"/>
              <w:jc w:val="right"/>
            </w:pPr>
            <w:r w:rsidRPr="00022D33">
              <w:t>(187,460)</w:t>
            </w:r>
          </w:p>
        </w:tc>
      </w:tr>
      <w:tr w:rsidR="00617CB0" w:rsidRPr="00022D33" w:rsidTr="000D7011">
        <w:tc>
          <w:tcPr>
            <w:tcW w:w="2123" w:type="dxa"/>
            <w:shd w:val="clear" w:color="auto" w:fill="auto"/>
          </w:tcPr>
          <w:p w:rsidR="00617CB0" w:rsidRPr="00022D33" w:rsidRDefault="00617CB0" w:rsidP="000D7011">
            <w:pPr>
              <w:pStyle w:val="Tabletext"/>
            </w:pPr>
            <w:r w:rsidRPr="00022D33">
              <w:t>Commonwealth grants and contributions</w:t>
            </w:r>
          </w:p>
        </w:tc>
        <w:tc>
          <w:tcPr>
            <w:tcW w:w="1118" w:type="dxa"/>
            <w:shd w:val="clear" w:color="auto" w:fill="auto"/>
          </w:tcPr>
          <w:p w:rsidR="00617CB0" w:rsidRPr="00022D33" w:rsidRDefault="00617CB0" w:rsidP="000D7011">
            <w:pPr>
              <w:pStyle w:val="Tabletext"/>
              <w:jc w:val="right"/>
            </w:pPr>
          </w:p>
        </w:tc>
        <w:tc>
          <w:tcPr>
            <w:tcW w:w="1203" w:type="dxa"/>
            <w:shd w:val="clear" w:color="auto" w:fill="auto"/>
          </w:tcPr>
          <w:p w:rsidR="00617CB0" w:rsidRPr="00022D33" w:rsidRDefault="00617CB0" w:rsidP="000D7011">
            <w:pPr>
              <w:pStyle w:val="Tabletext"/>
              <w:jc w:val="right"/>
            </w:pPr>
            <w:r w:rsidRPr="00022D33">
              <w:t>-</w:t>
            </w:r>
          </w:p>
        </w:tc>
        <w:tc>
          <w:tcPr>
            <w:tcW w:w="1203" w:type="dxa"/>
            <w:shd w:val="clear" w:color="auto" w:fill="auto"/>
          </w:tcPr>
          <w:p w:rsidR="00617CB0" w:rsidRPr="00022D33" w:rsidRDefault="00617CB0" w:rsidP="000D7011">
            <w:pPr>
              <w:pStyle w:val="Tabletext"/>
              <w:jc w:val="right"/>
            </w:pPr>
            <w:r w:rsidRPr="00022D33">
              <w:t>1,684</w:t>
            </w:r>
          </w:p>
        </w:tc>
        <w:tc>
          <w:tcPr>
            <w:tcW w:w="1203" w:type="dxa"/>
            <w:shd w:val="clear" w:color="auto" w:fill="auto"/>
          </w:tcPr>
          <w:p w:rsidR="00617CB0" w:rsidRPr="00022D33" w:rsidRDefault="00617CB0" w:rsidP="000D7011">
            <w:pPr>
              <w:pStyle w:val="Tabletext"/>
              <w:jc w:val="right"/>
            </w:pPr>
            <w:r w:rsidRPr="00022D33">
              <w:t>1,376</w:t>
            </w:r>
          </w:p>
        </w:tc>
        <w:tc>
          <w:tcPr>
            <w:tcW w:w="1194" w:type="dxa"/>
            <w:shd w:val="clear" w:color="auto" w:fill="auto"/>
          </w:tcPr>
          <w:p w:rsidR="00617CB0" w:rsidRPr="00022D33" w:rsidRDefault="00617CB0" w:rsidP="000D7011">
            <w:pPr>
              <w:pStyle w:val="Tabletext"/>
              <w:jc w:val="right"/>
            </w:pPr>
            <w:r w:rsidRPr="00022D33">
              <w:t>1,684</w:t>
            </w:r>
          </w:p>
        </w:tc>
        <w:tc>
          <w:tcPr>
            <w:tcW w:w="1198" w:type="dxa"/>
            <w:shd w:val="clear" w:color="auto" w:fill="auto"/>
          </w:tcPr>
          <w:p w:rsidR="00617CB0" w:rsidRPr="00022D33" w:rsidRDefault="00617CB0" w:rsidP="000D7011">
            <w:pPr>
              <w:pStyle w:val="Tabletext"/>
              <w:jc w:val="right"/>
            </w:pPr>
            <w:r w:rsidRPr="00022D33">
              <w:t>308</w:t>
            </w:r>
          </w:p>
        </w:tc>
      </w:tr>
      <w:tr w:rsidR="00617CB0" w:rsidRPr="00022D33" w:rsidTr="000D7011">
        <w:tc>
          <w:tcPr>
            <w:tcW w:w="2123" w:type="dxa"/>
            <w:shd w:val="clear" w:color="auto" w:fill="auto"/>
          </w:tcPr>
          <w:p w:rsidR="00617CB0" w:rsidRPr="00022D33" w:rsidRDefault="00617CB0" w:rsidP="000D7011">
            <w:pPr>
              <w:pStyle w:val="Tabletext"/>
            </w:pPr>
            <w:r w:rsidRPr="00022D33">
              <w:t>Interest revenue</w:t>
            </w:r>
          </w:p>
        </w:tc>
        <w:tc>
          <w:tcPr>
            <w:tcW w:w="1118" w:type="dxa"/>
            <w:shd w:val="clear" w:color="auto" w:fill="auto"/>
          </w:tcPr>
          <w:p w:rsidR="00617CB0" w:rsidRPr="00022D33" w:rsidRDefault="00617CB0" w:rsidP="000D7011">
            <w:pPr>
              <w:pStyle w:val="Tabletext"/>
              <w:jc w:val="right"/>
            </w:pPr>
          </w:p>
        </w:tc>
        <w:tc>
          <w:tcPr>
            <w:tcW w:w="1203" w:type="dxa"/>
            <w:shd w:val="clear" w:color="auto" w:fill="auto"/>
          </w:tcPr>
          <w:p w:rsidR="00617CB0" w:rsidRPr="00022D33" w:rsidRDefault="00617CB0" w:rsidP="000D7011">
            <w:pPr>
              <w:pStyle w:val="Tabletext"/>
              <w:jc w:val="right"/>
            </w:pPr>
            <w:r w:rsidRPr="00022D33">
              <w:t>156</w:t>
            </w:r>
          </w:p>
        </w:tc>
        <w:tc>
          <w:tcPr>
            <w:tcW w:w="1203" w:type="dxa"/>
            <w:shd w:val="clear" w:color="auto" w:fill="auto"/>
          </w:tcPr>
          <w:p w:rsidR="00617CB0" w:rsidRPr="00022D33" w:rsidRDefault="00617CB0" w:rsidP="000D7011">
            <w:pPr>
              <w:pStyle w:val="Tabletext"/>
              <w:jc w:val="right"/>
            </w:pPr>
            <w:r w:rsidRPr="00022D33">
              <w:t>219</w:t>
            </w:r>
          </w:p>
        </w:tc>
        <w:tc>
          <w:tcPr>
            <w:tcW w:w="1203" w:type="dxa"/>
            <w:shd w:val="clear" w:color="auto" w:fill="auto"/>
          </w:tcPr>
          <w:p w:rsidR="00617CB0" w:rsidRPr="00022D33" w:rsidRDefault="00617CB0" w:rsidP="000D7011">
            <w:pPr>
              <w:pStyle w:val="Tabletext"/>
              <w:jc w:val="right"/>
            </w:pPr>
            <w:r w:rsidRPr="00022D33">
              <w:t>262</w:t>
            </w:r>
          </w:p>
        </w:tc>
        <w:tc>
          <w:tcPr>
            <w:tcW w:w="1194" w:type="dxa"/>
            <w:shd w:val="clear" w:color="auto" w:fill="auto"/>
          </w:tcPr>
          <w:p w:rsidR="00617CB0" w:rsidRPr="00022D33" w:rsidRDefault="00617CB0" w:rsidP="000D7011">
            <w:pPr>
              <w:pStyle w:val="Tabletext"/>
              <w:jc w:val="right"/>
            </w:pPr>
            <w:r w:rsidRPr="00022D33">
              <w:t>63</w:t>
            </w:r>
          </w:p>
        </w:tc>
        <w:tc>
          <w:tcPr>
            <w:tcW w:w="1198" w:type="dxa"/>
            <w:shd w:val="clear" w:color="auto" w:fill="auto"/>
          </w:tcPr>
          <w:p w:rsidR="00617CB0" w:rsidRPr="00022D33" w:rsidRDefault="00617CB0" w:rsidP="000D7011">
            <w:pPr>
              <w:pStyle w:val="Tabletext"/>
              <w:jc w:val="right"/>
            </w:pPr>
            <w:r w:rsidRPr="00022D33">
              <w:t>(43)</w:t>
            </w:r>
          </w:p>
        </w:tc>
      </w:tr>
      <w:tr w:rsidR="00617CB0" w:rsidRPr="00022D33" w:rsidTr="000D7011">
        <w:tc>
          <w:tcPr>
            <w:tcW w:w="2123" w:type="dxa"/>
            <w:shd w:val="clear" w:color="auto" w:fill="auto"/>
          </w:tcPr>
          <w:p w:rsidR="00617CB0" w:rsidRPr="00022D33" w:rsidRDefault="00617CB0" w:rsidP="000D7011">
            <w:pPr>
              <w:pStyle w:val="Tabletext"/>
            </w:pPr>
            <w:r w:rsidRPr="00022D33">
              <w:t>Other revenue</w:t>
            </w:r>
          </w:p>
        </w:tc>
        <w:tc>
          <w:tcPr>
            <w:tcW w:w="1118" w:type="dxa"/>
            <w:shd w:val="clear" w:color="auto" w:fill="auto"/>
          </w:tcPr>
          <w:p w:rsidR="00617CB0" w:rsidRPr="00022D33" w:rsidRDefault="00617CB0" w:rsidP="000D7011">
            <w:pPr>
              <w:pStyle w:val="Tabletext"/>
              <w:jc w:val="right"/>
            </w:pPr>
          </w:p>
        </w:tc>
        <w:tc>
          <w:tcPr>
            <w:tcW w:w="1203" w:type="dxa"/>
            <w:tcBorders>
              <w:bottom w:val="single" w:sz="4" w:space="0" w:color="auto"/>
            </w:tcBorders>
            <w:shd w:val="clear" w:color="auto" w:fill="auto"/>
          </w:tcPr>
          <w:p w:rsidR="00617CB0" w:rsidRPr="00022D33" w:rsidRDefault="00617CB0" w:rsidP="000D7011">
            <w:pPr>
              <w:pStyle w:val="Tabletext"/>
              <w:jc w:val="right"/>
            </w:pPr>
            <w:r w:rsidRPr="00022D33">
              <w:t>9,815</w:t>
            </w:r>
          </w:p>
        </w:tc>
        <w:tc>
          <w:tcPr>
            <w:tcW w:w="1203" w:type="dxa"/>
            <w:tcBorders>
              <w:bottom w:val="single" w:sz="4" w:space="0" w:color="auto"/>
            </w:tcBorders>
            <w:shd w:val="clear" w:color="auto" w:fill="auto"/>
          </w:tcPr>
          <w:p w:rsidR="00617CB0" w:rsidRPr="00022D33" w:rsidRDefault="00617CB0" w:rsidP="000D7011">
            <w:pPr>
              <w:pStyle w:val="Tabletext"/>
              <w:jc w:val="right"/>
            </w:pPr>
            <w:r w:rsidRPr="00022D33">
              <w:t>8,443</w:t>
            </w:r>
          </w:p>
        </w:tc>
        <w:tc>
          <w:tcPr>
            <w:tcW w:w="1203" w:type="dxa"/>
            <w:tcBorders>
              <w:bottom w:val="single" w:sz="4" w:space="0" w:color="auto"/>
            </w:tcBorders>
            <w:shd w:val="clear" w:color="auto" w:fill="auto"/>
          </w:tcPr>
          <w:p w:rsidR="00617CB0" w:rsidRPr="00022D33" w:rsidRDefault="00617CB0" w:rsidP="000D7011">
            <w:pPr>
              <w:pStyle w:val="Tabletext"/>
              <w:jc w:val="right"/>
            </w:pPr>
            <w:r w:rsidRPr="00022D33">
              <w:t>8,018</w:t>
            </w:r>
          </w:p>
        </w:tc>
        <w:tc>
          <w:tcPr>
            <w:tcW w:w="1194" w:type="dxa"/>
            <w:tcBorders>
              <w:bottom w:val="single" w:sz="4" w:space="0" w:color="auto"/>
            </w:tcBorders>
            <w:shd w:val="clear" w:color="auto" w:fill="auto"/>
          </w:tcPr>
          <w:p w:rsidR="00617CB0" w:rsidRPr="00022D33" w:rsidRDefault="00617CB0" w:rsidP="000D7011">
            <w:pPr>
              <w:pStyle w:val="Tabletext"/>
              <w:jc w:val="right"/>
            </w:pPr>
            <w:r w:rsidRPr="00022D33">
              <w:t>(1,372)</w:t>
            </w:r>
          </w:p>
        </w:tc>
        <w:tc>
          <w:tcPr>
            <w:tcW w:w="1198" w:type="dxa"/>
            <w:tcBorders>
              <w:bottom w:val="single" w:sz="4" w:space="0" w:color="auto"/>
            </w:tcBorders>
            <w:shd w:val="clear" w:color="auto" w:fill="auto"/>
          </w:tcPr>
          <w:p w:rsidR="00617CB0" w:rsidRPr="00022D33" w:rsidRDefault="00617CB0" w:rsidP="000D7011">
            <w:pPr>
              <w:pStyle w:val="Tabletext"/>
              <w:jc w:val="right"/>
            </w:pPr>
            <w:r w:rsidRPr="00022D33">
              <w:t>425</w:t>
            </w:r>
          </w:p>
        </w:tc>
      </w:tr>
      <w:tr w:rsidR="00617CB0" w:rsidRPr="00022D33" w:rsidTr="000D7011">
        <w:tc>
          <w:tcPr>
            <w:tcW w:w="2123" w:type="dxa"/>
            <w:shd w:val="clear" w:color="auto" w:fill="auto"/>
          </w:tcPr>
          <w:p w:rsidR="00617CB0" w:rsidRPr="00022D33" w:rsidRDefault="00617CB0" w:rsidP="000D7011">
            <w:pPr>
              <w:pStyle w:val="Tableitalics"/>
              <w:rPr>
                <w:b/>
                <w:i w:val="0"/>
              </w:rPr>
            </w:pPr>
            <w:r w:rsidRPr="00022D33">
              <w:rPr>
                <w:b/>
                <w:i w:val="0"/>
              </w:rPr>
              <w:t>Total revenue</w:t>
            </w:r>
          </w:p>
        </w:tc>
        <w:tc>
          <w:tcPr>
            <w:tcW w:w="1118" w:type="dxa"/>
            <w:shd w:val="clear" w:color="auto" w:fill="auto"/>
          </w:tcPr>
          <w:p w:rsidR="00617CB0" w:rsidRPr="00022D33" w:rsidRDefault="00617CB0" w:rsidP="000D7011">
            <w:pPr>
              <w:pStyle w:val="Tabletext"/>
              <w:jc w:val="right"/>
              <w:rPr>
                <w:b/>
              </w:rPr>
            </w:pPr>
          </w:p>
        </w:tc>
        <w:tc>
          <w:tcPr>
            <w:tcW w:w="1203"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986,434</w:t>
            </w:r>
          </w:p>
        </w:tc>
        <w:tc>
          <w:tcPr>
            <w:tcW w:w="1203"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972,264</w:t>
            </w:r>
          </w:p>
        </w:tc>
        <w:tc>
          <w:tcPr>
            <w:tcW w:w="1203"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1,159,034</w:t>
            </w:r>
          </w:p>
        </w:tc>
        <w:tc>
          <w:tcPr>
            <w:tcW w:w="1194"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(14,170)</w:t>
            </w:r>
          </w:p>
        </w:tc>
        <w:tc>
          <w:tcPr>
            <w:tcW w:w="1198"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(186,770)</w:t>
            </w:r>
          </w:p>
        </w:tc>
      </w:tr>
      <w:tr w:rsidR="00617CB0" w:rsidRPr="00022D33" w:rsidTr="000D7011">
        <w:tc>
          <w:tcPr>
            <w:tcW w:w="2123" w:type="dxa"/>
            <w:shd w:val="clear" w:color="auto" w:fill="auto"/>
          </w:tcPr>
          <w:p w:rsidR="00617CB0" w:rsidRPr="00830D8D" w:rsidRDefault="00617CB0" w:rsidP="000D7011">
            <w:pPr>
              <w:pStyle w:val="Tableitalics"/>
              <w:rPr>
                <w:b/>
                <w:i w:val="0"/>
              </w:rPr>
            </w:pPr>
          </w:p>
        </w:tc>
        <w:tc>
          <w:tcPr>
            <w:tcW w:w="1118" w:type="dxa"/>
            <w:shd w:val="clear" w:color="auto" w:fill="auto"/>
          </w:tcPr>
          <w:p w:rsidR="00617CB0" w:rsidRPr="00830D8D" w:rsidRDefault="00617CB0" w:rsidP="000D7011">
            <w:pPr>
              <w:pStyle w:val="Tabletext"/>
              <w:rPr>
                <w:b/>
              </w:rPr>
            </w:pPr>
            <w:r w:rsidRPr="00830D8D">
              <w:rPr>
                <w:b/>
              </w:rPr>
              <w:t>Variance</w:t>
            </w:r>
          </w:p>
          <w:p w:rsidR="00617CB0" w:rsidRPr="00830D8D" w:rsidRDefault="00617CB0" w:rsidP="000D7011">
            <w:pPr>
              <w:pStyle w:val="Tabletext"/>
              <w:rPr>
                <w:b/>
              </w:rPr>
            </w:pPr>
            <w:r w:rsidRPr="00830D8D">
              <w:rPr>
                <w:b/>
              </w:rPr>
              <w:t>Note</w:t>
            </w:r>
          </w:p>
        </w:tc>
        <w:tc>
          <w:tcPr>
            <w:tcW w:w="1203" w:type="dxa"/>
            <w:tcBorders>
              <w:top w:val="single" w:sz="4" w:space="0" w:color="auto"/>
              <w:bottom w:val="single" w:sz="4" w:space="0" w:color="auto"/>
            </w:tcBorders>
            <w:shd w:val="clear" w:color="auto" w:fill="auto"/>
          </w:tcPr>
          <w:p w:rsidR="00617CB0" w:rsidRPr="00830D8D" w:rsidRDefault="00617CB0" w:rsidP="000D7011">
            <w:pPr>
              <w:pStyle w:val="Tabletext"/>
              <w:rPr>
                <w:b/>
              </w:rPr>
            </w:pPr>
            <w:r w:rsidRPr="00830D8D">
              <w:rPr>
                <w:b/>
              </w:rPr>
              <w:t>Estimate 2016  $000</w:t>
            </w:r>
          </w:p>
        </w:tc>
        <w:tc>
          <w:tcPr>
            <w:tcW w:w="1203" w:type="dxa"/>
            <w:tcBorders>
              <w:top w:val="single" w:sz="4" w:space="0" w:color="auto"/>
              <w:bottom w:val="single" w:sz="4" w:space="0" w:color="auto"/>
            </w:tcBorders>
            <w:shd w:val="clear" w:color="auto" w:fill="auto"/>
          </w:tcPr>
          <w:p w:rsidR="00617CB0" w:rsidRPr="00830D8D" w:rsidRDefault="00617CB0" w:rsidP="000D7011">
            <w:pPr>
              <w:pStyle w:val="Tabletext"/>
              <w:rPr>
                <w:b/>
              </w:rPr>
            </w:pPr>
            <w:r w:rsidRPr="00830D8D">
              <w:rPr>
                <w:b/>
              </w:rPr>
              <w:t>Actual 2016  $000</w:t>
            </w:r>
          </w:p>
        </w:tc>
        <w:tc>
          <w:tcPr>
            <w:tcW w:w="1203" w:type="dxa"/>
            <w:tcBorders>
              <w:top w:val="single" w:sz="4" w:space="0" w:color="auto"/>
              <w:bottom w:val="single" w:sz="4" w:space="0" w:color="auto"/>
            </w:tcBorders>
            <w:shd w:val="clear" w:color="auto" w:fill="auto"/>
          </w:tcPr>
          <w:p w:rsidR="00617CB0" w:rsidRPr="00830D8D" w:rsidRDefault="00617CB0" w:rsidP="000D7011">
            <w:pPr>
              <w:pStyle w:val="Tabletext"/>
              <w:rPr>
                <w:b/>
              </w:rPr>
            </w:pPr>
            <w:r w:rsidRPr="00830D8D">
              <w:rPr>
                <w:b/>
              </w:rPr>
              <w:t>Actual 2015 $ 000</w:t>
            </w:r>
          </w:p>
        </w:tc>
        <w:tc>
          <w:tcPr>
            <w:tcW w:w="1194" w:type="dxa"/>
            <w:tcBorders>
              <w:top w:val="single" w:sz="4" w:space="0" w:color="auto"/>
              <w:bottom w:val="single" w:sz="4" w:space="0" w:color="auto"/>
            </w:tcBorders>
            <w:shd w:val="clear" w:color="auto" w:fill="auto"/>
          </w:tcPr>
          <w:p w:rsidR="00617CB0" w:rsidRPr="00830D8D" w:rsidRDefault="00617CB0" w:rsidP="000D7011">
            <w:pPr>
              <w:pStyle w:val="Tabletext"/>
              <w:rPr>
                <w:b/>
              </w:rPr>
            </w:pPr>
            <w:r w:rsidRPr="00830D8D">
              <w:rPr>
                <w:b/>
              </w:rPr>
              <w:t>Variance between estimate and actual $000</w:t>
            </w:r>
          </w:p>
        </w:tc>
        <w:tc>
          <w:tcPr>
            <w:tcW w:w="1198" w:type="dxa"/>
            <w:tcBorders>
              <w:top w:val="single" w:sz="4" w:space="0" w:color="auto"/>
              <w:bottom w:val="single" w:sz="4" w:space="0" w:color="auto"/>
            </w:tcBorders>
            <w:shd w:val="clear" w:color="auto" w:fill="auto"/>
          </w:tcPr>
          <w:p w:rsidR="00617CB0" w:rsidRPr="00830D8D" w:rsidRDefault="00617CB0" w:rsidP="000D7011">
            <w:pPr>
              <w:pStyle w:val="Tabletext"/>
              <w:rPr>
                <w:b/>
              </w:rPr>
            </w:pPr>
            <w:r w:rsidRPr="00830D8D">
              <w:rPr>
                <w:b/>
              </w:rPr>
              <w:t>Variance between actual results for 2016 and 2015 $000</w:t>
            </w:r>
          </w:p>
        </w:tc>
      </w:tr>
      <w:tr w:rsidR="00617CB0" w:rsidRPr="00022D33" w:rsidTr="000D7011">
        <w:tc>
          <w:tcPr>
            <w:tcW w:w="9242" w:type="dxa"/>
            <w:gridSpan w:val="7"/>
            <w:shd w:val="clear" w:color="auto" w:fill="auto"/>
          </w:tcPr>
          <w:p w:rsidR="00617CB0" w:rsidRPr="00022D33" w:rsidRDefault="00617CB0" w:rsidP="000D7011">
            <w:pPr>
              <w:pStyle w:val="Tabletext"/>
            </w:pPr>
            <w:r w:rsidRPr="00022D33">
              <w:rPr>
                <w:i/>
              </w:rPr>
              <w:t>Gains</w:t>
            </w:r>
          </w:p>
        </w:tc>
      </w:tr>
      <w:tr w:rsidR="00617CB0" w:rsidRPr="00022D33" w:rsidTr="000D7011">
        <w:tc>
          <w:tcPr>
            <w:tcW w:w="2123" w:type="dxa"/>
            <w:shd w:val="clear" w:color="auto" w:fill="auto"/>
          </w:tcPr>
          <w:p w:rsidR="00617CB0" w:rsidRPr="00022D33" w:rsidRDefault="00617CB0" w:rsidP="000D7011">
            <w:pPr>
              <w:pStyle w:val="Tabletext"/>
            </w:pPr>
            <w:r w:rsidRPr="00022D33">
              <w:t>Gain on dispo</w:t>
            </w:r>
            <w:r w:rsidR="008D3106">
              <w:t>s</w:t>
            </w:r>
            <w:r w:rsidRPr="00022D33">
              <w:t>al of non-current assets</w:t>
            </w:r>
          </w:p>
        </w:tc>
        <w:tc>
          <w:tcPr>
            <w:tcW w:w="1118" w:type="dxa"/>
            <w:shd w:val="clear" w:color="auto" w:fill="auto"/>
          </w:tcPr>
          <w:p w:rsidR="00617CB0" w:rsidRPr="00022D33" w:rsidRDefault="00617CB0" w:rsidP="000D7011">
            <w:pPr>
              <w:pStyle w:val="Tabletext"/>
              <w:jc w:val="right"/>
            </w:pPr>
          </w:p>
        </w:tc>
        <w:tc>
          <w:tcPr>
            <w:tcW w:w="1203" w:type="dxa"/>
            <w:tcBorders>
              <w:bottom w:val="single" w:sz="4" w:space="0" w:color="auto"/>
            </w:tcBorders>
            <w:shd w:val="clear" w:color="auto" w:fill="auto"/>
          </w:tcPr>
          <w:p w:rsidR="00617CB0" w:rsidRPr="00022D33" w:rsidRDefault="00617CB0" w:rsidP="000D7011">
            <w:pPr>
              <w:pStyle w:val="Tabletext"/>
              <w:jc w:val="right"/>
            </w:pPr>
            <w:r w:rsidRPr="00022D33">
              <w:t>5,865</w:t>
            </w:r>
          </w:p>
        </w:tc>
        <w:tc>
          <w:tcPr>
            <w:tcW w:w="1203" w:type="dxa"/>
            <w:tcBorders>
              <w:bottom w:val="single" w:sz="4" w:space="0" w:color="auto"/>
            </w:tcBorders>
            <w:shd w:val="clear" w:color="auto" w:fill="auto"/>
          </w:tcPr>
          <w:p w:rsidR="00617CB0" w:rsidRPr="00022D33" w:rsidRDefault="00617CB0" w:rsidP="000D7011">
            <w:pPr>
              <w:pStyle w:val="Tabletext"/>
              <w:jc w:val="right"/>
            </w:pPr>
            <w:r w:rsidRPr="00022D33">
              <w:t>666</w:t>
            </w:r>
          </w:p>
        </w:tc>
        <w:tc>
          <w:tcPr>
            <w:tcW w:w="1203" w:type="dxa"/>
            <w:tcBorders>
              <w:bottom w:val="single" w:sz="4" w:space="0" w:color="auto"/>
            </w:tcBorders>
            <w:shd w:val="clear" w:color="auto" w:fill="auto"/>
          </w:tcPr>
          <w:p w:rsidR="00617CB0" w:rsidRPr="00022D33" w:rsidRDefault="00617CB0" w:rsidP="000D7011">
            <w:pPr>
              <w:pStyle w:val="Tabletext"/>
              <w:jc w:val="right"/>
            </w:pPr>
            <w:r w:rsidRPr="00022D33">
              <w:t>1,422</w:t>
            </w:r>
          </w:p>
        </w:tc>
        <w:tc>
          <w:tcPr>
            <w:tcW w:w="1194" w:type="dxa"/>
            <w:tcBorders>
              <w:bottom w:val="single" w:sz="4" w:space="0" w:color="auto"/>
            </w:tcBorders>
            <w:shd w:val="clear" w:color="auto" w:fill="auto"/>
          </w:tcPr>
          <w:p w:rsidR="00617CB0" w:rsidRPr="00022D33" w:rsidRDefault="00617CB0" w:rsidP="000D7011">
            <w:pPr>
              <w:pStyle w:val="Tabletext"/>
              <w:jc w:val="right"/>
            </w:pPr>
            <w:r w:rsidRPr="00022D33">
              <w:t>(5,199)</w:t>
            </w:r>
          </w:p>
        </w:tc>
        <w:tc>
          <w:tcPr>
            <w:tcW w:w="1198" w:type="dxa"/>
            <w:tcBorders>
              <w:bottom w:val="single" w:sz="4" w:space="0" w:color="auto"/>
            </w:tcBorders>
            <w:shd w:val="clear" w:color="auto" w:fill="auto"/>
          </w:tcPr>
          <w:p w:rsidR="00617CB0" w:rsidRPr="00022D33" w:rsidRDefault="00617CB0" w:rsidP="000D7011">
            <w:pPr>
              <w:pStyle w:val="Tabletext"/>
              <w:jc w:val="right"/>
            </w:pPr>
            <w:r w:rsidRPr="00022D33">
              <w:t>(756)</w:t>
            </w:r>
          </w:p>
        </w:tc>
      </w:tr>
      <w:tr w:rsidR="00617CB0" w:rsidRPr="00022D33" w:rsidTr="000D7011">
        <w:tc>
          <w:tcPr>
            <w:tcW w:w="2123" w:type="dxa"/>
            <w:shd w:val="clear" w:color="auto" w:fill="auto"/>
          </w:tcPr>
          <w:p w:rsidR="00617CB0" w:rsidRPr="00022D33" w:rsidRDefault="00617CB0" w:rsidP="000D7011">
            <w:pPr>
              <w:pStyle w:val="Tableitalics"/>
              <w:rPr>
                <w:b/>
                <w:i w:val="0"/>
              </w:rPr>
            </w:pPr>
            <w:r w:rsidRPr="00022D33">
              <w:rPr>
                <w:b/>
                <w:i w:val="0"/>
              </w:rPr>
              <w:t>Total gains</w:t>
            </w:r>
          </w:p>
        </w:tc>
        <w:tc>
          <w:tcPr>
            <w:tcW w:w="1118" w:type="dxa"/>
            <w:shd w:val="clear" w:color="auto" w:fill="auto"/>
          </w:tcPr>
          <w:p w:rsidR="00617CB0" w:rsidRPr="00022D33" w:rsidRDefault="00617CB0" w:rsidP="000D7011">
            <w:pPr>
              <w:pStyle w:val="Tabletext"/>
              <w:jc w:val="right"/>
            </w:pPr>
          </w:p>
        </w:tc>
        <w:tc>
          <w:tcPr>
            <w:tcW w:w="1203"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5,865</w:t>
            </w:r>
          </w:p>
        </w:tc>
        <w:tc>
          <w:tcPr>
            <w:tcW w:w="1203"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666</w:t>
            </w:r>
          </w:p>
        </w:tc>
        <w:tc>
          <w:tcPr>
            <w:tcW w:w="1203"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1,422</w:t>
            </w:r>
          </w:p>
        </w:tc>
        <w:tc>
          <w:tcPr>
            <w:tcW w:w="1194"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(5,199)</w:t>
            </w:r>
          </w:p>
        </w:tc>
        <w:tc>
          <w:tcPr>
            <w:tcW w:w="1198"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(756)</w:t>
            </w:r>
          </w:p>
        </w:tc>
      </w:tr>
      <w:tr w:rsidR="00617CB0" w:rsidRPr="00022D33" w:rsidTr="000D7011">
        <w:tc>
          <w:tcPr>
            <w:tcW w:w="2123" w:type="dxa"/>
            <w:shd w:val="clear" w:color="auto" w:fill="auto"/>
          </w:tcPr>
          <w:p w:rsidR="00617CB0" w:rsidRPr="00022D33" w:rsidRDefault="00617CB0" w:rsidP="000D7011">
            <w:pPr>
              <w:pStyle w:val="Tabletext"/>
              <w:rPr>
                <w:b/>
              </w:rPr>
            </w:pPr>
            <w:r w:rsidRPr="00022D33">
              <w:rPr>
                <w:b/>
              </w:rPr>
              <w:t>Total income other than income from State Government</w:t>
            </w:r>
          </w:p>
        </w:tc>
        <w:tc>
          <w:tcPr>
            <w:tcW w:w="1118" w:type="dxa"/>
            <w:shd w:val="clear" w:color="auto" w:fill="auto"/>
          </w:tcPr>
          <w:p w:rsidR="00617CB0" w:rsidRPr="00022D33" w:rsidRDefault="00617CB0" w:rsidP="000D7011">
            <w:pPr>
              <w:pStyle w:val="Tabletext"/>
              <w:jc w:val="right"/>
            </w:pPr>
          </w:p>
        </w:tc>
        <w:tc>
          <w:tcPr>
            <w:tcW w:w="1203"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992,299</w:t>
            </w:r>
          </w:p>
        </w:tc>
        <w:tc>
          <w:tcPr>
            <w:tcW w:w="1203"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972,930</w:t>
            </w:r>
          </w:p>
        </w:tc>
        <w:tc>
          <w:tcPr>
            <w:tcW w:w="1203"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1,160,456</w:t>
            </w:r>
          </w:p>
        </w:tc>
        <w:tc>
          <w:tcPr>
            <w:tcW w:w="1194"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(19)</w:t>
            </w:r>
          </w:p>
        </w:tc>
        <w:tc>
          <w:tcPr>
            <w:tcW w:w="1198"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(187,526)</w:t>
            </w:r>
          </w:p>
        </w:tc>
      </w:tr>
      <w:tr w:rsidR="00617CB0" w:rsidRPr="00022D33" w:rsidTr="000D7011">
        <w:tc>
          <w:tcPr>
            <w:tcW w:w="2123" w:type="dxa"/>
            <w:shd w:val="clear" w:color="auto" w:fill="auto"/>
          </w:tcPr>
          <w:p w:rsidR="00617CB0" w:rsidRPr="00022D33" w:rsidRDefault="00617CB0" w:rsidP="000D7011">
            <w:pPr>
              <w:pStyle w:val="Tabletext"/>
              <w:rPr>
                <w:b/>
              </w:rPr>
            </w:pPr>
            <w:r w:rsidRPr="00022D33">
              <w:rPr>
                <w:b/>
              </w:rPr>
              <w:t>NET COST OF SERVICES</w:t>
            </w:r>
          </w:p>
        </w:tc>
        <w:tc>
          <w:tcPr>
            <w:tcW w:w="1118" w:type="dxa"/>
            <w:shd w:val="clear" w:color="auto" w:fill="auto"/>
          </w:tcPr>
          <w:p w:rsidR="00617CB0" w:rsidRPr="00022D33" w:rsidRDefault="00617CB0" w:rsidP="000D7011">
            <w:pPr>
              <w:pStyle w:val="Tabletext"/>
              <w:jc w:val="right"/>
            </w:pPr>
          </w:p>
        </w:tc>
        <w:tc>
          <w:tcPr>
            <w:tcW w:w="1203" w:type="dxa"/>
            <w:tcBorders>
              <w:top w:val="single" w:sz="4" w:space="0" w:color="auto"/>
              <w:bottom w:val="double" w:sz="4" w:space="0" w:color="auto"/>
            </w:tcBorders>
            <w:shd w:val="clear" w:color="auto" w:fill="auto"/>
          </w:tcPr>
          <w:p w:rsidR="00617CB0" w:rsidRPr="00022D33" w:rsidRDefault="00617CB0" w:rsidP="000D7011">
            <w:pPr>
              <w:pStyle w:val="Tabletext"/>
              <w:jc w:val="right"/>
              <w:rPr>
                <w:b/>
              </w:rPr>
            </w:pPr>
            <w:r w:rsidRPr="00022D33">
              <w:rPr>
                <w:b/>
              </w:rPr>
              <w:t>(220,420)</w:t>
            </w:r>
          </w:p>
        </w:tc>
        <w:tc>
          <w:tcPr>
            <w:tcW w:w="1203" w:type="dxa"/>
            <w:tcBorders>
              <w:top w:val="single" w:sz="4" w:space="0" w:color="auto"/>
              <w:bottom w:val="double" w:sz="4" w:space="0" w:color="auto"/>
            </w:tcBorders>
            <w:shd w:val="clear" w:color="auto" w:fill="auto"/>
          </w:tcPr>
          <w:p w:rsidR="00617CB0" w:rsidRPr="00022D33" w:rsidRDefault="00617CB0" w:rsidP="000D7011">
            <w:pPr>
              <w:pStyle w:val="Tabletext"/>
              <w:jc w:val="right"/>
              <w:rPr>
                <w:b/>
              </w:rPr>
            </w:pPr>
            <w:r w:rsidRPr="00022D33">
              <w:rPr>
                <w:b/>
              </w:rPr>
              <w:t>(224,068)</w:t>
            </w:r>
          </w:p>
        </w:tc>
        <w:tc>
          <w:tcPr>
            <w:tcW w:w="1203" w:type="dxa"/>
            <w:tcBorders>
              <w:top w:val="single" w:sz="4" w:space="0" w:color="auto"/>
              <w:bottom w:val="double" w:sz="4" w:space="0" w:color="auto"/>
            </w:tcBorders>
            <w:shd w:val="clear" w:color="auto" w:fill="auto"/>
          </w:tcPr>
          <w:p w:rsidR="00617CB0" w:rsidRPr="00022D33" w:rsidRDefault="00617CB0" w:rsidP="000D7011">
            <w:pPr>
              <w:pStyle w:val="Tabletext"/>
              <w:jc w:val="right"/>
              <w:rPr>
                <w:b/>
              </w:rPr>
            </w:pPr>
            <w:r w:rsidRPr="00022D33">
              <w:rPr>
                <w:b/>
              </w:rPr>
              <w:t>(226,180)</w:t>
            </w:r>
          </w:p>
        </w:tc>
        <w:tc>
          <w:tcPr>
            <w:tcW w:w="1194" w:type="dxa"/>
            <w:tcBorders>
              <w:top w:val="single" w:sz="4" w:space="0" w:color="auto"/>
              <w:bottom w:val="double" w:sz="4" w:space="0" w:color="auto"/>
            </w:tcBorders>
            <w:shd w:val="clear" w:color="auto" w:fill="auto"/>
          </w:tcPr>
          <w:p w:rsidR="00617CB0" w:rsidRPr="00022D33" w:rsidRDefault="00617CB0" w:rsidP="000D7011">
            <w:pPr>
              <w:pStyle w:val="Tabletext"/>
              <w:jc w:val="right"/>
              <w:rPr>
                <w:b/>
              </w:rPr>
            </w:pPr>
            <w:r w:rsidRPr="00022D33">
              <w:rPr>
                <w:b/>
              </w:rPr>
              <w:t>(3,648)</w:t>
            </w:r>
          </w:p>
        </w:tc>
        <w:tc>
          <w:tcPr>
            <w:tcW w:w="1198" w:type="dxa"/>
            <w:tcBorders>
              <w:top w:val="single" w:sz="4" w:space="0" w:color="auto"/>
              <w:bottom w:val="double" w:sz="4" w:space="0" w:color="auto"/>
            </w:tcBorders>
            <w:shd w:val="clear" w:color="auto" w:fill="auto"/>
          </w:tcPr>
          <w:p w:rsidR="00617CB0" w:rsidRPr="00022D33" w:rsidRDefault="00617CB0" w:rsidP="000D7011">
            <w:pPr>
              <w:pStyle w:val="Tabletext"/>
              <w:jc w:val="right"/>
              <w:rPr>
                <w:b/>
              </w:rPr>
            </w:pPr>
            <w:r w:rsidRPr="00022D33">
              <w:rPr>
                <w:b/>
              </w:rPr>
              <w:t>2,111</w:t>
            </w:r>
          </w:p>
        </w:tc>
      </w:tr>
      <w:tr w:rsidR="00617CB0" w:rsidRPr="00022D33" w:rsidTr="000D7011">
        <w:tc>
          <w:tcPr>
            <w:tcW w:w="9242" w:type="dxa"/>
            <w:gridSpan w:val="7"/>
            <w:shd w:val="clear" w:color="auto" w:fill="auto"/>
          </w:tcPr>
          <w:p w:rsidR="00617CB0" w:rsidRPr="00022D33" w:rsidRDefault="00617CB0" w:rsidP="000D7011">
            <w:pPr>
              <w:pStyle w:val="Tabletext"/>
              <w:rPr>
                <w:b/>
              </w:rPr>
            </w:pPr>
          </w:p>
        </w:tc>
      </w:tr>
      <w:tr w:rsidR="00617CB0" w:rsidRPr="00022D33" w:rsidTr="000D7011">
        <w:tc>
          <w:tcPr>
            <w:tcW w:w="9242" w:type="dxa"/>
            <w:gridSpan w:val="7"/>
            <w:shd w:val="clear" w:color="auto" w:fill="auto"/>
          </w:tcPr>
          <w:p w:rsidR="00617CB0" w:rsidRPr="00022D33" w:rsidRDefault="00617CB0" w:rsidP="000D7011">
            <w:pPr>
              <w:pStyle w:val="Tabletext"/>
              <w:rPr>
                <w:b/>
              </w:rPr>
            </w:pPr>
            <w:r w:rsidRPr="00022D33">
              <w:rPr>
                <w:b/>
              </w:rPr>
              <w:t>Income from State Government</w:t>
            </w:r>
          </w:p>
        </w:tc>
      </w:tr>
      <w:tr w:rsidR="00617CB0" w:rsidRPr="00022D33" w:rsidTr="000D7011">
        <w:tc>
          <w:tcPr>
            <w:tcW w:w="2123" w:type="dxa"/>
            <w:shd w:val="clear" w:color="auto" w:fill="auto"/>
          </w:tcPr>
          <w:p w:rsidR="00617CB0" w:rsidRPr="00022D33" w:rsidRDefault="00617CB0" w:rsidP="000D7011">
            <w:pPr>
              <w:pStyle w:val="Tabletext"/>
            </w:pPr>
            <w:r w:rsidRPr="00022D33">
              <w:t>Service appropriations</w:t>
            </w:r>
          </w:p>
        </w:tc>
        <w:tc>
          <w:tcPr>
            <w:tcW w:w="1118" w:type="dxa"/>
            <w:shd w:val="clear" w:color="auto" w:fill="auto"/>
          </w:tcPr>
          <w:p w:rsidR="00617CB0" w:rsidRPr="00022D33" w:rsidRDefault="00617CB0" w:rsidP="000D7011">
            <w:pPr>
              <w:pStyle w:val="Tabletext"/>
              <w:jc w:val="right"/>
            </w:pPr>
          </w:p>
        </w:tc>
        <w:tc>
          <w:tcPr>
            <w:tcW w:w="1203" w:type="dxa"/>
            <w:shd w:val="clear" w:color="auto" w:fill="auto"/>
          </w:tcPr>
          <w:p w:rsidR="00617CB0" w:rsidRPr="00022D33" w:rsidRDefault="00617CB0" w:rsidP="000D7011">
            <w:pPr>
              <w:pStyle w:val="Tabletext"/>
              <w:jc w:val="right"/>
            </w:pPr>
            <w:r w:rsidRPr="00022D33">
              <w:t>211,619</w:t>
            </w:r>
          </w:p>
        </w:tc>
        <w:tc>
          <w:tcPr>
            <w:tcW w:w="1203" w:type="dxa"/>
            <w:shd w:val="clear" w:color="auto" w:fill="auto"/>
          </w:tcPr>
          <w:p w:rsidR="00617CB0" w:rsidRPr="00022D33" w:rsidRDefault="00617CB0" w:rsidP="000D7011">
            <w:pPr>
              <w:pStyle w:val="Tabletext"/>
              <w:jc w:val="right"/>
            </w:pPr>
            <w:r w:rsidRPr="00022D33">
              <w:t>188,932</w:t>
            </w:r>
          </w:p>
        </w:tc>
        <w:tc>
          <w:tcPr>
            <w:tcW w:w="1203" w:type="dxa"/>
            <w:shd w:val="clear" w:color="auto" w:fill="auto"/>
          </w:tcPr>
          <w:p w:rsidR="00617CB0" w:rsidRPr="00022D33" w:rsidRDefault="00617CB0" w:rsidP="000D7011">
            <w:pPr>
              <w:pStyle w:val="Tabletext"/>
              <w:jc w:val="right"/>
            </w:pPr>
            <w:r w:rsidRPr="00022D33">
              <w:t>178,026</w:t>
            </w:r>
          </w:p>
        </w:tc>
        <w:tc>
          <w:tcPr>
            <w:tcW w:w="1194" w:type="dxa"/>
            <w:shd w:val="clear" w:color="auto" w:fill="auto"/>
          </w:tcPr>
          <w:p w:rsidR="00617CB0" w:rsidRPr="00022D33" w:rsidRDefault="00617CB0" w:rsidP="000D7011">
            <w:pPr>
              <w:pStyle w:val="Tabletext"/>
              <w:jc w:val="right"/>
            </w:pPr>
            <w:r w:rsidRPr="00022D33">
              <w:t>(22,687)</w:t>
            </w:r>
          </w:p>
        </w:tc>
        <w:tc>
          <w:tcPr>
            <w:tcW w:w="1198" w:type="dxa"/>
            <w:shd w:val="clear" w:color="auto" w:fill="auto"/>
          </w:tcPr>
          <w:p w:rsidR="00617CB0" w:rsidRPr="00022D33" w:rsidRDefault="00617CB0" w:rsidP="000D7011">
            <w:pPr>
              <w:pStyle w:val="Tabletext"/>
              <w:jc w:val="right"/>
            </w:pPr>
            <w:r w:rsidRPr="00022D33">
              <w:t>10,906</w:t>
            </w:r>
          </w:p>
        </w:tc>
      </w:tr>
      <w:tr w:rsidR="00617CB0" w:rsidRPr="00022D33" w:rsidTr="000D7011">
        <w:tc>
          <w:tcPr>
            <w:tcW w:w="2123" w:type="dxa"/>
            <w:shd w:val="clear" w:color="auto" w:fill="auto"/>
          </w:tcPr>
          <w:p w:rsidR="00617CB0" w:rsidRPr="00022D33" w:rsidRDefault="00617CB0" w:rsidP="000D7011">
            <w:pPr>
              <w:pStyle w:val="Tabletext"/>
            </w:pPr>
            <w:r w:rsidRPr="00022D33">
              <w:t>Services received free of charge</w:t>
            </w:r>
          </w:p>
        </w:tc>
        <w:tc>
          <w:tcPr>
            <w:tcW w:w="1118" w:type="dxa"/>
            <w:shd w:val="clear" w:color="auto" w:fill="auto"/>
          </w:tcPr>
          <w:p w:rsidR="00617CB0" w:rsidRPr="00022D33" w:rsidRDefault="00617CB0" w:rsidP="000D7011">
            <w:pPr>
              <w:pStyle w:val="Tabletext"/>
              <w:jc w:val="right"/>
            </w:pPr>
          </w:p>
        </w:tc>
        <w:tc>
          <w:tcPr>
            <w:tcW w:w="1203" w:type="dxa"/>
            <w:shd w:val="clear" w:color="auto" w:fill="auto"/>
          </w:tcPr>
          <w:p w:rsidR="00617CB0" w:rsidRPr="00022D33" w:rsidRDefault="00617CB0" w:rsidP="000D7011">
            <w:pPr>
              <w:pStyle w:val="Tabletext"/>
              <w:jc w:val="right"/>
            </w:pPr>
            <w:r w:rsidRPr="00022D33">
              <w:t>14,505</w:t>
            </w:r>
          </w:p>
        </w:tc>
        <w:tc>
          <w:tcPr>
            <w:tcW w:w="1203" w:type="dxa"/>
            <w:shd w:val="clear" w:color="auto" w:fill="auto"/>
          </w:tcPr>
          <w:p w:rsidR="00617CB0" w:rsidRPr="00022D33" w:rsidRDefault="00617CB0" w:rsidP="000D7011">
            <w:pPr>
              <w:pStyle w:val="Tabletext"/>
              <w:jc w:val="right"/>
            </w:pPr>
            <w:r w:rsidRPr="00022D33">
              <w:t>14,518</w:t>
            </w:r>
          </w:p>
        </w:tc>
        <w:tc>
          <w:tcPr>
            <w:tcW w:w="1203" w:type="dxa"/>
            <w:shd w:val="clear" w:color="auto" w:fill="auto"/>
          </w:tcPr>
          <w:p w:rsidR="00617CB0" w:rsidRPr="00022D33" w:rsidRDefault="00617CB0" w:rsidP="000D7011">
            <w:pPr>
              <w:pStyle w:val="Tabletext"/>
              <w:jc w:val="right"/>
            </w:pPr>
            <w:r w:rsidRPr="00022D33">
              <w:t>14,065</w:t>
            </w:r>
          </w:p>
        </w:tc>
        <w:tc>
          <w:tcPr>
            <w:tcW w:w="1194" w:type="dxa"/>
            <w:shd w:val="clear" w:color="auto" w:fill="auto"/>
          </w:tcPr>
          <w:p w:rsidR="00617CB0" w:rsidRPr="00022D33" w:rsidRDefault="00617CB0" w:rsidP="000D7011">
            <w:pPr>
              <w:pStyle w:val="Tabletext"/>
              <w:jc w:val="right"/>
            </w:pPr>
            <w:r w:rsidRPr="00022D33">
              <w:t>13</w:t>
            </w:r>
          </w:p>
        </w:tc>
        <w:tc>
          <w:tcPr>
            <w:tcW w:w="1198" w:type="dxa"/>
            <w:shd w:val="clear" w:color="auto" w:fill="auto"/>
          </w:tcPr>
          <w:p w:rsidR="00617CB0" w:rsidRPr="00022D33" w:rsidRDefault="00617CB0" w:rsidP="000D7011">
            <w:pPr>
              <w:pStyle w:val="Tabletext"/>
              <w:jc w:val="right"/>
            </w:pPr>
            <w:r w:rsidRPr="00022D33">
              <w:t>453</w:t>
            </w:r>
          </w:p>
        </w:tc>
      </w:tr>
      <w:tr w:rsidR="00617CB0" w:rsidRPr="00022D33" w:rsidTr="000D7011">
        <w:tc>
          <w:tcPr>
            <w:tcW w:w="2123" w:type="dxa"/>
            <w:shd w:val="clear" w:color="auto" w:fill="auto"/>
          </w:tcPr>
          <w:p w:rsidR="00617CB0" w:rsidRPr="00022D33" w:rsidRDefault="00617CB0" w:rsidP="000D7011">
            <w:pPr>
              <w:pStyle w:val="Tabletext"/>
            </w:pPr>
            <w:r w:rsidRPr="00022D33">
              <w:t>Royalties for Regions Fund</w:t>
            </w:r>
          </w:p>
        </w:tc>
        <w:tc>
          <w:tcPr>
            <w:tcW w:w="1118" w:type="dxa"/>
            <w:shd w:val="clear" w:color="auto" w:fill="auto"/>
          </w:tcPr>
          <w:p w:rsidR="00617CB0" w:rsidRPr="00022D33" w:rsidRDefault="00617CB0" w:rsidP="000D7011">
            <w:pPr>
              <w:pStyle w:val="Tabletext"/>
              <w:jc w:val="right"/>
            </w:pPr>
          </w:p>
        </w:tc>
        <w:tc>
          <w:tcPr>
            <w:tcW w:w="1203" w:type="dxa"/>
            <w:tcBorders>
              <w:bottom w:val="single" w:sz="4" w:space="0" w:color="auto"/>
            </w:tcBorders>
            <w:shd w:val="clear" w:color="auto" w:fill="auto"/>
          </w:tcPr>
          <w:p w:rsidR="00617CB0" w:rsidRPr="00022D33" w:rsidRDefault="00617CB0" w:rsidP="000D7011">
            <w:pPr>
              <w:pStyle w:val="Tabletext"/>
              <w:jc w:val="right"/>
            </w:pPr>
            <w:r w:rsidRPr="00022D33">
              <w:t>138</w:t>
            </w:r>
          </w:p>
        </w:tc>
        <w:tc>
          <w:tcPr>
            <w:tcW w:w="1203" w:type="dxa"/>
            <w:tcBorders>
              <w:bottom w:val="single" w:sz="4" w:space="0" w:color="auto"/>
            </w:tcBorders>
            <w:shd w:val="clear" w:color="auto" w:fill="auto"/>
          </w:tcPr>
          <w:p w:rsidR="00617CB0" w:rsidRPr="00022D33" w:rsidRDefault="00617CB0" w:rsidP="000D7011">
            <w:pPr>
              <w:pStyle w:val="Tabletext"/>
              <w:jc w:val="right"/>
            </w:pPr>
            <w:r w:rsidRPr="00022D33">
              <w:t>127</w:t>
            </w:r>
          </w:p>
        </w:tc>
        <w:tc>
          <w:tcPr>
            <w:tcW w:w="1203" w:type="dxa"/>
            <w:tcBorders>
              <w:bottom w:val="single" w:sz="4" w:space="0" w:color="auto"/>
            </w:tcBorders>
            <w:shd w:val="clear" w:color="auto" w:fill="auto"/>
          </w:tcPr>
          <w:p w:rsidR="00617CB0" w:rsidRPr="00022D33" w:rsidRDefault="00617CB0" w:rsidP="000D7011">
            <w:pPr>
              <w:pStyle w:val="Tabletext"/>
              <w:jc w:val="right"/>
            </w:pPr>
            <w:r w:rsidRPr="00022D33">
              <w:t>189</w:t>
            </w:r>
          </w:p>
        </w:tc>
        <w:tc>
          <w:tcPr>
            <w:tcW w:w="1194" w:type="dxa"/>
            <w:tcBorders>
              <w:bottom w:val="single" w:sz="4" w:space="0" w:color="auto"/>
            </w:tcBorders>
            <w:shd w:val="clear" w:color="auto" w:fill="auto"/>
          </w:tcPr>
          <w:p w:rsidR="00617CB0" w:rsidRPr="00022D33" w:rsidRDefault="00617CB0" w:rsidP="000D7011">
            <w:pPr>
              <w:pStyle w:val="Tabletext"/>
              <w:jc w:val="right"/>
            </w:pPr>
            <w:r w:rsidRPr="00022D33">
              <w:t>(11)</w:t>
            </w:r>
          </w:p>
        </w:tc>
        <w:tc>
          <w:tcPr>
            <w:tcW w:w="1198" w:type="dxa"/>
            <w:tcBorders>
              <w:bottom w:val="single" w:sz="4" w:space="0" w:color="auto"/>
            </w:tcBorders>
            <w:shd w:val="clear" w:color="auto" w:fill="auto"/>
          </w:tcPr>
          <w:p w:rsidR="00617CB0" w:rsidRPr="00022D33" w:rsidRDefault="00617CB0" w:rsidP="000D7011">
            <w:pPr>
              <w:pStyle w:val="Tabletext"/>
              <w:jc w:val="right"/>
            </w:pPr>
            <w:r w:rsidRPr="00022D33">
              <w:t>(62)</w:t>
            </w:r>
          </w:p>
        </w:tc>
      </w:tr>
      <w:tr w:rsidR="00617CB0" w:rsidRPr="00022D33" w:rsidTr="000D7011">
        <w:tc>
          <w:tcPr>
            <w:tcW w:w="2123" w:type="dxa"/>
            <w:shd w:val="clear" w:color="auto" w:fill="auto"/>
          </w:tcPr>
          <w:p w:rsidR="00617CB0" w:rsidRPr="00022D33" w:rsidRDefault="00617CB0" w:rsidP="000D7011">
            <w:pPr>
              <w:pStyle w:val="Tabletext"/>
              <w:rPr>
                <w:b/>
              </w:rPr>
            </w:pPr>
            <w:r w:rsidRPr="00022D33">
              <w:rPr>
                <w:b/>
              </w:rPr>
              <w:t>Total income from State Government</w:t>
            </w:r>
          </w:p>
        </w:tc>
        <w:tc>
          <w:tcPr>
            <w:tcW w:w="1118" w:type="dxa"/>
            <w:shd w:val="clear" w:color="auto" w:fill="auto"/>
          </w:tcPr>
          <w:p w:rsidR="00617CB0" w:rsidRPr="00022D33" w:rsidRDefault="00617CB0" w:rsidP="000D7011">
            <w:pPr>
              <w:pStyle w:val="Tabletext"/>
              <w:jc w:val="right"/>
            </w:pPr>
          </w:p>
        </w:tc>
        <w:tc>
          <w:tcPr>
            <w:tcW w:w="1203"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226,262</w:t>
            </w:r>
          </w:p>
        </w:tc>
        <w:tc>
          <w:tcPr>
            <w:tcW w:w="1203"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203,577</w:t>
            </w:r>
          </w:p>
        </w:tc>
        <w:tc>
          <w:tcPr>
            <w:tcW w:w="1203"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192,280</w:t>
            </w:r>
          </w:p>
        </w:tc>
        <w:tc>
          <w:tcPr>
            <w:tcW w:w="1194"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(22,685)</w:t>
            </w:r>
          </w:p>
        </w:tc>
        <w:tc>
          <w:tcPr>
            <w:tcW w:w="1198"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11,297</w:t>
            </w:r>
          </w:p>
        </w:tc>
      </w:tr>
      <w:tr w:rsidR="00617CB0" w:rsidRPr="00022D33" w:rsidTr="000D7011">
        <w:tc>
          <w:tcPr>
            <w:tcW w:w="2123" w:type="dxa"/>
            <w:shd w:val="clear" w:color="auto" w:fill="auto"/>
          </w:tcPr>
          <w:p w:rsidR="00617CB0" w:rsidRPr="00022D33" w:rsidRDefault="00617CB0" w:rsidP="000D7011">
            <w:pPr>
              <w:pStyle w:val="Tabletext"/>
              <w:rPr>
                <w:b/>
              </w:rPr>
            </w:pPr>
            <w:r w:rsidRPr="00022D33">
              <w:rPr>
                <w:b/>
              </w:rPr>
              <w:t>SURPLUS/(DEFICIT) FOR THE PERIOD</w:t>
            </w:r>
          </w:p>
        </w:tc>
        <w:tc>
          <w:tcPr>
            <w:tcW w:w="1118" w:type="dxa"/>
            <w:shd w:val="clear" w:color="auto" w:fill="auto"/>
          </w:tcPr>
          <w:p w:rsidR="00617CB0" w:rsidRPr="00022D33" w:rsidRDefault="00617CB0" w:rsidP="000D7011">
            <w:pPr>
              <w:pStyle w:val="Tabletext"/>
              <w:jc w:val="right"/>
            </w:pPr>
          </w:p>
        </w:tc>
        <w:tc>
          <w:tcPr>
            <w:tcW w:w="1203" w:type="dxa"/>
            <w:tcBorders>
              <w:top w:val="single" w:sz="4" w:space="0" w:color="auto"/>
              <w:bottom w:val="double" w:sz="4" w:space="0" w:color="auto"/>
            </w:tcBorders>
            <w:shd w:val="clear" w:color="auto" w:fill="auto"/>
          </w:tcPr>
          <w:p w:rsidR="00617CB0" w:rsidRPr="00022D33" w:rsidRDefault="00617CB0" w:rsidP="000D7011">
            <w:pPr>
              <w:pStyle w:val="Tabletext"/>
              <w:jc w:val="right"/>
              <w:rPr>
                <w:b/>
              </w:rPr>
            </w:pPr>
            <w:r w:rsidRPr="00022D33">
              <w:rPr>
                <w:b/>
              </w:rPr>
              <w:t>5,842</w:t>
            </w:r>
          </w:p>
        </w:tc>
        <w:tc>
          <w:tcPr>
            <w:tcW w:w="1203" w:type="dxa"/>
            <w:tcBorders>
              <w:top w:val="single" w:sz="4" w:space="0" w:color="auto"/>
              <w:bottom w:val="double" w:sz="4" w:space="0" w:color="auto"/>
            </w:tcBorders>
            <w:shd w:val="clear" w:color="auto" w:fill="auto"/>
          </w:tcPr>
          <w:p w:rsidR="00617CB0" w:rsidRPr="00022D33" w:rsidRDefault="00617CB0" w:rsidP="000D7011">
            <w:pPr>
              <w:pStyle w:val="Tabletext"/>
              <w:jc w:val="right"/>
              <w:rPr>
                <w:b/>
              </w:rPr>
            </w:pPr>
            <w:r w:rsidRPr="00022D33">
              <w:rPr>
                <w:b/>
              </w:rPr>
              <w:t>(20,491)</w:t>
            </w:r>
          </w:p>
        </w:tc>
        <w:tc>
          <w:tcPr>
            <w:tcW w:w="1203" w:type="dxa"/>
            <w:tcBorders>
              <w:top w:val="single" w:sz="4" w:space="0" w:color="auto"/>
              <w:bottom w:val="double" w:sz="4" w:space="0" w:color="auto"/>
            </w:tcBorders>
            <w:shd w:val="clear" w:color="auto" w:fill="auto"/>
          </w:tcPr>
          <w:p w:rsidR="00617CB0" w:rsidRPr="00022D33" w:rsidRDefault="00617CB0" w:rsidP="000D7011">
            <w:pPr>
              <w:pStyle w:val="Tabletext"/>
              <w:jc w:val="right"/>
              <w:rPr>
                <w:b/>
              </w:rPr>
            </w:pPr>
            <w:r w:rsidRPr="00022D33">
              <w:rPr>
                <w:b/>
              </w:rPr>
              <w:t>(33,900)</w:t>
            </w:r>
          </w:p>
        </w:tc>
        <w:tc>
          <w:tcPr>
            <w:tcW w:w="1194" w:type="dxa"/>
            <w:tcBorders>
              <w:top w:val="single" w:sz="4" w:space="0" w:color="auto"/>
              <w:bottom w:val="double" w:sz="4" w:space="0" w:color="auto"/>
            </w:tcBorders>
            <w:shd w:val="clear" w:color="auto" w:fill="auto"/>
          </w:tcPr>
          <w:p w:rsidR="00617CB0" w:rsidRPr="00022D33" w:rsidRDefault="00617CB0" w:rsidP="000D7011">
            <w:pPr>
              <w:pStyle w:val="Tabletext"/>
              <w:jc w:val="right"/>
              <w:rPr>
                <w:b/>
              </w:rPr>
            </w:pPr>
            <w:r w:rsidRPr="00022D33">
              <w:rPr>
                <w:b/>
              </w:rPr>
              <w:t>(26,333)</w:t>
            </w:r>
          </w:p>
        </w:tc>
        <w:tc>
          <w:tcPr>
            <w:tcW w:w="1198" w:type="dxa"/>
            <w:tcBorders>
              <w:top w:val="single" w:sz="4" w:space="0" w:color="auto"/>
              <w:bottom w:val="double" w:sz="4" w:space="0" w:color="auto"/>
            </w:tcBorders>
            <w:shd w:val="clear" w:color="auto" w:fill="auto"/>
          </w:tcPr>
          <w:p w:rsidR="00617CB0" w:rsidRPr="00022D33" w:rsidRDefault="00617CB0" w:rsidP="000D7011">
            <w:pPr>
              <w:pStyle w:val="Tabletext"/>
              <w:jc w:val="right"/>
              <w:rPr>
                <w:b/>
              </w:rPr>
            </w:pPr>
            <w:r w:rsidRPr="00022D33">
              <w:rPr>
                <w:b/>
              </w:rPr>
              <w:t>13,408</w:t>
            </w:r>
          </w:p>
        </w:tc>
      </w:tr>
      <w:tr w:rsidR="00617CB0" w:rsidRPr="00022D33" w:rsidTr="000D7011">
        <w:tc>
          <w:tcPr>
            <w:tcW w:w="9242" w:type="dxa"/>
            <w:gridSpan w:val="7"/>
            <w:shd w:val="clear" w:color="auto" w:fill="auto"/>
          </w:tcPr>
          <w:p w:rsidR="00617CB0" w:rsidRPr="00022D33" w:rsidRDefault="00617CB0" w:rsidP="000D7011">
            <w:pPr>
              <w:pStyle w:val="Tabletext"/>
              <w:rPr>
                <w:b/>
              </w:rPr>
            </w:pPr>
          </w:p>
        </w:tc>
      </w:tr>
      <w:tr w:rsidR="00617CB0" w:rsidRPr="00022D33" w:rsidTr="000D7011">
        <w:tc>
          <w:tcPr>
            <w:tcW w:w="9242" w:type="dxa"/>
            <w:gridSpan w:val="7"/>
            <w:shd w:val="clear" w:color="auto" w:fill="auto"/>
          </w:tcPr>
          <w:p w:rsidR="00617CB0" w:rsidRPr="00022D33" w:rsidRDefault="00617CB0" w:rsidP="000D7011">
            <w:pPr>
              <w:pStyle w:val="Tabletext"/>
              <w:rPr>
                <w:b/>
              </w:rPr>
            </w:pPr>
            <w:r w:rsidRPr="00022D33">
              <w:rPr>
                <w:b/>
              </w:rPr>
              <w:t>OTHER COMPREHENSIVE INCOME</w:t>
            </w:r>
          </w:p>
        </w:tc>
      </w:tr>
      <w:tr w:rsidR="00617CB0" w:rsidRPr="00022D33" w:rsidTr="000D7011">
        <w:tc>
          <w:tcPr>
            <w:tcW w:w="9242" w:type="dxa"/>
            <w:gridSpan w:val="7"/>
            <w:shd w:val="clear" w:color="auto" w:fill="auto"/>
          </w:tcPr>
          <w:p w:rsidR="00617CB0" w:rsidRPr="00022D33" w:rsidRDefault="00617CB0" w:rsidP="000D7011">
            <w:pPr>
              <w:pStyle w:val="Tabletext"/>
              <w:rPr>
                <w:b/>
              </w:rPr>
            </w:pPr>
            <w:r w:rsidRPr="00022D33">
              <w:rPr>
                <w:i/>
              </w:rPr>
              <w:t>Items not reclassified subsequently to profit or loss</w:t>
            </w:r>
          </w:p>
        </w:tc>
      </w:tr>
      <w:tr w:rsidR="00617CB0" w:rsidRPr="00022D33" w:rsidTr="000D7011">
        <w:tc>
          <w:tcPr>
            <w:tcW w:w="2123" w:type="dxa"/>
            <w:shd w:val="clear" w:color="auto" w:fill="auto"/>
          </w:tcPr>
          <w:p w:rsidR="00617CB0" w:rsidRPr="00022D33" w:rsidRDefault="00617CB0" w:rsidP="000D7011">
            <w:pPr>
              <w:pStyle w:val="Tabletext"/>
            </w:pPr>
            <w:r w:rsidRPr="00022D33">
              <w:t>Changes in the revaluation surplus</w:t>
            </w:r>
          </w:p>
        </w:tc>
        <w:tc>
          <w:tcPr>
            <w:tcW w:w="1118" w:type="dxa"/>
            <w:shd w:val="clear" w:color="auto" w:fill="auto"/>
          </w:tcPr>
          <w:p w:rsidR="00617CB0" w:rsidRPr="00022D33" w:rsidRDefault="00617CB0" w:rsidP="000D7011">
            <w:pPr>
              <w:pStyle w:val="Tabletext"/>
              <w:jc w:val="right"/>
            </w:pPr>
          </w:p>
        </w:tc>
        <w:tc>
          <w:tcPr>
            <w:tcW w:w="1203" w:type="dxa"/>
            <w:tcBorders>
              <w:bottom w:val="single" w:sz="4" w:space="0" w:color="auto"/>
            </w:tcBorders>
            <w:shd w:val="clear" w:color="auto" w:fill="auto"/>
          </w:tcPr>
          <w:p w:rsidR="00617CB0" w:rsidRPr="00022D33" w:rsidRDefault="00617CB0" w:rsidP="000D7011">
            <w:pPr>
              <w:pStyle w:val="Tabletext"/>
              <w:jc w:val="right"/>
            </w:pPr>
            <w:r w:rsidRPr="00022D33">
              <w:t>-</w:t>
            </w:r>
          </w:p>
        </w:tc>
        <w:tc>
          <w:tcPr>
            <w:tcW w:w="1203" w:type="dxa"/>
            <w:tcBorders>
              <w:bottom w:val="single" w:sz="4" w:space="0" w:color="auto"/>
            </w:tcBorders>
            <w:shd w:val="clear" w:color="auto" w:fill="auto"/>
          </w:tcPr>
          <w:p w:rsidR="00617CB0" w:rsidRPr="00022D33" w:rsidRDefault="00617CB0" w:rsidP="000D7011">
            <w:pPr>
              <w:pStyle w:val="Tabletext"/>
              <w:jc w:val="right"/>
            </w:pPr>
            <w:r w:rsidRPr="00022D33">
              <w:t>(18,665)</w:t>
            </w:r>
          </w:p>
        </w:tc>
        <w:tc>
          <w:tcPr>
            <w:tcW w:w="1203" w:type="dxa"/>
            <w:tcBorders>
              <w:bottom w:val="single" w:sz="4" w:space="0" w:color="auto"/>
            </w:tcBorders>
            <w:shd w:val="clear" w:color="auto" w:fill="auto"/>
          </w:tcPr>
          <w:p w:rsidR="00617CB0" w:rsidRPr="00022D33" w:rsidRDefault="00617CB0" w:rsidP="000D7011">
            <w:pPr>
              <w:pStyle w:val="Tabletext"/>
              <w:jc w:val="right"/>
            </w:pPr>
            <w:r w:rsidRPr="00022D33">
              <w:t>(14,182)</w:t>
            </w:r>
          </w:p>
        </w:tc>
        <w:tc>
          <w:tcPr>
            <w:tcW w:w="1194" w:type="dxa"/>
            <w:tcBorders>
              <w:bottom w:val="single" w:sz="4" w:space="0" w:color="auto"/>
            </w:tcBorders>
            <w:shd w:val="clear" w:color="auto" w:fill="auto"/>
          </w:tcPr>
          <w:p w:rsidR="00617CB0" w:rsidRPr="00022D33" w:rsidRDefault="00617CB0" w:rsidP="000D7011">
            <w:pPr>
              <w:pStyle w:val="Tabletext"/>
              <w:jc w:val="right"/>
            </w:pPr>
            <w:r w:rsidRPr="00022D33">
              <w:t>(18,665)</w:t>
            </w:r>
          </w:p>
        </w:tc>
        <w:tc>
          <w:tcPr>
            <w:tcW w:w="1198" w:type="dxa"/>
            <w:tcBorders>
              <w:bottom w:val="single" w:sz="4" w:space="0" w:color="auto"/>
            </w:tcBorders>
            <w:shd w:val="clear" w:color="auto" w:fill="auto"/>
          </w:tcPr>
          <w:p w:rsidR="00617CB0" w:rsidRPr="00022D33" w:rsidRDefault="00617CB0" w:rsidP="000D7011">
            <w:pPr>
              <w:pStyle w:val="Tabletext"/>
              <w:jc w:val="right"/>
            </w:pPr>
            <w:r w:rsidRPr="00022D33">
              <w:t>(4,483)</w:t>
            </w:r>
          </w:p>
        </w:tc>
      </w:tr>
      <w:tr w:rsidR="00617CB0" w:rsidRPr="00022D33" w:rsidTr="000D7011">
        <w:tc>
          <w:tcPr>
            <w:tcW w:w="2123" w:type="dxa"/>
            <w:shd w:val="clear" w:color="auto" w:fill="auto"/>
          </w:tcPr>
          <w:p w:rsidR="00617CB0" w:rsidRPr="00022D33" w:rsidRDefault="00617CB0" w:rsidP="000D7011">
            <w:pPr>
              <w:pStyle w:val="Tabletext"/>
              <w:rPr>
                <w:b/>
              </w:rPr>
            </w:pPr>
            <w:r w:rsidRPr="00022D33">
              <w:rPr>
                <w:b/>
              </w:rPr>
              <w:t>Total other comprehensive income</w:t>
            </w:r>
          </w:p>
        </w:tc>
        <w:tc>
          <w:tcPr>
            <w:tcW w:w="1118" w:type="dxa"/>
            <w:shd w:val="clear" w:color="auto" w:fill="auto"/>
          </w:tcPr>
          <w:p w:rsidR="00617CB0" w:rsidRPr="00022D33" w:rsidRDefault="00617CB0" w:rsidP="000D7011">
            <w:pPr>
              <w:pStyle w:val="Tabletext"/>
              <w:jc w:val="right"/>
            </w:pPr>
          </w:p>
        </w:tc>
        <w:tc>
          <w:tcPr>
            <w:tcW w:w="1203" w:type="dxa"/>
            <w:tcBorders>
              <w:top w:val="single" w:sz="4" w:space="0" w:color="auto"/>
              <w:bottom w:val="single" w:sz="4" w:space="0" w:color="auto"/>
            </w:tcBorders>
            <w:shd w:val="clear" w:color="auto" w:fill="auto"/>
          </w:tcPr>
          <w:p w:rsidR="00617CB0" w:rsidRPr="00022D33" w:rsidRDefault="00617CB0" w:rsidP="000D7011">
            <w:pPr>
              <w:pStyle w:val="Tabletext"/>
              <w:jc w:val="right"/>
            </w:pPr>
            <w:r w:rsidRPr="00022D33">
              <w:t>-</w:t>
            </w:r>
          </w:p>
        </w:tc>
        <w:tc>
          <w:tcPr>
            <w:tcW w:w="1203" w:type="dxa"/>
            <w:tcBorders>
              <w:top w:val="single" w:sz="4" w:space="0" w:color="auto"/>
              <w:bottom w:val="single" w:sz="4" w:space="0" w:color="auto"/>
            </w:tcBorders>
            <w:shd w:val="clear" w:color="auto" w:fill="auto"/>
          </w:tcPr>
          <w:p w:rsidR="00617CB0" w:rsidRPr="00022D33" w:rsidRDefault="00617CB0" w:rsidP="000D7011">
            <w:pPr>
              <w:pStyle w:val="Tabletext"/>
              <w:jc w:val="right"/>
            </w:pPr>
            <w:r w:rsidRPr="00022D33">
              <w:t>(18,665)</w:t>
            </w:r>
          </w:p>
        </w:tc>
        <w:tc>
          <w:tcPr>
            <w:tcW w:w="1203" w:type="dxa"/>
            <w:tcBorders>
              <w:top w:val="single" w:sz="4" w:space="0" w:color="auto"/>
              <w:bottom w:val="single" w:sz="4" w:space="0" w:color="auto"/>
            </w:tcBorders>
            <w:shd w:val="clear" w:color="auto" w:fill="auto"/>
          </w:tcPr>
          <w:p w:rsidR="00617CB0" w:rsidRPr="00022D33" w:rsidRDefault="00617CB0" w:rsidP="000D7011">
            <w:pPr>
              <w:pStyle w:val="Tabletext"/>
              <w:jc w:val="right"/>
            </w:pPr>
            <w:r w:rsidRPr="00022D33">
              <w:t>(14,182)</w:t>
            </w:r>
          </w:p>
        </w:tc>
        <w:tc>
          <w:tcPr>
            <w:tcW w:w="1194" w:type="dxa"/>
            <w:tcBorders>
              <w:top w:val="single" w:sz="4" w:space="0" w:color="auto"/>
              <w:bottom w:val="single" w:sz="4" w:space="0" w:color="auto"/>
            </w:tcBorders>
            <w:shd w:val="clear" w:color="auto" w:fill="auto"/>
          </w:tcPr>
          <w:p w:rsidR="00617CB0" w:rsidRPr="00022D33" w:rsidRDefault="00617CB0" w:rsidP="000D7011">
            <w:pPr>
              <w:pStyle w:val="Tabletext"/>
              <w:jc w:val="right"/>
            </w:pPr>
            <w:r w:rsidRPr="00022D33">
              <w:t>(18,665)</w:t>
            </w:r>
          </w:p>
        </w:tc>
        <w:tc>
          <w:tcPr>
            <w:tcW w:w="1198" w:type="dxa"/>
            <w:tcBorders>
              <w:top w:val="single" w:sz="4" w:space="0" w:color="auto"/>
              <w:bottom w:val="single" w:sz="4" w:space="0" w:color="auto"/>
            </w:tcBorders>
            <w:shd w:val="clear" w:color="auto" w:fill="auto"/>
          </w:tcPr>
          <w:p w:rsidR="00617CB0" w:rsidRPr="00022D33" w:rsidRDefault="00617CB0" w:rsidP="000D7011">
            <w:pPr>
              <w:pStyle w:val="Tabletext"/>
              <w:jc w:val="right"/>
            </w:pPr>
            <w:r w:rsidRPr="00022D33">
              <w:t>(4,483)</w:t>
            </w:r>
          </w:p>
        </w:tc>
      </w:tr>
      <w:tr w:rsidR="00617CB0" w:rsidRPr="00022D33" w:rsidTr="000D7011">
        <w:tc>
          <w:tcPr>
            <w:tcW w:w="2123" w:type="dxa"/>
            <w:shd w:val="clear" w:color="auto" w:fill="auto"/>
          </w:tcPr>
          <w:p w:rsidR="00617CB0" w:rsidRPr="00022D33" w:rsidRDefault="00617CB0" w:rsidP="000D7011">
            <w:pPr>
              <w:pStyle w:val="Tabletext"/>
              <w:rPr>
                <w:b/>
              </w:rPr>
            </w:pPr>
            <w:r w:rsidRPr="00022D33">
              <w:rPr>
                <w:b/>
              </w:rPr>
              <w:t>TOTAL COMPREHENSIVE INCOME FOR THE PERIOD</w:t>
            </w:r>
          </w:p>
        </w:tc>
        <w:tc>
          <w:tcPr>
            <w:tcW w:w="1118" w:type="dxa"/>
            <w:shd w:val="clear" w:color="auto" w:fill="auto"/>
          </w:tcPr>
          <w:p w:rsidR="00617CB0" w:rsidRPr="00022D33" w:rsidRDefault="00617CB0" w:rsidP="000D7011">
            <w:pPr>
              <w:pStyle w:val="Tabletext"/>
              <w:jc w:val="right"/>
            </w:pPr>
          </w:p>
        </w:tc>
        <w:tc>
          <w:tcPr>
            <w:tcW w:w="1203" w:type="dxa"/>
            <w:tcBorders>
              <w:top w:val="single" w:sz="4" w:space="0" w:color="auto"/>
              <w:bottom w:val="double" w:sz="4" w:space="0" w:color="auto"/>
            </w:tcBorders>
            <w:shd w:val="clear" w:color="auto" w:fill="auto"/>
          </w:tcPr>
          <w:p w:rsidR="00617CB0" w:rsidRPr="00022D33" w:rsidRDefault="00617CB0" w:rsidP="000D7011">
            <w:pPr>
              <w:pStyle w:val="Tabletext"/>
              <w:jc w:val="right"/>
              <w:rPr>
                <w:b/>
              </w:rPr>
            </w:pPr>
            <w:r w:rsidRPr="00022D33">
              <w:rPr>
                <w:b/>
              </w:rPr>
              <w:t>5,842</w:t>
            </w:r>
          </w:p>
        </w:tc>
        <w:tc>
          <w:tcPr>
            <w:tcW w:w="1203" w:type="dxa"/>
            <w:tcBorders>
              <w:top w:val="single" w:sz="4" w:space="0" w:color="auto"/>
              <w:bottom w:val="double" w:sz="4" w:space="0" w:color="auto"/>
            </w:tcBorders>
            <w:shd w:val="clear" w:color="auto" w:fill="auto"/>
          </w:tcPr>
          <w:p w:rsidR="00617CB0" w:rsidRPr="00022D33" w:rsidRDefault="00617CB0" w:rsidP="000D7011">
            <w:pPr>
              <w:pStyle w:val="Tabletext"/>
              <w:jc w:val="right"/>
              <w:rPr>
                <w:b/>
              </w:rPr>
            </w:pPr>
            <w:r w:rsidRPr="00022D33">
              <w:rPr>
                <w:b/>
              </w:rPr>
              <w:t>(39,156)</w:t>
            </w:r>
          </w:p>
        </w:tc>
        <w:tc>
          <w:tcPr>
            <w:tcW w:w="1203" w:type="dxa"/>
            <w:tcBorders>
              <w:top w:val="single" w:sz="4" w:space="0" w:color="auto"/>
              <w:bottom w:val="double" w:sz="4" w:space="0" w:color="auto"/>
            </w:tcBorders>
            <w:shd w:val="clear" w:color="auto" w:fill="auto"/>
          </w:tcPr>
          <w:p w:rsidR="00617CB0" w:rsidRPr="00022D33" w:rsidRDefault="00617CB0" w:rsidP="000D7011">
            <w:pPr>
              <w:pStyle w:val="Tabletext"/>
              <w:jc w:val="right"/>
              <w:rPr>
                <w:b/>
              </w:rPr>
            </w:pPr>
            <w:r w:rsidRPr="00022D33">
              <w:rPr>
                <w:b/>
              </w:rPr>
              <w:t>(48,082)</w:t>
            </w:r>
          </w:p>
        </w:tc>
        <w:tc>
          <w:tcPr>
            <w:tcW w:w="1194" w:type="dxa"/>
            <w:tcBorders>
              <w:top w:val="single" w:sz="4" w:space="0" w:color="auto"/>
              <w:bottom w:val="double" w:sz="4" w:space="0" w:color="auto"/>
            </w:tcBorders>
            <w:shd w:val="clear" w:color="auto" w:fill="auto"/>
          </w:tcPr>
          <w:p w:rsidR="00617CB0" w:rsidRPr="00022D33" w:rsidRDefault="00617CB0" w:rsidP="000D7011">
            <w:pPr>
              <w:pStyle w:val="Tabletext"/>
              <w:jc w:val="right"/>
              <w:rPr>
                <w:b/>
              </w:rPr>
            </w:pPr>
            <w:r w:rsidRPr="00022D33">
              <w:rPr>
                <w:b/>
              </w:rPr>
              <w:t>(44,998)</w:t>
            </w:r>
          </w:p>
        </w:tc>
        <w:tc>
          <w:tcPr>
            <w:tcW w:w="1198" w:type="dxa"/>
            <w:tcBorders>
              <w:top w:val="single" w:sz="4" w:space="0" w:color="auto"/>
              <w:bottom w:val="double" w:sz="4" w:space="0" w:color="auto"/>
            </w:tcBorders>
            <w:shd w:val="clear" w:color="auto" w:fill="auto"/>
          </w:tcPr>
          <w:p w:rsidR="00617CB0" w:rsidRPr="00022D33" w:rsidRDefault="00617CB0" w:rsidP="000D7011">
            <w:pPr>
              <w:pStyle w:val="Tabletext"/>
              <w:jc w:val="right"/>
              <w:rPr>
                <w:b/>
              </w:rPr>
            </w:pPr>
            <w:r w:rsidRPr="00022D33">
              <w:rPr>
                <w:b/>
              </w:rPr>
              <w:t>8,925</w:t>
            </w:r>
          </w:p>
        </w:tc>
      </w:tr>
    </w:tbl>
    <w:p w:rsidR="00617CB0" w:rsidRPr="00022D33" w:rsidRDefault="00617CB0" w:rsidP="00617CB0">
      <w:pPr>
        <w:pStyle w:val="BodyText"/>
        <w:rPr>
          <w:bCs/>
          <w:i/>
          <w:iCs/>
          <w:szCs w:val="26"/>
          <w:lang w:eastAsia="en-US"/>
        </w:rPr>
      </w:pPr>
      <w:r w:rsidRPr="00022D33">
        <w:rPr>
          <w:bCs/>
          <w:i/>
          <w:iCs/>
          <w:szCs w:val="26"/>
          <w:lang w:eastAsia="en-US"/>
        </w:rPr>
        <w:t>Major Estimate and Actual (2016) Variance Narratives</w:t>
      </w:r>
    </w:p>
    <w:p w:rsidR="00617CB0" w:rsidRPr="00022D33" w:rsidRDefault="00617CB0" w:rsidP="00617CB0">
      <w:pPr>
        <w:pStyle w:val="BodyText"/>
        <w:rPr>
          <w:bCs/>
          <w:iCs/>
          <w:szCs w:val="26"/>
          <w:lang w:eastAsia="en-US"/>
        </w:rPr>
      </w:pPr>
      <w:r w:rsidRPr="00022D33">
        <w:rPr>
          <w:bCs/>
          <w:iCs/>
          <w:szCs w:val="26"/>
          <w:lang w:eastAsia="en-US"/>
        </w:rPr>
        <w:t>1) The increase in other expenses for 2016 is as a result of decreases in the valuation of land and buildings. There were insufficient reserves in the Department’s equity reserves to absorb the value of the reduction for land and buildings.</w:t>
      </w:r>
    </w:p>
    <w:p w:rsidR="00617CB0" w:rsidRPr="00022D33" w:rsidRDefault="00617CB0" w:rsidP="00617CB0">
      <w:pPr>
        <w:pStyle w:val="BodyText"/>
        <w:rPr>
          <w:bCs/>
          <w:i/>
          <w:iCs/>
          <w:szCs w:val="26"/>
          <w:lang w:eastAsia="en-US"/>
        </w:rPr>
      </w:pPr>
      <w:r w:rsidRPr="00022D33">
        <w:rPr>
          <w:bCs/>
          <w:i/>
          <w:iCs/>
          <w:szCs w:val="26"/>
          <w:lang w:eastAsia="en-US"/>
        </w:rPr>
        <w:t>Major Actual (2016) and Comparative (2015) Variance Narratives</w:t>
      </w:r>
    </w:p>
    <w:p w:rsidR="00854541" w:rsidRDefault="00617CB0" w:rsidP="00617CB0">
      <w:pPr>
        <w:pStyle w:val="BodyText"/>
        <w:rPr>
          <w:bCs/>
          <w:iCs/>
          <w:szCs w:val="26"/>
          <w:lang w:eastAsia="en-US"/>
        </w:rPr>
        <w:sectPr w:rsidR="00854541" w:rsidSect="00854541">
          <w:pgSz w:w="11906" w:h="16838" w:code="9"/>
          <w:pgMar w:top="1440" w:right="1440" w:bottom="1135" w:left="1440" w:header="0" w:footer="709" w:gutter="0"/>
          <w:cols w:space="708"/>
          <w:docGrid w:linePitch="360"/>
        </w:sectPr>
      </w:pPr>
      <w:r w:rsidRPr="00022D33">
        <w:rPr>
          <w:bCs/>
          <w:iCs/>
          <w:szCs w:val="26"/>
          <w:lang w:eastAsia="en-US"/>
        </w:rPr>
        <w:t xml:space="preserve">A) Capital works expenditure for 2016, managed by Building Management and </w:t>
      </w:r>
    </w:p>
    <w:p w:rsidR="00854541" w:rsidRPr="00022D33" w:rsidRDefault="00854541" w:rsidP="00854541">
      <w:pPr>
        <w:pStyle w:val="BodyText"/>
      </w:pPr>
      <w:r w:rsidRPr="00022D33">
        <w:rPr>
          <w:bCs/>
          <w:iCs/>
          <w:szCs w:val="26"/>
          <w:lang w:eastAsia="en-US"/>
        </w:rPr>
        <w:t>Works on behalf of government agencies, was lower than 2015 due to a reduced government capital works program.</w:t>
      </w:r>
    </w:p>
    <w:p w:rsidR="00854541" w:rsidRPr="00022D33" w:rsidRDefault="00854541" w:rsidP="00854541">
      <w:pPr>
        <w:pStyle w:val="BodyText"/>
      </w:pPr>
      <w:r w:rsidRPr="00022D33">
        <w:t>B) The 2015 actual included the once-off recognition of the $52,000,000 contribution to the heritage component of the Old Treasury Building Hotel.</w:t>
      </w:r>
    </w:p>
    <w:p w:rsidR="00854541" w:rsidRPr="00022D33" w:rsidRDefault="00854541" w:rsidP="00854541">
      <w:pPr>
        <w:pStyle w:val="BodyText"/>
      </w:pPr>
      <w:r w:rsidRPr="00022D33">
        <w:t>C) The increase in other expenses for 2016 is as a result of decreases in valuation of land and buildings. There were insufficient reserves in the Department’s asset revaluation reserves to absorb the value of the reduction for land and buildings.</w:t>
      </w:r>
    </w:p>
    <w:p w:rsidR="00854541" w:rsidRPr="00A638DA" w:rsidRDefault="00854541" w:rsidP="00854541">
      <w:pPr>
        <w:pStyle w:val="BodyText"/>
      </w:pPr>
      <w:r w:rsidRPr="00022D33">
        <w:t>D) Capital works expenditure for 2016, managed by Building Management and Works on behalf of government agencies, was lower than 2015, resulting in the lower recoup of costs from these agencies.</w:t>
      </w:r>
      <w:r>
        <w:br/>
      </w:r>
    </w:p>
    <w:p w:rsidR="00854541" w:rsidRPr="00022D33" w:rsidRDefault="00196F4C" w:rsidP="00854541">
      <w:pPr>
        <w:pStyle w:val="Caption"/>
        <w:keepNext/>
        <w:spacing w:after="60"/>
      </w:pPr>
      <w:fldSimple w:instr=" SEQ Table \* ARABIC ">
        <w:r w:rsidR="00854541">
          <w:rPr>
            <w:noProof/>
          </w:rPr>
          <w:t>65</w:t>
        </w:r>
      </w:fldSimple>
      <w:r w:rsidR="00854541" w:rsidRPr="00022D33">
        <w:t xml:space="preserve"> Statement of Financial Position (Controlled Operations)</w:t>
      </w:r>
    </w:p>
    <w:tbl>
      <w:tblPr>
        <w:tblW w:w="9214" w:type="dxa"/>
        <w:tblLook w:val="04A0" w:firstRow="1" w:lastRow="0" w:firstColumn="1" w:lastColumn="0" w:noHBand="0" w:noVBand="1"/>
      </w:tblPr>
      <w:tblGrid>
        <w:gridCol w:w="2004"/>
        <w:gridCol w:w="1107"/>
        <w:gridCol w:w="1188"/>
        <w:gridCol w:w="1188"/>
        <w:gridCol w:w="1188"/>
        <w:gridCol w:w="1175"/>
        <w:gridCol w:w="1176"/>
        <w:gridCol w:w="188"/>
      </w:tblGrid>
      <w:tr w:rsidR="00854541" w:rsidRPr="00022D33" w:rsidTr="00854541">
        <w:tc>
          <w:tcPr>
            <w:tcW w:w="2002" w:type="dxa"/>
            <w:shd w:val="clear" w:color="auto" w:fill="auto"/>
          </w:tcPr>
          <w:p w:rsidR="00854541" w:rsidRPr="00022D33" w:rsidRDefault="00854541" w:rsidP="00854541">
            <w:pPr>
              <w:pStyle w:val="BodyText"/>
              <w:keepLines/>
            </w:pPr>
          </w:p>
        </w:tc>
        <w:tc>
          <w:tcPr>
            <w:tcW w:w="1108" w:type="dxa"/>
            <w:shd w:val="clear" w:color="auto" w:fill="auto"/>
          </w:tcPr>
          <w:p w:rsidR="00854541" w:rsidRDefault="00854541" w:rsidP="00854541">
            <w:pPr>
              <w:pStyle w:val="Tableboldedtext"/>
              <w:keepLines/>
              <w:jc w:val="right"/>
            </w:pPr>
            <w:r>
              <w:t>Variance</w:t>
            </w:r>
          </w:p>
          <w:p w:rsidR="00854541" w:rsidRPr="00022D33" w:rsidRDefault="00854541" w:rsidP="00854541">
            <w:pPr>
              <w:pStyle w:val="Tableboldedtext"/>
              <w:keepLines/>
              <w:jc w:val="right"/>
            </w:pPr>
            <w:r w:rsidRPr="00022D33">
              <w:t>Note</w:t>
            </w:r>
          </w:p>
        </w:tc>
        <w:tc>
          <w:tcPr>
            <w:tcW w:w="1188" w:type="dxa"/>
            <w:shd w:val="clear" w:color="auto" w:fill="auto"/>
          </w:tcPr>
          <w:p w:rsidR="00854541" w:rsidRPr="00022D33" w:rsidRDefault="00854541" w:rsidP="00854541">
            <w:pPr>
              <w:pStyle w:val="Tableboldedtext"/>
              <w:keepLines/>
              <w:jc w:val="right"/>
            </w:pPr>
            <w:r w:rsidRPr="00022D33">
              <w:t>Estimate 2016  $000</w:t>
            </w:r>
          </w:p>
        </w:tc>
        <w:tc>
          <w:tcPr>
            <w:tcW w:w="1188" w:type="dxa"/>
            <w:shd w:val="clear" w:color="auto" w:fill="auto"/>
          </w:tcPr>
          <w:p w:rsidR="00854541" w:rsidRPr="00022D33" w:rsidRDefault="00854541" w:rsidP="00854541">
            <w:pPr>
              <w:pStyle w:val="Tableboldedtext"/>
              <w:keepLines/>
              <w:jc w:val="right"/>
            </w:pPr>
            <w:r w:rsidRPr="00022D33">
              <w:t>Actual 2016  $000</w:t>
            </w:r>
          </w:p>
        </w:tc>
        <w:tc>
          <w:tcPr>
            <w:tcW w:w="1188" w:type="dxa"/>
            <w:shd w:val="clear" w:color="auto" w:fill="auto"/>
          </w:tcPr>
          <w:p w:rsidR="00854541" w:rsidRPr="00022D33" w:rsidRDefault="00854541" w:rsidP="00854541">
            <w:pPr>
              <w:pStyle w:val="Tableboldedtext"/>
              <w:keepLines/>
              <w:jc w:val="right"/>
            </w:pPr>
            <w:r w:rsidRPr="00022D33">
              <w:t>Actual 2015</w:t>
            </w:r>
          </w:p>
          <w:p w:rsidR="00854541" w:rsidRPr="00022D33" w:rsidRDefault="00854541" w:rsidP="00854541">
            <w:pPr>
              <w:pStyle w:val="Tableboldedtext"/>
              <w:keepLines/>
              <w:jc w:val="right"/>
            </w:pPr>
            <w:r w:rsidRPr="00022D33">
              <w:t xml:space="preserve"> $000</w:t>
            </w:r>
          </w:p>
        </w:tc>
        <w:tc>
          <w:tcPr>
            <w:tcW w:w="1175" w:type="dxa"/>
            <w:shd w:val="clear" w:color="auto" w:fill="auto"/>
          </w:tcPr>
          <w:p w:rsidR="00854541" w:rsidRPr="00022D33" w:rsidRDefault="00854541" w:rsidP="00854541">
            <w:pPr>
              <w:pStyle w:val="Tableboldedtext"/>
              <w:keepLines/>
              <w:jc w:val="right"/>
            </w:pPr>
            <w:r w:rsidRPr="00022D33">
              <w:t>Variance between estimate and actual $000</w:t>
            </w:r>
          </w:p>
        </w:tc>
        <w:tc>
          <w:tcPr>
            <w:tcW w:w="1365" w:type="dxa"/>
            <w:gridSpan w:val="2"/>
            <w:shd w:val="clear" w:color="auto" w:fill="auto"/>
          </w:tcPr>
          <w:p w:rsidR="00854541" w:rsidRPr="00022D33" w:rsidRDefault="00854541" w:rsidP="00854541">
            <w:pPr>
              <w:pStyle w:val="Tableboldedtext"/>
              <w:keepLines/>
              <w:jc w:val="right"/>
            </w:pPr>
            <w:r w:rsidRPr="00022D33">
              <w:t>Variance between actual results for 2016 and 2015 $000</w:t>
            </w:r>
          </w:p>
        </w:tc>
      </w:tr>
      <w:tr w:rsidR="00854541" w:rsidRPr="00022D33" w:rsidTr="00854541">
        <w:tc>
          <w:tcPr>
            <w:tcW w:w="9214" w:type="dxa"/>
            <w:gridSpan w:val="8"/>
            <w:shd w:val="clear" w:color="auto" w:fill="auto"/>
          </w:tcPr>
          <w:p w:rsidR="00854541" w:rsidRPr="00022D33" w:rsidRDefault="00854541" w:rsidP="00854541">
            <w:pPr>
              <w:pStyle w:val="Tabletext"/>
              <w:keepLines/>
              <w:rPr>
                <w:b/>
              </w:rPr>
            </w:pPr>
            <w:r w:rsidRPr="00022D33">
              <w:rPr>
                <w:b/>
              </w:rPr>
              <w:t>ASSETS</w:t>
            </w:r>
          </w:p>
        </w:tc>
      </w:tr>
      <w:tr w:rsidR="00854541" w:rsidRPr="00022D33" w:rsidTr="00854541">
        <w:tc>
          <w:tcPr>
            <w:tcW w:w="9214" w:type="dxa"/>
            <w:gridSpan w:val="8"/>
            <w:shd w:val="clear" w:color="auto" w:fill="auto"/>
          </w:tcPr>
          <w:p w:rsidR="00854541" w:rsidRPr="00022D33" w:rsidRDefault="00854541" w:rsidP="00854541">
            <w:pPr>
              <w:pStyle w:val="Tabletext"/>
              <w:keepLines/>
              <w:rPr>
                <w:u w:val="single"/>
              </w:rPr>
            </w:pPr>
            <w:r w:rsidRPr="00022D33">
              <w:rPr>
                <w:u w:val="single"/>
              </w:rPr>
              <w:t>Current assets</w:t>
            </w:r>
          </w:p>
        </w:tc>
      </w:tr>
      <w:tr w:rsidR="00854541" w:rsidRPr="00022D33" w:rsidTr="00854541">
        <w:tc>
          <w:tcPr>
            <w:tcW w:w="2002" w:type="dxa"/>
            <w:shd w:val="clear" w:color="auto" w:fill="auto"/>
          </w:tcPr>
          <w:p w:rsidR="00854541" w:rsidRPr="00022D33" w:rsidRDefault="00854541" w:rsidP="00854541">
            <w:pPr>
              <w:pStyle w:val="Tabletext"/>
              <w:keepLines/>
            </w:pPr>
            <w:r w:rsidRPr="00022D33">
              <w:t>Cash and cash equivalents</w:t>
            </w:r>
          </w:p>
        </w:tc>
        <w:tc>
          <w:tcPr>
            <w:tcW w:w="1108" w:type="dxa"/>
            <w:shd w:val="clear" w:color="auto" w:fill="auto"/>
          </w:tcPr>
          <w:p w:rsidR="00854541" w:rsidRPr="00022D33" w:rsidRDefault="00854541" w:rsidP="00854541">
            <w:pPr>
              <w:pStyle w:val="Tabletext"/>
              <w:keepLines/>
              <w:jc w:val="right"/>
            </w:pPr>
          </w:p>
        </w:tc>
        <w:tc>
          <w:tcPr>
            <w:tcW w:w="1188" w:type="dxa"/>
            <w:shd w:val="clear" w:color="auto" w:fill="auto"/>
          </w:tcPr>
          <w:p w:rsidR="00854541" w:rsidRPr="00022D33" w:rsidRDefault="00854541" w:rsidP="00854541">
            <w:pPr>
              <w:pStyle w:val="Tabletext"/>
              <w:keepLines/>
              <w:jc w:val="right"/>
            </w:pPr>
            <w:r w:rsidRPr="00022D33">
              <w:t>171,502</w:t>
            </w:r>
          </w:p>
        </w:tc>
        <w:tc>
          <w:tcPr>
            <w:tcW w:w="1188" w:type="dxa"/>
            <w:shd w:val="clear" w:color="auto" w:fill="auto"/>
          </w:tcPr>
          <w:p w:rsidR="00854541" w:rsidRPr="00022D33" w:rsidRDefault="00854541" w:rsidP="00854541">
            <w:pPr>
              <w:pStyle w:val="Tabletext"/>
              <w:keepLines/>
              <w:jc w:val="right"/>
            </w:pPr>
            <w:r w:rsidRPr="00022D33">
              <w:t>85,247</w:t>
            </w:r>
          </w:p>
        </w:tc>
        <w:tc>
          <w:tcPr>
            <w:tcW w:w="1188" w:type="dxa"/>
            <w:shd w:val="clear" w:color="auto" w:fill="auto"/>
          </w:tcPr>
          <w:p w:rsidR="00854541" w:rsidRPr="00022D33" w:rsidRDefault="00854541" w:rsidP="00854541">
            <w:pPr>
              <w:pStyle w:val="Tabletext"/>
              <w:keepLines/>
              <w:jc w:val="right"/>
            </w:pPr>
            <w:r w:rsidRPr="00022D33">
              <w:t>58,905</w:t>
            </w:r>
          </w:p>
        </w:tc>
        <w:tc>
          <w:tcPr>
            <w:tcW w:w="1175" w:type="dxa"/>
            <w:shd w:val="clear" w:color="auto" w:fill="auto"/>
          </w:tcPr>
          <w:p w:rsidR="00854541" w:rsidRPr="00022D33" w:rsidRDefault="00854541" w:rsidP="00854541">
            <w:pPr>
              <w:pStyle w:val="Tabletext"/>
              <w:keepLines/>
              <w:jc w:val="right"/>
            </w:pPr>
            <w:r w:rsidRPr="00022D33">
              <w:t>(86,255)</w:t>
            </w:r>
          </w:p>
        </w:tc>
        <w:tc>
          <w:tcPr>
            <w:tcW w:w="1365" w:type="dxa"/>
            <w:gridSpan w:val="2"/>
            <w:shd w:val="clear" w:color="auto" w:fill="auto"/>
          </w:tcPr>
          <w:p w:rsidR="00854541" w:rsidRPr="00022D33" w:rsidRDefault="00854541" w:rsidP="00854541">
            <w:pPr>
              <w:pStyle w:val="Tabletext"/>
              <w:keepLines/>
              <w:jc w:val="right"/>
            </w:pPr>
            <w:r w:rsidRPr="00022D33">
              <w:t>26,342</w:t>
            </w:r>
          </w:p>
        </w:tc>
      </w:tr>
      <w:tr w:rsidR="00854541" w:rsidRPr="00022D33" w:rsidTr="00854541">
        <w:trPr>
          <w:trHeight w:val="614"/>
        </w:trPr>
        <w:tc>
          <w:tcPr>
            <w:tcW w:w="2002" w:type="dxa"/>
            <w:shd w:val="clear" w:color="auto" w:fill="auto"/>
          </w:tcPr>
          <w:p w:rsidR="00854541" w:rsidRPr="00022D33" w:rsidRDefault="00854541" w:rsidP="00854541">
            <w:pPr>
              <w:pStyle w:val="Tableitalics"/>
              <w:keepLines/>
              <w:rPr>
                <w:i w:val="0"/>
              </w:rPr>
            </w:pPr>
            <w:r w:rsidRPr="00022D33">
              <w:rPr>
                <w:i w:val="0"/>
              </w:rPr>
              <w:t>Restricted  cash and cash equivalents</w:t>
            </w:r>
          </w:p>
        </w:tc>
        <w:tc>
          <w:tcPr>
            <w:tcW w:w="1108" w:type="dxa"/>
            <w:shd w:val="clear" w:color="auto" w:fill="auto"/>
          </w:tcPr>
          <w:p w:rsidR="00854541" w:rsidRPr="00022D33" w:rsidRDefault="00854541" w:rsidP="00854541">
            <w:pPr>
              <w:pStyle w:val="Tabletext"/>
              <w:keepLines/>
              <w:jc w:val="right"/>
            </w:pPr>
          </w:p>
        </w:tc>
        <w:tc>
          <w:tcPr>
            <w:tcW w:w="1188" w:type="dxa"/>
            <w:shd w:val="clear" w:color="auto" w:fill="auto"/>
          </w:tcPr>
          <w:p w:rsidR="00854541" w:rsidRPr="00022D33" w:rsidRDefault="00854541" w:rsidP="00854541">
            <w:pPr>
              <w:pStyle w:val="Tabletext"/>
              <w:keepLines/>
              <w:jc w:val="right"/>
            </w:pPr>
            <w:r w:rsidRPr="00022D33">
              <w:t>7,170</w:t>
            </w:r>
          </w:p>
        </w:tc>
        <w:tc>
          <w:tcPr>
            <w:tcW w:w="1188" w:type="dxa"/>
            <w:shd w:val="clear" w:color="auto" w:fill="auto"/>
          </w:tcPr>
          <w:p w:rsidR="00854541" w:rsidRPr="00022D33" w:rsidRDefault="00854541" w:rsidP="00854541">
            <w:pPr>
              <w:pStyle w:val="Tabletext"/>
              <w:keepLines/>
              <w:jc w:val="right"/>
            </w:pPr>
            <w:r w:rsidRPr="00022D33">
              <w:t>12,983</w:t>
            </w:r>
          </w:p>
        </w:tc>
        <w:tc>
          <w:tcPr>
            <w:tcW w:w="1188" w:type="dxa"/>
            <w:shd w:val="clear" w:color="auto" w:fill="auto"/>
          </w:tcPr>
          <w:p w:rsidR="00854541" w:rsidRPr="00022D33" w:rsidRDefault="00854541" w:rsidP="00854541">
            <w:pPr>
              <w:pStyle w:val="Tabletext"/>
              <w:keepLines/>
              <w:jc w:val="right"/>
            </w:pPr>
            <w:r w:rsidRPr="00022D33">
              <w:t>14,887</w:t>
            </w:r>
          </w:p>
        </w:tc>
        <w:tc>
          <w:tcPr>
            <w:tcW w:w="1175" w:type="dxa"/>
            <w:shd w:val="clear" w:color="auto" w:fill="auto"/>
          </w:tcPr>
          <w:p w:rsidR="00854541" w:rsidRPr="00022D33" w:rsidRDefault="00854541" w:rsidP="00854541">
            <w:pPr>
              <w:pStyle w:val="Tabletext"/>
              <w:keepLines/>
              <w:jc w:val="right"/>
            </w:pPr>
            <w:r w:rsidRPr="00022D33">
              <w:t>5,813</w:t>
            </w:r>
          </w:p>
        </w:tc>
        <w:tc>
          <w:tcPr>
            <w:tcW w:w="1365" w:type="dxa"/>
            <w:gridSpan w:val="2"/>
            <w:shd w:val="clear" w:color="auto" w:fill="auto"/>
          </w:tcPr>
          <w:p w:rsidR="00854541" w:rsidRPr="00022D33" w:rsidRDefault="00854541" w:rsidP="00854541">
            <w:pPr>
              <w:pStyle w:val="Tabletext"/>
              <w:keepLines/>
              <w:jc w:val="right"/>
            </w:pPr>
            <w:r w:rsidRPr="00022D33">
              <w:t>(1,904)</w:t>
            </w:r>
          </w:p>
        </w:tc>
      </w:tr>
      <w:tr w:rsidR="00854541" w:rsidRPr="00022D33" w:rsidTr="00854541">
        <w:tc>
          <w:tcPr>
            <w:tcW w:w="2002" w:type="dxa"/>
            <w:shd w:val="clear" w:color="auto" w:fill="auto"/>
          </w:tcPr>
          <w:p w:rsidR="00854541" w:rsidRPr="00022D33" w:rsidRDefault="00854541" w:rsidP="00854541">
            <w:pPr>
              <w:pStyle w:val="Tableitalics"/>
              <w:keepLines/>
              <w:rPr>
                <w:i w:val="0"/>
              </w:rPr>
            </w:pPr>
            <w:r w:rsidRPr="00022D33">
              <w:rPr>
                <w:i w:val="0"/>
              </w:rPr>
              <w:t>Receivables</w:t>
            </w:r>
          </w:p>
        </w:tc>
        <w:tc>
          <w:tcPr>
            <w:tcW w:w="1108" w:type="dxa"/>
            <w:shd w:val="clear" w:color="auto" w:fill="auto"/>
          </w:tcPr>
          <w:p w:rsidR="00854541" w:rsidRPr="00022D33" w:rsidRDefault="00854541" w:rsidP="00854541">
            <w:pPr>
              <w:pStyle w:val="Tabletext"/>
              <w:keepLines/>
              <w:jc w:val="right"/>
            </w:pPr>
          </w:p>
        </w:tc>
        <w:tc>
          <w:tcPr>
            <w:tcW w:w="1188" w:type="dxa"/>
            <w:shd w:val="clear" w:color="auto" w:fill="auto"/>
          </w:tcPr>
          <w:p w:rsidR="00854541" w:rsidRPr="00022D33" w:rsidRDefault="00854541" w:rsidP="00854541">
            <w:pPr>
              <w:pStyle w:val="Tabletext"/>
              <w:keepLines/>
              <w:jc w:val="right"/>
            </w:pPr>
            <w:r w:rsidRPr="00022D33">
              <w:t>308,744</w:t>
            </w:r>
          </w:p>
        </w:tc>
        <w:tc>
          <w:tcPr>
            <w:tcW w:w="1188" w:type="dxa"/>
            <w:shd w:val="clear" w:color="auto" w:fill="auto"/>
          </w:tcPr>
          <w:p w:rsidR="00854541" w:rsidRPr="00022D33" w:rsidRDefault="00854541" w:rsidP="00854541">
            <w:pPr>
              <w:pStyle w:val="Tabletext"/>
              <w:keepLines/>
              <w:jc w:val="right"/>
            </w:pPr>
            <w:r w:rsidRPr="00022D33">
              <w:t>309,036</w:t>
            </w:r>
          </w:p>
        </w:tc>
        <w:tc>
          <w:tcPr>
            <w:tcW w:w="1188" w:type="dxa"/>
            <w:shd w:val="clear" w:color="auto" w:fill="auto"/>
          </w:tcPr>
          <w:p w:rsidR="00854541" w:rsidRPr="00022D33" w:rsidRDefault="00854541" w:rsidP="00854541">
            <w:pPr>
              <w:pStyle w:val="Tabletext"/>
              <w:keepLines/>
              <w:jc w:val="right"/>
            </w:pPr>
            <w:r w:rsidRPr="00022D33">
              <w:t>305,511</w:t>
            </w:r>
          </w:p>
        </w:tc>
        <w:tc>
          <w:tcPr>
            <w:tcW w:w="1175" w:type="dxa"/>
            <w:shd w:val="clear" w:color="auto" w:fill="auto"/>
          </w:tcPr>
          <w:p w:rsidR="00854541" w:rsidRPr="00022D33" w:rsidRDefault="00854541" w:rsidP="00854541">
            <w:pPr>
              <w:pStyle w:val="Tabletext"/>
              <w:keepLines/>
              <w:jc w:val="right"/>
            </w:pPr>
            <w:r w:rsidRPr="00022D33">
              <w:t>292</w:t>
            </w:r>
          </w:p>
        </w:tc>
        <w:tc>
          <w:tcPr>
            <w:tcW w:w="1365" w:type="dxa"/>
            <w:gridSpan w:val="2"/>
            <w:shd w:val="clear" w:color="auto" w:fill="auto"/>
          </w:tcPr>
          <w:p w:rsidR="00854541" w:rsidRPr="00022D33" w:rsidRDefault="00854541" w:rsidP="00854541">
            <w:pPr>
              <w:pStyle w:val="Tabletext"/>
              <w:keepLines/>
              <w:jc w:val="right"/>
            </w:pPr>
            <w:r w:rsidRPr="00022D33">
              <w:t>3,525</w:t>
            </w:r>
          </w:p>
        </w:tc>
      </w:tr>
      <w:tr w:rsidR="00854541" w:rsidRPr="00022D33" w:rsidTr="00854541">
        <w:tc>
          <w:tcPr>
            <w:tcW w:w="2002" w:type="dxa"/>
            <w:shd w:val="clear" w:color="auto" w:fill="auto"/>
          </w:tcPr>
          <w:p w:rsidR="00854541" w:rsidRPr="00022D33" w:rsidRDefault="00854541" w:rsidP="00854541">
            <w:pPr>
              <w:pStyle w:val="Tabletext"/>
              <w:keepLines/>
            </w:pPr>
            <w:r w:rsidRPr="00022D33">
              <w:t>Finance lease receivables</w:t>
            </w:r>
          </w:p>
        </w:tc>
        <w:tc>
          <w:tcPr>
            <w:tcW w:w="1108" w:type="dxa"/>
            <w:shd w:val="clear" w:color="auto" w:fill="auto"/>
          </w:tcPr>
          <w:p w:rsidR="00854541" w:rsidRPr="00022D33" w:rsidRDefault="00854541" w:rsidP="00854541">
            <w:pPr>
              <w:pStyle w:val="Tabletext"/>
              <w:keepLines/>
              <w:jc w:val="right"/>
            </w:pPr>
          </w:p>
        </w:tc>
        <w:tc>
          <w:tcPr>
            <w:tcW w:w="1188" w:type="dxa"/>
            <w:shd w:val="clear" w:color="auto" w:fill="auto"/>
          </w:tcPr>
          <w:p w:rsidR="00854541" w:rsidRPr="00022D33" w:rsidRDefault="00854541" w:rsidP="00854541">
            <w:pPr>
              <w:pStyle w:val="Tabletext"/>
              <w:keepLines/>
              <w:jc w:val="right"/>
            </w:pPr>
            <w:r w:rsidRPr="00022D33">
              <w:t>625</w:t>
            </w:r>
          </w:p>
        </w:tc>
        <w:tc>
          <w:tcPr>
            <w:tcW w:w="1188" w:type="dxa"/>
            <w:shd w:val="clear" w:color="auto" w:fill="auto"/>
          </w:tcPr>
          <w:p w:rsidR="00854541" w:rsidRPr="00022D33" w:rsidRDefault="00854541" w:rsidP="00854541">
            <w:pPr>
              <w:pStyle w:val="Tabletext"/>
              <w:keepLines/>
              <w:jc w:val="right"/>
            </w:pPr>
            <w:r w:rsidRPr="00022D33">
              <w:t>583</w:t>
            </w:r>
          </w:p>
        </w:tc>
        <w:tc>
          <w:tcPr>
            <w:tcW w:w="1188" w:type="dxa"/>
            <w:shd w:val="clear" w:color="auto" w:fill="auto"/>
          </w:tcPr>
          <w:p w:rsidR="00854541" w:rsidRPr="00022D33" w:rsidRDefault="00854541" w:rsidP="00854541">
            <w:pPr>
              <w:pStyle w:val="Tabletext"/>
              <w:keepLines/>
              <w:jc w:val="right"/>
            </w:pPr>
            <w:r w:rsidRPr="00022D33">
              <w:t>560</w:t>
            </w:r>
          </w:p>
        </w:tc>
        <w:tc>
          <w:tcPr>
            <w:tcW w:w="1175" w:type="dxa"/>
            <w:shd w:val="clear" w:color="auto" w:fill="auto"/>
          </w:tcPr>
          <w:p w:rsidR="00854541" w:rsidRPr="00022D33" w:rsidRDefault="00854541" w:rsidP="00854541">
            <w:pPr>
              <w:pStyle w:val="Tabletext"/>
              <w:keepLines/>
              <w:jc w:val="right"/>
            </w:pPr>
            <w:r w:rsidRPr="00022D33">
              <w:t>(42)</w:t>
            </w:r>
          </w:p>
        </w:tc>
        <w:tc>
          <w:tcPr>
            <w:tcW w:w="1365" w:type="dxa"/>
            <w:gridSpan w:val="2"/>
            <w:shd w:val="clear" w:color="auto" w:fill="auto"/>
          </w:tcPr>
          <w:p w:rsidR="00854541" w:rsidRPr="00022D33" w:rsidRDefault="00854541" w:rsidP="00854541">
            <w:pPr>
              <w:pStyle w:val="Tabletext"/>
              <w:keepLines/>
              <w:jc w:val="right"/>
            </w:pPr>
            <w:r w:rsidRPr="00022D33">
              <w:t>23</w:t>
            </w:r>
          </w:p>
        </w:tc>
      </w:tr>
      <w:tr w:rsidR="00854541" w:rsidRPr="00022D33" w:rsidTr="00854541">
        <w:tc>
          <w:tcPr>
            <w:tcW w:w="2002" w:type="dxa"/>
            <w:shd w:val="clear" w:color="auto" w:fill="auto"/>
          </w:tcPr>
          <w:p w:rsidR="00854541" w:rsidRPr="00022D33" w:rsidRDefault="00854541" w:rsidP="00854541">
            <w:pPr>
              <w:pStyle w:val="Tabletext"/>
              <w:keepLines/>
            </w:pPr>
            <w:r w:rsidRPr="00022D33">
              <w:t>Inventories</w:t>
            </w:r>
          </w:p>
        </w:tc>
        <w:tc>
          <w:tcPr>
            <w:tcW w:w="1108" w:type="dxa"/>
            <w:shd w:val="clear" w:color="auto" w:fill="auto"/>
          </w:tcPr>
          <w:p w:rsidR="00854541" w:rsidRPr="00022D33" w:rsidRDefault="00854541" w:rsidP="00854541">
            <w:pPr>
              <w:pStyle w:val="Tabletext"/>
              <w:keepLines/>
              <w:jc w:val="right"/>
            </w:pPr>
          </w:p>
        </w:tc>
        <w:tc>
          <w:tcPr>
            <w:tcW w:w="1188" w:type="dxa"/>
            <w:shd w:val="clear" w:color="auto" w:fill="auto"/>
          </w:tcPr>
          <w:p w:rsidR="00854541" w:rsidRPr="00022D33" w:rsidRDefault="00854541" w:rsidP="00854541">
            <w:pPr>
              <w:pStyle w:val="Tabletext"/>
              <w:keepLines/>
              <w:jc w:val="right"/>
            </w:pPr>
            <w:r w:rsidRPr="00022D33">
              <w:t>-</w:t>
            </w:r>
          </w:p>
        </w:tc>
        <w:tc>
          <w:tcPr>
            <w:tcW w:w="1188" w:type="dxa"/>
            <w:shd w:val="clear" w:color="auto" w:fill="auto"/>
          </w:tcPr>
          <w:p w:rsidR="00854541" w:rsidRPr="00022D33" w:rsidRDefault="00854541" w:rsidP="00854541">
            <w:pPr>
              <w:pStyle w:val="Tabletext"/>
              <w:keepLines/>
              <w:jc w:val="right"/>
            </w:pPr>
            <w:r w:rsidRPr="00022D33">
              <w:t>-</w:t>
            </w:r>
          </w:p>
        </w:tc>
        <w:tc>
          <w:tcPr>
            <w:tcW w:w="1188" w:type="dxa"/>
            <w:shd w:val="clear" w:color="auto" w:fill="auto"/>
          </w:tcPr>
          <w:p w:rsidR="00854541" w:rsidRPr="00022D33" w:rsidRDefault="00854541" w:rsidP="00854541">
            <w:pPr>
              <w:pStyle w:val="Tabletext"/>
              <w:keepLines/>
              <w:jc w:val="right"/>
            </w:pPr>
            <w:r w:rsidRPr="00022D33">
              <w:t>88</w:t>
            </w:r>
          </w:p>
        </w:tc>
        <w:tc>
          <w:tcPr>
            <w:tcW w:w="1175" w:type="dxa"/>
            <w:shd w:val="clear" w:color="auto" w:fill="auto"/>
          </w:tcPr>
          <w:p w:rsidR="00854541" w:rsidRPr="00022D33" w:rsidRDefault="00854541" w:rsidP="00854541">
            <w:pPr>
              <w:pStyle w:val="Tabletext"/>
              <w:keepLines/>
              <w:jc w:val="right"/>
            </w:pPr>
            <w:r w:rsidRPr="00022D33">
              <w:t>-</w:t>
            </w:r>
          </w:p>
        </w:tc>
        <w:tc>
          <w:tcPr>
            <w:tcW w:w="1365" w:type="dxa"/>
            <w:gridSpan w:val="2"/>
            <w:shd w:val="clear" w:color="auto" w:fill="auto"/>
          </w:tcPr>
          <w:p w:rsidR="00854541" w:rsidRPr="00022D33" w:rsidRDefault="00854541" w:rsidP="00854541">
            <w:pPr>
              <w:pStyle w:val="Tabletext"/>
              <w:keepLines/>
              <w:jc w:val="right"/>
            </w:pPr>
            <w:r w:rsidRPr="00022D33">
              <w:t>(88)</w:t>
            </w:r>
          </w:p>
        </w:tc>
      </w:tr>
      <w:tr w:rsidR="00854541" w:rsidRPr="00022D33" w:rsidTr="00854541">
        <w:tc>
          <w:tcPr>
            <w:tcW w:w="2002" w:type="dxa"/>
            <w:shd w:val="clear" w:color="auto" w:fill="auto"/>
          </w:tcPr>
          <w:p w:rsidR="00854541" w:rsidRPr="00022D33" w:rsidRDefault="00854541" w:rsidP="00854541">
            <w:pPr>
              <w:pStyle w:val="Tabletext"/>
              <w:keepLines/>
            </w:pPr>
            <w:r w:rsidRPr="00022D33">
              <w:t>Amounts receivable for services</w:t>
            </w:r>
          </w:p>
        </w:tc>
        <w:tc>
          <w:tcPr>
            <w:tcW w:w="1108" w:type="dxa"/>
            <w:shd w:val="clear" w:color="auto" w:fill="auto"/>
          </w:tcPr>
          <w:p w:rsidR="00854541" w:rsidRPr="00022D33" w:rsidRDefault="00854541" w:rsidP="00854541">
            <w:pPr>
              <w:pStyle w:val="Tabletext"/>
              <w:keepLines/>
              <w:jc w:val="right"/>
            </w:pPr>
          </w:p>
        </w:tc>
        <w:tc>
          <w:tcPr>
            <w:tcW w:w="1188" w:type="dxa"/>
            <w:shd w:val="clear" w:color="auto" w:fill="auto"/>
          </w:tcPr>
          <w:p w:rsidR="00854541" w:rsidRPr="00022D33" w:rsidRDefault="00854541" w:rsidP="00854541">
            <w:pPr>
              <w:pStyle w:val="Tabletext"/>
              <w:keepLines/>
              <w:jc w:val="right"/>
            </w:pPr>
            <w:r w:rsidRPr="00022D33">
              <w:t>2,041</w:t>
            </w:r>
          </w:p>
        </w:tc>
        <w:tc>
          <w:tcPr>
            <w:tcW w:w="1188" w:type="dxa"/>
            <w:shd w:val="clear" w:color="auto" w:fill="auto"/>
          </w:tcPr>
          <w:p w:rsidR="00854541" w:rsidRPr="00022D33" w:rsidRDefault="00854541" w:rsidP="00854541">
            <w:pPr>
              <w:pStyle w:val="Tabletext"/>
              <w:keepLines/>
              <w:jc w:val="right"/>
            </w:pPr>
            <w:r w:rsidRPr="00022D33">
              <w:t>1,531</w:t>
            </w:r>
          </w:p>
        </w:tc>
        <w:tc>
          <w:tcPr>
            <w:tcW w:w="1188" w:type="dxa"/>
            <w:shd w:val="clear" w:color="auto" w:fill="auto"/>
          </w:tcPr>
          <w:p w:rsidR="00854541" w:rsidRPr="00022D33" w:rsidRDefault="00854541" w:rsidP="00854541">
            <w:pPr>
              <w:pStyle w:val="Tabletext"/>
              <w:keepLines/>
              <w:jc w:val="right"/>
            </w:pPr>
            <w:r w:rsidRPr="00022D33">
              <w:t>1,469</w:t>
            </w:r>
          </w:p>
        </w:tc>
        <w:tc>
          <w:tcPr>
            <w:tcW w:w="1175" w:type="dxa"/>
            <w:shd w:val="clear" w:color="auto" w:fill="auto"/>
          </w:tcPr>
          <w:p w:rsidR="00854541" w:rsidRPr="00022D33" w:rsidRDefault="00854541" w:rsidP="00854541">
            <w:pPr>
              <w:pStyle w:val="Tabletext"/>
              <w:keepLines/>
              <w:jc w:val="right"/>
            </w:pPr>
            <w:r w:rsidRPr="00022D33">
              <w:t>(510)</w:t>
            </w:r>
          </w:p>
        </w:tc>
        <w:tc>
          <w:tcPr>
            <w:tcW w:w="1365" w:type="dxa"/>
            <w:gridSpan w:val="2"/>
            <w:shd w:val="clear" w:color="auto" w:fill="auto"/>
          </w:tcPr>
          <w:p w:rsidR="00854541" w:rsidRPr="00022D33" w:rsidRDefault="00854541" w:rsidP="00854541">
            <w:pPr>
              <w:pStyle w:val="Tabletext"/>
              <w:keepLines/>
              <w:jc w:val="right"/>
            </w:pPr>
            <w:r w:rsidRPr="00022D33">
              <w:t>62</w:t>
            </w:r>
          </w:p>
        </w:tc>
      </w:tr>
      <w:tr w:rsidR="00854541" w:rsidRPr="00022D33" w:rsidTr="00854541">
        <w:tc>
          <w:tcPr>
            <w:tcW w:w="2002" w:type="dxa"/>
            <w:shd w:val="clear" w:color="auto" w:fill="auto"/>
          </w:tcPr>
          <w:p w:rsidR="00854541" w:rsidRPr="00022D33" w:rsidRDefault="00854541" w:rsidP="00854541">
            <w:pPr>
              <w:pStyle w:val="Tabletext"/>
              <w:keepLines/>
            </w:pPr>
            <w:r w:rsidRPr="00022D33">
              <w:t>Other current assets</w:t>
            </w:r>
          </w:p>
        </w:tc>
        <w:tc>
          <w:tcPr>
            <w:tcW w:w="1108" w:type="dxa"/>
            <w:shd w:val="clear" w:color="auto" w:fill="auto"/>
          </w:tcPr>
          <w:p w:rsidR="00854541" w:rsidRPr="00022D33" w:rsidRDefault="00854541" w:rsidP="00854541">
            <w:pPr>
              <w:pStyle w:val="Tabletext"/>
              <w:keepLines/>
              <w:jc w:val="right"/>
            </w:pPr>
          </w:p>
        </w:tc>
        <w:tc>
          <w:tcPr>
            <w:tcW w:w="1188" w:type="dxa"/>
            <w:tcBorders>
              <w:bottom w:val="single" w:sz="4" w:space="0" w:color="auto"/>
            </w:tcBorders>
            <w:shd w:val="clear" w:color="auto" w:fill="auto"/>
          </w:tcPr>
          <w:p w:rsidR="00854541" w:rsidRPr="00022D33" w:rsidRDefault="00854541" w:rsidP="00854541">
            <w:pPr>
              <w:pStyle w:val="Tabletext"/>
              <w:keepLines/>
              <w:jc w:val="right"/>
            </w:pPr>
            <w:r w:rsidRPr="00022D33">
              <w:t>23,328</w:t>
            </w:r>
          </w:p>
        </w:tc>
        <w:tc>
          <w:tcPr>
            <w:tcW w:w="1188" w:type="dxa"/>
            <w:tcBorders>
              <w:bottom w:val="single" w:sz="4" w:space="0" w:color="auto"/>
            </w:tcBorders>
            <w:shd w:val="clear" w:color="auto" w:fill="auto"/>
          </w:tcPr>
          <w:p w:rsidR="00854541" w:rsidRPr="00022D33" w:rsidRDefault="00854541" w:rsidP="00854541">
            <w:pPr>
              <w:pStyle w:val="Tabletext"/>
              <w:keepLines/>
              <w:jc w:val="right"/>
            </w:pPr>
            <w:r w:rsidRPr="00022D33">
              <w:t>28,852</w:t>
            </w:r>
          </w:p>
        </w:tc>
        <w:tc>
          <w:tcPr>
            <w:tcW w:w="1188" w:type="dxa"/>
            <w:tcBorders>
              <w:bottom w:val="single" w:sz="4" w:space="0" w:color="auto"/>
            </w:tcBorders>
            <w:shd w:val="clear" w:color="auto" w:fill="auto"/>
          </w:tcPr>
          <w:p w:rsidR="00854541" w:rsidRPr="00022D33" w:rsidRDefault="00854541" w:rsidP="00854541">
            <w:pPr>
              <w:pStyle w:val="Tabletext"/>
              <w:keepLines/>
              <w:jc w:val="right"/>
            </w:pPr>
            <w:r w:rsidRPr="00022D33">
              <w:t>25,565</w:t>
            </w:r>
          </w:p>
        </w:tc>
        <w:tc>
          <w:tcPr>
            <w:tcW w:w="1175" w:type="dxa"/>
            <w:tcBorders>
              <w:bottom w:val="single" w:sz="4" w:space="0" w:color="auto"/>
            </w:tcBorders>
            <w:shd w:val="clear" w:color="auto" w:fill="auto"/>
          </w:tcPr>
          <w:p w:rsidR="00854541" w:rsidRPr="00022D33" w:rsidRDefault="00854541" w:rsidP="00854541">
            <w:pPr>
              <w:pStyle w:val="Tabletext"/>
              <w:keepLines/>
              <w:jc w:val="right"/>
            </w:pPr>
            <w:r w:rsidRPr="00022D33">
              <w:t>5,524</w:t>
            </w:r>
          </w:p>
        </w:tc>
        <w:tc>
          <w:tcPr>
            <w:tcW w:w="1365" w:type="dxa"/>
            <w:gridSpan w:val="2"/>
            <w:tcBorders>
              <w:bottom w:val="single" w:sz="4" w:space="0" w:color="auto"/>
            </w:tcBorders>
            <w:shd w:val="clear" w:color="auto" w:fill="auto"/>
          </w:tcPr>
          <w:p w:rsidR="00854541" w:rsidRPr="00022D33" w:rsidRDefault="00854541" w:rsidP="00854541">
            <w:pPr>
              <w:pStyle w:val="Tabletext"/>
              <w:keepLines/>
              <w:jc w:val="right"/>
            </w:pPr>
            <w:r w:rsidRPr="00022D33">
              <w:t>3,287</w:t>
            </w:r>
          </w:p>
        </w:tc>
      </w:tr>
      <w:tr w:rsidR="00854541" w:rsidRPr="00022D33" w:rsidTr="00854541">
        <w:tc>
          <w:tcPr>
            <w:tcW w:w="2002" w:type="dxa"/>
            <w:shd w:val="clear" w:color="auto" w:fill="auto"/>
          </w:tcPr>
          <w:p w:rsidR="00854541" w:rsidRPr="00022D33" w:rsidRDefault="00854541" w:rsidP="00854541">
            <w:pPr>
              <w:pStyle w:val="Tabletext"/>
              <w:keepLines/>
              <w:rPr>
                <w:b/>
              </w:rPr>
            </w:pPr>
            <w:r w:rsidRPr="00022D33">
              <w:rPr>
                <w:b/>
              </w:rPr>
              <w:t>Total current assets</w:t>
            </w:r>
          </w:p>
        </w:tc>
        <w:tc>
          <w:tcPr>
            <w:tcW w:w="1108" w:type="dxa"/>
            <w:shd w:val="clear" w:color="auto" w:fill="auto"/>
          </w:tcPr>
          <w:p w:rsidR="00854541" w:rsidRPr="00022D33" w:rsidRDefault="00854541" w:rsidP="00854541">
            <w:pPr>
              <w:pStyle w:val="Tabletext"/>
              <w:keepLines/>
              <w:jc w:val="right"/>
              <w:rPr>
                <w:b/>
              </w:rPr>
            </w:pPr>
          </w:p>
        </w:tc>
        <w:tc>
          <w:tcPr>
            <w:tcW w:w="1188" w:type="dxa"/>
            <w:tcBorders>
              <w:top w:val="single" w:sz="4" w:space="0" w:color="auto"/>
              <w:bottom w:val="single" w:sz="4" w:space="0" w:color="auto"/>
            </w:tcBorders>
            <w:shd w:val="clear" w:color="auto" w:fill="auto"/>
          </w:tcPr>
          <w:p w:rsidR="00854541" w:rsidRPr="00022D33" w:rsidRDefault="00854541" w:rsidP="00854541">
            <w:pPr>
              <w:pStyle w:val="Tabletext"/>
              <w:keepLines/>
              <w:jc w:val="right"/>
              <w:rPr>
                <w:b/>
              </w:rPr>
            </w:pPr>
            <w:r w:rsidRPr="00022D33">
              <w:rPr>
                <w:b/>
              </w:rPr>
              <w:t>513,410</w:t>
            </w:r>
          </w:p>
        </w:tc>
        <w:tc>
          <w:tcPr>
            <w:tcW w:w="1188" w:type="dxa"/>
            <w:tcBorders>
              <w:top w:val="single" w:sz="4" w:space="0" w:color="auto"/>
              <w:bottom w:val="single" w:sz="4" w:space="0" w:color="auto"/>
            </w:tcBorders>
            <w:shd w:val="clear" w:color="auto" w:fill="auto"/>
          </w:tcPr>
          <w:p w:rsidR="00854541" w:rsidRPr="00022D33" w:rsidRDefault="00854541" w:rsidP="00854541">
            <w:pPr>
              <w:pStyle w:val="Tabletext"/>
              <w:keepLines/>
              <w:jc w:val="right"/>
              <w:rPr>
                <w:b/>
              </w:rPr>
            </w:pPr>
            <w:r w:rsidRPr="00022D33">
              <w:rPr>
                <w:b/>
              </w:rPr>
              <w:t>438,232</w:t>
            </w:r>
          </w:p>
        </w:tc>
        <w:tc>
          <w:tcPr>
            <w:tcW w:w="1188" w:type="dxa"/>
            <w:tcBorders>
              <w:top w:val="single" w:sz="4" w:space="0" w:color="auto"/>
              <w:bottom w:val="single" w:sz="4" w:space="0" w:color="auto"/>
            </w:tcBorders>
            <w:shd w:val="clear" w:color="auto" w:fill="auto"/>
          </w:tcPr>
          <w:p w:rsidR="00854541" w:rsidRPr="00022D33" w:rsidRDefault="00854541" w:rsidP="00854541">
            <w:pPr>
              <w:pStyle w:val="Tabletext"/>
              <w:keepLines/>
              <w:jc w:val="right"/>
              <w:rPr>
                <w:b/>
              </w:rPr>
            </w:pPr>
            <w:r w:rsidRPr="00022D33">
              <w:rPr>
                <w:b/>
              </w:rPr>
              <w:t>406,985</w:t>
            </w:r>
          </w:p>
        </w:tc>
        <w:tc>
          <w:tcPr>
            <w:tcW w:w="1175" w:type="dxa"/>
            <w:tcBorders>
              <w:top w:val="single" w:sz="4" w:space="0" w:color="auto"/>
              <w:bottom w:val="single" w:sz="4" w:space="0" w:color="auto"/>
            </w:tcBorders>
            <w:shd w:val="clear" w:color="auto" w:fill="auto"/>
          </w:tcPr>
          <w:p w:rsidR="00854541" w:rsidRPr="00022D33" w:rsidRDefault="00854541" w:rsidP="00854541">
            <w:pPr>
              <w:pStyle w:val="Tabletext"/>
              <w:keepLines/>
              <w:jc w:val="right"/>
              <w:rPr>
                <w:b/>
              </w:rPr>
            </w:pPr>
            <w:r w:rsidRPr="00022D33">
              <w:rPr>
                <w:b/>
              </w:rPr>
              <w:t>(75,178)</w:t>
            </w:r>
          </w:p>
        </w:tc>
        <w:tc>
          <w:tcPr>
            <w:tcW w:w="1365" w:type="dxa"/>
            <w:gridSpan w:val="2"/>
            <w:tcBorders>
              <w:top w:val="single" w:sz="4" w:space="0" w:color="auto"/>
              <w:bottom w:val="single" w:sz="4" w:space="0" w:color="auto"/>
            </w:tcBorders>
            <w:shd w:val="clear" w:color="auto" w:fill="auto"/>
          </w:tcPr>
          <w:p w:rsidR="00854541" w:rsidRPr="00022D33" w:rsidRDefault="00854541" w:rsidP="00854541">
            <w:pPr>
              <w:pStyle w:val="Tabletext"/>
              <w:keepLines/>
              <w:jc w:val="right"/>
              <w:rPr>
                <w:b/>
              </w:rPr>
            </w:pPr>
            <w:r w:rsidRPr="00022D33">
              <w:rPr>
                <w:b/>
              </w:rPr>
              <w:t>31,247</w:t>
            </w:r>
          </w:p>
        </w:tc>
      </w:tr>
      <w:tr w:rsidR="00854541" w:rsidRPr="00022D33" w:rsidTr="00854541">
        <w:tc>
          <w:tcPr>
            <w:tcW w:w="9214" w:type="dxa"/>
            <w:gridSpan w:val="8"/>
            <w:shd w:val="clear" w:color="auto" w:fill="auto"/>
          </w:tcPr>
          <w:p w:rsidR="00854541" w:rsidRPr="00022D33" w:rsidRDefault="00854541" w:rsidP="00854541">
            <w:pPr>
              <w:pStyle w:val="Tabletext"/>
              <w:keepLines/>
              <w:rPr>
                <w:u w:val="single"/>
              </w:rPr>
            </w:pPr>
            <w:r w:rsidRPr="00022D33">
              <w:rPr>
                <w:u w:val="single"/>
              </w:rPr>
              <w:t>Non-current assets</w:t>
            </w:r>
          </w:p>
        </w:tc>
      </w:tr>
      <w:tr w:rsidR="00854541" w:rsidRPr="00022D33" w:rsidTr="00854541">
        <w:tc>
          <w:tcPr>
            <w:tcW w:w="2002" w:type="dxa"/>
            <w:shd w:val="clear" w:color="auto" w:fill="auto"/>
          </w:tcPr>
          <w:p w:rsidR="00854541" w:rsidRPr="00022D33" w:rsidRDefault="00854541" w:rsidP="00854541">
            <w:pPr>
              <w:pStyle w:val="Tabletext"/>
              <w:keepLines/>
            </w:pPr>
            <w:r w:rsidRPr="00022D33">
              <w:t>Finance lease receivables</w:t>
            </w:r>
          </w:p>
        </w:tc>
        <w:tc>
          <w:tcPr>
            <w:tcW w:w="1108" w:type="dxa"/>
            <w:shd w:val="clear" w:color="auto" w:fill="auto"/>
          </w:tcPr>
          <w:p w:rsidR="00854541" w:rsidRPr="00022D33" w:rsidRDefault="00854541" w:rsidP="00854541">
            <w:pPr>
              <w:pStyle w:val="Tabletext"/>
              <w:keepLines/>
              <w:jc w:val="right"/>
            </w:pPr>
          </w:p>
        </w:tc>
        <w:tc>
          <w:tcPr>
            <w:tcW w:w="1188" w:type="dxa"/>
            <w:shd w:val="clear" w:color="auto" w:fill="auto"/>
          </w:tcPr>
          <w:p w:rsidR="00854541" w:rsidRPr="00022D33" w:rsidRDefault="00854541" w:rsidP="00854541">
            <w:pPr>
              <w:pStyle w:val="Tabletext"/>
              <w:keepLines/>
              <w:jc w:val="right"/>
            </w:pPr>
            <w:r w:rsidRPr="00022D33">
              <w:t>3,118</w:t>
            </w:r>
          </w:p>
        </w:tc>
        <w:tc>
          <w:tcPr>
            <w:tcW w:w="1188" w:type="dxa"/>
            <w:shd w:val="clear" w:color="auto" w:fill="auto"/>
          </w:tcPr>
          <w:p w:rsidR="00854541" w:rsidRPr="00022D33" w:rsidRDefault="00854541" w:rsidP="00854541">
            <w:pPr>
              <w:pStyle w:val="Tabletext"/>
              <w:keepLines/>
              <w:jc w:val="right"/>
            </w:pPr>
            <w:r w:rsidRPr="00022D33">
              <w:t>1,214</w:t>
            </w:r>
          </w:p>
        </w:tc>
        <w:tc>
          <w:tcPr>
            <w:tcW w:w="1188" w:type="dxa"/>
            <w:shd w:val="clear" w:color="auto" w:fill="auto"/>
          </w:tcPr>
          <w:p w:rsidR="00854541" w:rsidRPr="00022D33" w:rsidRDefault="00854541" w:rsidP="00854541">
            <w:pPr>
              <w:pStyle w:val="Tabletext"/>
              <w:keepLines/>
              <w:jc w:val="right"/>
            </w:pPr>
            <w:r w:rsidRPr="00022D33">
              <w:t>1,588</w:t>
            </w:r>
          </w:p>
        </w:tc>
        <w:tc>
          <w:tcPr>
            <w:tcW w:w="1175" w:type="dxa"/>
            <w:shd w:val="clear" w:color="auto" w:fill="auto"/>
          </w:tcPr>
          <w:p w:rsidR="00854541" w:rsidRPr="00022D33" w:rsidRDefault="00854541" w:rsidP="00854541">
            <w:pPr>
              <w:pStyle w:val="Tabletext"/>
              <w:keepLines/>
              <w:jc w:val="right"/>
            </w:pPr>
            <w:r w:rsidRPr="00022D33">
              <w:t>(1,904)</w:t>
            </w:r>
          </w:p>
        </w:tc>
        <w:tc>
          <w:tcPr>
            <w:tcW w:w="1365" w:type="dxa"/>
            <w:gridSpan w:val="2"/>
            <w:shd w:val="clear" w:color="auto" w:fill="auto"/>
          </w:tcPr>
          <w:p w:rsidR="00854541" w:rsidRPr="00022D33" w:rsidRDefault="00854541" w:rsidP="00854541">
            <w:pPr>
              <w:pStyle w:val="Tabletext"/>
              <w:keepLines/>
              <w:jc w:val="right"/>
            </w:pPr>
            <w:r w:rsidRPr="00022D33">
              <w:t>(374)</w:t>
            </w:r>
          </w:p>
        </w:tc>
      </w:tr>
      <w:tr w:rsidR="00854541" w:rsidRPr="00022D33" w:rsidTr="00854541">
        <w:tc>
          <w:tcPr>
            <w:tcW w:w="2002" w:type="dxa"/>
            <w:shd w:val="clear" w:color="auto" w:fill="auto"/>
          </w:tcPr>
          <w:p w:rsidR="00854541" w:rsidRPr="00022D33" w:rsidRDefault="00854541" w:rsidP="00854541">
            <w:pPr>
              <w:pStyle w:val="Tabletext"/>
              <w:keepLines/>
            </w:pPr>
            <w:r w:rsidRPr="00022D33">
              <w:t>Amounts receivable for services</w:t>
            </w:r>
          </w:p>
        </w:tc>
        <w:tc>
          <w:tcPr>
            <w:tcW w:w="1108" w:type="dxa"/>
            <w:shd w:val="clear" w:color="auto" w:fill="auto"/>
          </w:tcPr>
          <w:p w:rsidR="00854541" w:rsidRPr="00022D33" w:rsidRDefault="00854541" w:rsidP="00854541">
            <w:pPr>
              <w:pStyle w:val="Tabletext"/>
              <w:keepLines/>
              <w:jc w:val="right"/>
            </w:pPr>
            <w:r>
              <w:t>A</w:t>
            </w:r>
          </w:p>
        </w:tc>
        <w:tc>
          <w:tcPr>
            <w:tcW w:w="1188" w:type="dxa"/>
            <w:shd w:val="clear" w:color="auto" w:fill="auto"/>
          </w:tcPr>
          <w:p w:rsidR="00854541" w:rsidRPr="00022D33" w:rsidRDefault="00854541" w:rsidP="00854541">
            <w:pPr>
              <w:pStyle w:val="Tabletext"/>
              <w:keepLines/>
              <w:jc w:val="right"/>
            </w:pPr>
            <w:r w:rsidRPr="00022D33">
              <w:t>432,173</w:t>
            </w:r>
          </w:p>
        </w:tc>
        <w:tc>
          <w:tcPr>
            <w:tcW w:w="1188" w:type="dxa"/>
            <w:shd w:val="clear" w:color="auto" w:fill="auto"/>
          </w:tcPr>
          <w:p w:rsidR="00854541" w:rsidRPr="00022D33" w:rsidRDefault="00854541" w:rsidP="00854541">
            <w:pPr>
              <w:pStyle w:val="Tabletext"/>
              <w:keepLines/>
              <w:jc w:val="right"/>
            </w:pPr>
            <w:r w:rsidRPr="00022D33">
              <w:t>410,183</w:t>
            </w:r>
          </w:p>
        </w:tc>
        <w:tc>
          <w:tcPr>
            <w:tcW w:w="1188" w:type="dxa"/>
            <w:shd w:val="clear" w:color="auto" w:fill="auto"/>
          </w:tcPr>
          <w:p w:rsidR="00854541" w:rsidRPr="00022D33" w:rsidRDefault="00854541" w:rsidP="00854541">
            <w:pPr>
              <w:pStyle w:val="Tabletext"/>
              <w:keepLines/>
              <w:jc w:val="right"/>
            </w:pPr>
            <w:r w:rsidRPr="00022D33">
              <w:t>380,682</w:t>
            </w:r>
          </w:p>
        </w:tc>
        <w:tc>
          <w:tcPr>
            <w:tcW w:w="1175" w:type="dxa"/>
            <w:shd w:val="clear" w:color="auto" w:fill="auto"/>
          </w:tcPr>
          <w:p w:rsidR="00854541" w:rsidRPr="00022D33" w:rsidRDefault="00854541" w:rsidP="00854541">
            <w:pPr>
              <w:pStyle w:val="Tabletext"/>
              <w:keepLines/>
              <w:jc w:val="right"/>
            </w:pPr>
            <w:r w:rsidRPr="00022D33">
              <w:t>(21,990)</w:t>
            </w:r>
          </w:p>
        </w:tc>
        <w:tc>
          <w:tcPr>
            <w:tcW w:w="1365" w:type="dxa"/>
            <w:gridSpan w:val="2"/>
            <w:shd w:val="clear" w:color="auto" w:fill="auto"/>
          </w:tcPr>
          <w:p w:rsidR="00854541" w:rsidRPr="00022D33" w:rsidRDefault="00854541" w:rsidP="00854541">
            <w:pPr>
              <w:pStyle w:val="Tabletext"/>
              <w:keepLines/>
              <w:jc w:val="right"/>
            </w:pPr>
            <w:r w:rsidRPr="00022D33">
              <w:t>29,501</w:t>
            </w:r>
          </w:p>
        </w:tc>
      </w:tr>
      <w:tr w:rsidR="00854541" w:rsidRPr="00022D33" w:rsidTr="00854541">
        <w:tc>
          <w:tcPr>
            <w:tcW w:w="2002" w:type="dxa"/>
            <w:shd w:val="clear" w:color="auto" w:fill="auto"/>
          </w:tcPr>
          <w:p w:rsidR="00854541" w:rsidRPr="00022D33" w:rsidRDefault="00854541" w:rsidP="00854541">
            <w:pPr>
              <w:pStyle w:val="Tabletext"/>
              <w:keepLines/>
            </w:pPr>
            <w:r w:rsidRPr="00022D33">
              <w:t>Property, plant equipment and vehicles</w:t>
            </w:r>
          </w:p>
        </w:tc>
        <w:tc>
          <w:tcPr>
            <w:tcW w:w="1108" w:type="dxa"/>
            <w:shd w:val="clear" w:color="auto" w:fill="auto"/>
          </w:tcPr>
          <w:p w:rsidR="00854541" w:rsidRPr="00022D33" w:rsidRDefault="00854541" w:rsidP="00854541">
            <w:pPr>
              <w:pStyle w:val="Tabletext"/>
              <w:keepLines/>
              <w:jc w:val="right"/>
            </w:pPr>
            <w:r w:rsidRPr="00022D33">
              <w:t>1,B</w:t>
            </w:r>
          </w:p>
        </w:tc>
        <w:tc>
          <w:tcPr>
            <w:tcW w:w="1188" w:type="dxa"/>
            <w:shd w:val="clear" w:color="auto" w:fill="auto"/>
          </w:tcPr>
          <w:p w:rsidR="00854541" w:rsidRPr="00022D33" w:rsidRDefault="00854541" w:rsidP="00854541">
            <w:pPr>
              <w:pStyle w:val="Tabletext"/>
              <w:keepLines/>
              <w:jc w:val="right"/>
            </w:pPr>
            <w:r w:rsidRPr="00022D33">
              <w:t>841,176</w:t>
            </w:r>
          </w:p>
        </w:tc>
        <w:tc>
          <w:tcPr>
            <w:tcW w:w="1188" w:type="dxa"/>
            <w:shd w:val="clear" w:color="auto" w:fill="auto"/>
          </w:tcPr>
          <w:p w:rsidR="00854541" w:rsidRPr="00022D33" w:rsidRDefault="00854541" w:rsidP="00854541">
            <w:pPr>
              <w:pStyle w:val="Tabletext"/>
              <w:keepLines/>
              <w:jc w:val="right"/>
            </w:pPr>
            <w:r w:rsidRPr="00022D33">
              <w:t>753,834</w:t>
            </w:r>
          </w:p>
        </w:tc>
        <w:tc>
          <w:tcPr>
            <w:tcW w:w="1188" w:type="dxa"/>
            <w:shd w:val="clear" w:color="auto" w:fill="auto"/>
          </w:tcPr>
          <w:p w:rsidR="00854541" w:rsidRPr="00022D33" w:rsidRDefault="00854541" w:rsidP="00854541">
            <w:pPr>
              <w:pStyle w:val="Tabletext"/>
              <w:keepLines/>
              <w:jc w:val="right"/>
            </w:pPr>
            <w:r w:rsidRPr="00022D33">
              <w:t>804,702</w:t>
            </w:r>
          </w:p>
        </w:tc>
        <w:tc>
          <w:tcPr>
            <w:tcW w:w="1175" w:type="dxa"/>
            <w:shd w:val="clear" w:color="auto" w:fill="auto"/>
          </w:tcPr>
          <w:p w:rsidR="00854541" w:rsidRPr="00022D33" w:rsidRDefault="00854541" w:rsidP="00854541">
            <w:pPr>
              <w:pStyle w:val="Tabletext"/>
              <w:keepLines/>
              <w:jc w:val="right"/>
            </w:pPr>
            <w:r w:rsidRPr="00022D33">
              <w:t>(87,342)</w:t>
            </w:r>
          </w:p>
        </w:tc>
        <w:tc>
          <w:tcPr>
            <w:tcW w:w="1365" w:type="dxa"/>
            <w:gridSpan w:val="2"/>
            <w:shd w:val="clear" w:color="auto" w:fill="auto"/>
          </w:tcPr>
          <w:p w:rsidR="00854541" w:rsidRPr="00022D33" w:rsidRDefault="00854541" w:rsidP="00854541">
            <w:pPr>
              <w:pStyle w:val="Tabletext"/>
              <w:keepLines/>
              <w:jc w:val="right"/>
            </w:pPr>
            <w:r w:rsidRPr="00022D33">
              <w:t>(50,868)</w:t>
            </w:r>
          </w:p>
        </w:tc>
      </w:tr>
      <w:tr w:rsidR="00854541" w:rsidRPr="00022D33" w:rsidTr="00854541">
        <w:tc>
          <w:tcPr>
            <w:tcW w:w="2002" w:type="dxa"/>
            <w:shd w:val="clear" w:color="auto" w:fill="auto"/>
          </w:tcPr>
          <w:p w:rsidR="00854541" w:rsidRPr="00022D33" w:rsidRDefault="00854541" w:rsidP="00854541">
            <w:pPr>
              <w:pStyle w:val="Tabletext"/>
              <w:keepLines/>
            </w:pPr>
            <w:r w:rsidRPr="00022D33">
              <w:t>Intangible assets</w:t>
            </w:r>
          </w:p>
        </w:tc>
        <w:tc>
          <w:tcPr>
            <w:tcW w:w="1108" w:type="dxa"/>
            <w:shd w:val="clear" w:color="auto" w:fill="auto"/>
          </w:tcPr>
          <w:p w:rsidR="00854541" w:rsidRPr="00022D33" w:rsidRDefault="00854541" w:rsidP="00854541">
            <w:pPr>
              <w:pStyle w:val="Tabletext"/>
              <w:keepLines/>
              <w:jc w:val="right"/>
            </w:pPr>
          </w:p>
        </w:tc>
        <w:tc>
          <w:tcPr>
            <w:tcW w:w="1188" w:type="dxa"/>
            <w:shd w:val="clear" w:color="auto" w:fill="auto"/>
          </w:tcPr>
          <w:p w:rsidR="00854541" w:rsidRPr="00022D33" w:rsidRDefault="00854541" w:rsidP="00854541">
            <w:pPr>
              <w:pStyle w:val="Tabletext"/>
              <w:keepLines/>
              <w:jc w:val="right"/>
            </w:pPr>
            <w:r w:rsidRPr="00022D33">
              <w:t>22,701</w:t>
            </w:r>
          </w:p>
        </w:tc>
        <w:tc>
          <w:tcPr>
            <w:tcW w:w="1188" w:type="dxa"/>
            <w:shd w:val="clear" w:color="auto" w:fill="auto"/>
          </w:tcPr>
          <w:p w:rsidR="00854541" w:rsidRPr="00022D33" w:rsidRDefault="00854541" w:rsidP="00854541">
            <w:pPr>
              <w:pStyle w:val="Tabletext"/>
              <w:keepLines/>
              <w:jc w:val="right"/>
            </w:pPr>
            <w:r w:rsidRPr="00022D33">
              <w:t>29,516</w:t>
            </w:r>
          </w:p>
        </w:tc>
        <w:tc>
          <w:tcPr>
            <w:tcW w:w="1188" w:type="dxa"/>
            <w:shd w:val="clear" w:color="auto" w:fill="auto"/>
          </w:tcPr>
          <w:p w:rsidR="00854541" w:rsidRPr="00022D33" w:rsidRDefault="00854541" w:rsidP="00854541">
            <w:pPr>
              <w:pStyle w:val="Tabletext"/>
              <w:keepLines/>
              <w:jc w:val="right"/>
            </w:pPr>
            <w:r w:rsidRPr="00022D33">
              <w:t>30,385</w:t>
            </w:r>
          </w:p>
        </w:tc>
        <w:tc>
          <w:tcPr>
            <w:tcW w:w="1175" w:type="dxa"/>
            <w:shd w:val="clear" w:color="auto" w:fill="auto"/>
          </w:tcPr>
          <w:p w:rsidR="00854541" w:rsidRPr="00022D33" w:rsidRDefault="00854541" w:rsidP="00854541">
            <w:pPr>
              <w:pStyle w:val="Tabletext"/>
              <w:keepLines/>
              <w:jc w:val="right"/>
            </w:pPr>
            <w:r w:rsidRPr="00022D33">
              <w:t>6,815</w:t>
            </w:r>
          </w:p>
        </w:tc>
        <w:tc>
          <w:tcPr>
            <w:tcW w:w="1365" w:type="dxa"/>
            <w:gridSpan w:val="2"/>
            <w:shd w:val="clear" w:color="auto" w:fill="auto"/>
          </w:tcPr>
          <w:p w:rsidR="00854541" w:rsidRPr="00022D33" w:rsidRDefault="00854541" w:rsidP="00854541">
            <w:pPr>
              <w:pStyle w:val="Tabletext"/>
              <w:keepLines/>
              <w:jc w:val="right"/>
            </w:pPr>
            <w:r w:rsidRPr="00022D33">
              <w:t>(869)</w:t>
            </w:r>
          </w:p>
        </w:tc>
      </w:tr>
      <w:tr w:rsidR="00854541" w:rsidRPr="00022D33" w:rsidTr="00854541">
        <w:tc>
          <w:tcPr>
            <w:tcW w:w="2002" w:type="dxa"/>
            <w:shd w:val="clear" w:color="auto" w:fill="auto"/>
          </w:tcPr>
          <w:p w:rsidR="00854541" w:rsidRPr="00022D33" w:rsidRDefault="00854541" w:rsidP="00854541">
            <w:pPr>
              <w:pStyle w:val="Tabletext"/>
              <w:keepLines/>
            </w:pPr>
            <w:r w:rsidRPr="00022D33">
              <w:t>Other non-current assets</w:t>
            </w:r>
          </w:p>
        </w:tc>
        <w:tc>
          <w:tcPr>
            <w:tcW w:w="1108" w:type="dxa"/>
            <w:shd w:val="clear" w:color="auto" w:fill="auto"/>
          </w:tcPr>
          <w:p w:rsidR="00854541" w:rsidRPr="00022D33" w:rsidRDefault="00854541" w:rsidP="00854541">
            <w:pPr>
              <w:pStyle w:val="Tabletext"/>
              <w:keepLines/>
              <w:jc w:val="right"/>
            </w:pPr>
          </w:p>
        </w:tc>
        <w:tc>
          <w:tcPr>
            <w:tcW w:w="1188" w:type="dxa"/>
            <w:shd w:val="clear" w:color="auto" w:fill="auto"/>
          </w:tcPr>
          <w:p w:rsidR="00854541" w:rsidRPr="00022D33" w:rsidRDefault="00854541" w:rsidP="00854541">
            <w:pPr>
              <w:pStyle w:val="Tabletext"/>
              <w:keepLines/>
              <w:jc w:val="right"/>
            </w:pPr>
            <w:r w:rsidRPr="00022D33">
              <w:t>13</w:t>
            </w:r>
          </w:p>
        </w:tc>
        <w:tc>
          <w:tcPr>
            <w:tcW w:w="1188" w:type="dxa"/>
            <w:shd w:val="clear" w:color="auto" w:fill="auto"/>
          </w:tcPr>
          <w:p w:rsidR="00854541" w:rsidRPr="00022D33" w:rsidRDefault="00854541" w:rsidP="00854541">
            <w:pPr>
              <w:pStyle w:val="Tabletext"/>
              <w:keepLines/>
              <w:jc w:val="right"/>
            </w:pPr>
            <w:r w:rsidRPr="00022D33">
              <w:t>2,129</w:t>
            </w:r>
          </w:p>
        </w:tc>
        <w:tc>
          <w:tcPr>
            <w:tcW w:w="1188" w:type="dxa"/>
            <w:shd w:val="clear" w:color="auto" w:fill="auto"/>
          </w:tcPr>
          <w:p w:rsidR="00854541" w:rsidRPr="00022D33" w:rsidRDefault="00854541" w:rsidP="00854541">
            <w:pPr>
              <w:pStyle w:val="Tabletext"/>
              <w:keepLines/>
              <w:jc w:val="right"/>
            </w:pPr>
            <w:r w:rsidRPr="00022D33">
              <w:t>1,170</w:t>
            </w:r>
          </w:p>
        </w:tc>
        <w:tc>
          <w:tcPr>
            <w:tcW w:w="1175" w:type="dxa"/>
            <w:shd w:val="clear" w:color="auto" w:fill="auto"/>
          </w:tcPr>
          <w:p w:rsidR="00854541" w:rsidRPr="00022D33" w:rsidRDefault="00854541" w:rsidP="00854541">
            <w:pPr>
              <w:pStyle w:val="Tabletext"/>
              <w:keepLines/>
              <w:jc w:val="right"/>
            </w:pPr>
            <w:r w:rsidRPr="00022D33">
              <w:t>2,116</w:t>
            </w:r>
          </w:p>
        </w:tc>
        <w:tc>
          <w:tcPr>
            <w:tcW w:w="1365" w:type="dxa"/>
            <w:gridSpan w:val="2"/>
            <w:shd w:val="clear" w:color="auto" w:fill="auto"/>
          </w:tcPr>
          <w:p w:rsidR="00854541" w:rsidRPr="00022D33" w:rsidRDefault="00854541" w:rsidP="00854541">
            <w:pPr>
              <w:pStyle w:val="Tabletext"/>
              <w:keepLines/>
              <w:jc w:val="right"/>
            </w:pPr>
            <w:r w:rsidRPr="00022D33">
              <w:t>959</w:t>
            </w:r>
          </w:p>
        </w:tc>
      </w:tr>
      <w:tr w:rsidR="00854541" w:rsidRPr="00022D33" w:rsidTr="00854541">
        <w:tc>
          <w:tcPr>
            <w:tcW w:w="2002" w:type="dxa"/>
            <w:shd w:val="clear" w:color="auto" w:fill="auto"/>
          </w:tcPr>
          <w:p w:rsidR="00854541" w:rsidRPr="00022D33" w:rsidRDefault="00854541" w:rsidP="00854541">
            <w:pPr>
              <w:pStyle w:val="Tabletext"/>
              <w:keepLines/>
              <w:rPr>
                <w:b/>
              </w:rPr>
            </w:pPr>
            <w:r w:rsidRPr="00022D33">
              <w:rPr>
                <w:b/>
              </w:rPr>
              <w:t>Total non-current assets</w:t>
            </w:r>
          </w:p>
        </w:tc>
        <w:tc>
          <w:tcPr>
            <w:tcW w:w="1108" w:type="dxa"/>
            <w:shd w:val="clear" w:color="auto" w:fill="auto"/>
          </w:tcPr>
          <w:p w:rsidR="00854541" w:rsidRPr="00022D33" w:rsidRDefault="00854541" w:rsidP="00854541">
            <w:pPr>
              <w:pStyle w:val="Tabletext"/>
              <w:keepLines/>
              <w:jc w:val="right"/>
            </w:pPr>
          </w:p>
        </w:tc>
        <w:tc>
          <w:tcPr>
            <w:tcW w:w="1188" w:type="dxa"/>
            <w:tcBorders>
              <w:top w:val="single" w:sz="4" w:space="0" w:color="auto"/>
              <w:bottom w:val="single" w:sz="4" w:space="0" w:color="auto"/>
            </w:tcBorders>
            <w:shd w:val="clear" w:color="auto" w:fill="auto"/>
          </w:tcPr>
          <w:p w:rsidR="00854541" w:rsidRPr="00022D33" w:rsidRDefault="00854541" w:rsidP="00854541">
            <w:pPr>
              <w:pStyle w:val="Tabletext"/>
              <w:keepLines/>
              <w:jc w:val="right"/>
              <w:rPr>
                <w:b/>
              </w:rPr>
            </w:pPr>
            <w:r w:rsidRPr="00022D33">
              <w:rPr>
                <w:b/>
              </w:rPr>
              <w:t>1,299,181</w:t>
            </w:r>
          </w:p>
        </w:tc>
        <w:tc>
          <w:tcPr>
            <w:tcW w:w="1188" w:type="dxa"/>
            <w:tcBorders>
              <w:top w:val="single" w:sz="4" w:space="0" w:color="auto"/>
              <w:bottom w:val="single" w:sz="4" w:space="0" w:color="auto"/>
            </w:tcBorders>
            <w:shd w:val="clear" w:color="auto" w:fill="auto"/>
          </w:tcPr>
          <w:p w:rsidR="00854541" w:rsidRPr="00022D33" w:rsidRDefault="00854541" w:rsidP="00854541">
            <w:pPr>
              <w:pStyle w:val="Tabletext"/>
              <w:keepLines/>
              <w:jc w:val="right"/>
              <w:rPr>
                <w:b/>
              </w:rPr>
            </w:pPr>
            <w:r w:rsidRPr="00022D33">
              <w:rPr>
                <w:b/>
              </w:rPr>
              <w:t>1,196,876</w:t>
            </w:r>
          </w:p>
        </w:tc>
        <w:tc>
          <w:tcPr>
            <w:tcW w:w="1188" w:type="dxa"/>
            <w:tcBorders>
              <w:top w:val="single" w:sz="4" w:space="0" w:color="auto"/>
              <w:bottom w:val="single" w:sz="4" w:space="0" w:color="auto"/>
            </w:tcBorders>
            <w:shd w:val="clear" w:color="auto" w:fill="auto"/>
          </w:tcPr>
          <w:p w:rsidR="00854541" w:rsidRPr="00022D33" w:rsidRDefault="00854541" w:rsidP="00854541">
            <w:pPr>
              <w:pStyle w:val="Tabletext"/>
              <w:keepLines/>
              <w:jc w:val="right"/>
              <w:rPr>
                <w:b/>
              </w:rPr>
            </w:pPr>
            <w:r w:rsidRPr="00022D33">
              <w:rPr>
                <w:b/>
              </w:rPr>
              <w:t>1,218,527</w:t>
            </w:r>
          </w:p>
        </w:tc>
        <w:tc>
          <w:tcPr>
            <w:tcW w:w="1175" w:type="dxa"/>
            <w:tcBorders>
              <w:top w:val="single" w:sz="4" w:space="0" w:color="auto"/>
              <w:bottom w:val="single" w:sz="4" w:space="0" w:color="auto"/>
            </w:tcBorders>
            <w:shd w:val="clear" w:color="auto" w:fill="auto"/>
          </w:tcPr>
          <w:p w:rsidR="00854541" w:rsidRPr="00022D33" w:rsidRDefault="00854541" w:rsidP="00854541">
            <w:pPr>
              <w:pStyle w:val="Tabletext"/>
              <w:keepLines/>
              <w:jc w:val="right"/>
              <w:rPr>
                <w:b/>
              </w:rPr>
            </w:pPr>
            <w:r w:rsidRPr="00022D33">
              <w:rPr>
                <w:b/>
              </w:rPr>
              <w:t>(102,305)</w:t>
            </w:r>
          </w:p>
        </w:tc>
        <w:tc>
          <w:tcPr>
            <w:tcW w:w="1365" w:type="dxa"/>
            <w:gridSpan w:val="2"/>
            <w:tcBorders>
              <w:top w:val="single" w:sz="4" w:space="0" w:color="auto"/>
              <w:bottom w:val="single" w:sz="4" w:space="0" w:color="auto"/>
            </w:tcBorders>
            <w:shd w:val="clear" w:color="auto" w:fill="auto"/>
          </w:tcPr>
          <w:p w:rsidR="00854541" w:rsidRPr="00022D33" w:rsidRDefault="00854541" w:rsidP="00854541">
            <w:pPr>
              <w:pStyle w:val="Tabletext"/>
              <w:keepLines/>
              <w:jc w:val="right"/>
              <w:rPr>
                <w:b/>
              </w:rPr>
            </w:pPr>
            <w:r w:rsidRPr="00022D33">
              <w:rPr>
                <w:b/>
              </w:rPr>
              <w:t>(21,651)</w:t>
            </w:r>
          </w:p>
        </w:tc>
      </w:tr>
      <w:tr w:rsidR="00854541" w:rsidRPr="00022D33" w:rsidTr="00854541">
        <w:tc>
          <w:tcPr>
            <w:tcW w:w="2002" w:type="dxa"/>
            <w:shd w:val="clear" w:color="auto" w:fill="auto"/>
          </w:tcPr>
          <w:p w:rsidR="00854541" w:rsidRPr="00022D33" w:rsidRDefault="00854541" w:rsidP="00854541">
            <w:pPr>
              <w:pStyle w:val="Tabletext"/>
              <w:keepLines/>
              <w:rPr>
                <w:b/>
              </w:rPr>
            </w:pPr>
            <w:r w:rsidRPr="00022D33">
              <w:rPr>
                <w:b/>
              </w:rPr>
              <w:t>TOTAL ASSETS</w:t>
            </w:r>
          </w:p>
        </w:tc>
        <w:tc>
          <w:tcPr>
            <w:tcW w:w="1108" w:type="dxa"/>
            <w:shd w:val="clear" w:color="auto" w:fill="auto"/>
          </w:tcPr>
          <w:p w:rsidR="00854541" w:rsidRPr="00022D33" w:rsidRDefault="00854541" w:rsidP="00854541">
            <w:pPr>
              <w:pStyle w:val="Tabletext"/>
              <w:keepLines/>
              <w:jc w:val="right"/>
            </w:pPr>
          </w:p>
        </w:tc>
        <w:tc>
          <w:tcPr>
            <w:tcW w:w="1188" w:type="dxa"/>
            <w:tcBorders>
              <w:top w:val="single" w:sz="4" w:space="0" w:color="auto"/>
              <w:bottom w:val="double" w:sz="4" w:space="0" w:color="auto"/>
            </w:tcBorders>
            <w:shd w:val="clear" w:color="auto" w:fill="auto"/>
          </w:tcPr>
          <w:p w:rsidR="00854541" w:rsidRPr="00022D33" w:rsidRDefault="00854541" w:rsidP="00854541">
            <w:pPr>
              <w:pStyle w:val="Tabletext"/>
              <w:keepLines/>
              <w:jc w:val="right"/>
              <w:rPr>
                <w:b/>
              </w:rPr>
            </w:pPr>
            <w:r w:rsidRPr="00022D33">
              <w:rPr>
                <w:b/>
              </w:rPr>
              <w:t>1,812,591</w:t>
            </w:r>
          </w:p>
        </w:tc>
        <w:tc>
          <w:tcPr>
            <w:tcW w:w="1188" w:type="dxa"/>
            <w:tcBorders>
              <w:top w:val="single" w:sz="4" w:space="0" w:color="auto"/>
              <w:bottom w:val="double" w:sz="4" w:space="0" w:color="auto"/>
            </w:tcBorders>
            <w:shd w:val="clear" w:color="auto" w:fill="auto"/>
          </w:tcPr>
          <w:p w:rsidR="00854541" w:rsidRPr="00022D33" w:rsidRDefault="00854541" w:rsidP="00854541">
            <w:pPr>
              <w:pStyle w:val="Tabletext"/>
              <w:keepLines/>
              <w:jc w:val="right"/>
              <w:rPr>
                <w:b/>
              </w:rPr>
            </w:pPr>
            <w:r w:rsidRPr="00022D33">
              <w:rPr>
                <w:b/>
              </w:rPr>
              <w:t>1,635,108</w:t>
            </w:r>
          </w:p>
        </w:tc>
        <w:tc>
          <w:tcPr>
            <w:tcW w:w="1188" w:type="dxa"/>
            <w:tcBorders>
              <w:top w:val="single" w:sz="4" w:space="0" w:color="auto"/>
              <w:bottom w:val="double" w:sz="4" w:space="0" w:color="auto"/>
            </w:tcBorders>
            <w:shd w:val="clear" w:color="auto" w:fill="auto"/>
          </w:tcPr>
          <w:p w:rsidR="00854541" w:rsidRPr="00022D33" w:rsidRDefault="00854541" w:rsidP="00854541">
            <w:pPr>
              <w:pStyle w:val="Tabletext"/>
              <w:keepLines/>
              <w:jc w:val="right"/>
              <w:rPr>
                <w:b/>
              </w:rPr>
            </w:pPr>
            <w:r w:rsidRPr="00022D33">
              <w:rPr>
                <w:b/>
              </w:rPr>
              <w:t>1,625,512</w:t>
            </w:r>
          </w:p>
        </w:tc>
        <w:tc>
          <w:tcPr>
            <w:tcW w:w="1175" w:type="dxa"/>
            <w:tcBorders>
              <w:top w:val="single" w:sz="4" w:space="0" w:color="auto"/>
              <w:bottom w:val="double" w:sz="4" w:space="0" w:color="auto"/>
            </w:tcBorders>
            <w:shd w:val="clear" w:color="auto" w:fill="auto"/>
          </w:tcPr>
          <w:p w:rsidR="00854541" w:rsidRPr="00022D33" w:rsidRDefault="00854541" w:rsidP="00854541">
            <w:pPr>
              <w:pStyle w:val="Tabletext"/>
              <w:keepLines/>
              <w:jc w:val="right"/>
              <w:rPr>
                <w:b/>
              </w:rPr>
            </w:pPr>
            <w:r w:rsidRPr="00022D33">
              <w:rPr>
                <w:b/>
              </w:rPr>
              <w:t>(177,483)</w:t>
            </w:r>
          </w:p>
        </w:tc>
        <w:tc>
          <w:tcPr>
            <w:tcW w:w="1365" w:type="dxa"/>
            <w:gridSpan w:val="2"/>
            <w:tcBorders>
              <w:top w:val="single" w:sz="4" w:space="0" w:color="auto"/>
              <w:bottom w:val="double" w:sz="4" w:space="0" w:color="auto"/>
            </w:tcBorders>
            <w:shd w:val="clear" w:color="auto" w:fill="auto"/>
          </w:tcPr>
          <w:p w:rsidR="00854541" w:rsidRPr="00022D33" w:rsidRDefault="00854541" w:rsidP="00854541">
            <w:pPr>
              <w:pStyle w:val="Tabletext"/>
              <w:keepLines/>
              <w:jc w:val="right"/>
              <w:rPr>
                <w:b/>
              </w:rPr>
            </w:pPr>
            <w:r w:rsidRPr="00022D33">
              <w:rPr>
                <w:b/>
              </w:rPr>
              <w:t>9,596</w:t>
            </w:r>
          </w:p>
        </w:tc>
      </w:tr>
      <w:tr w:rsidR="00617CB0" w:rsidRPr="00022D33" w:rsidTr="00854541">
        <w:trPr>
          <w:gridAfter w:val="1"/>
          <w:wAfter w:w="188" w:type="dxa"/>
        </w:trPr>
        <w:tc>
          <w:tcPr>
            <w:tcW w:w="2007" w:type="dxa"/>
            <w:shd w:val="clear" w:color="auto" w:fill="auto"/>
          </w:tcPr>
          <w:p w:rsidR="00617CB0" w:rsidRPr="00022D33" w:rsidRDefault="00617CB0" w:rsidP="000D7011">
            <w:pPr>
              <w:pStyle w:val="BodyText"/>
            </w:pPr>
          </w:p>
        </w:tc>
        <w:tc>
          <w:tcPr>
            <w:tcW w:w="1108" w:type="dxa"/>
            <w:shd w:val="clear" w:color="auto" w:fill="auto"/>
          </w:tcPr>
          <w:p w:rsidR="00617CB0" w:rsidRDefault="00617CB0" w:rsidP="000D7011">
            <w:pPr>
              <w:pStyle w:val="Tableboldedtext"/>
              <w:jc w:val="right"/>
            </w:pPr>
            <w:r>
              <w:t>Variance</w:t>
            </w:r>
          </w:p>
          <w:p w:rsidR="00617CB0" w:rsidRPr="00022D33" w:rsidRDefault="00617CB0" w:rsidP="000D7011">
            <w:pPr>
              <w:pStyle w:val="Tableboldedtext"/>
              <w:jc w:val="right"/>
            </w:pPr>
            <w:r w:rsidRPr="00022D33">
              <w:t>Note</w:t>
            </w:r>
          </w:p>
        </w:tc>
        <w:tc>
          <w:tcPr>
            <w:tcW w:w="1187" w:type="dxa"/>
            <w:shd w:val="clear" w:color="auto" w:fill="auto"/>
          </w:tcPr>
          <w:p w:rsidR="00617CB0" w:rsidRPr="00022D33" w:rsidRDefault="00617CB0" w:rsidP="000D7011">
            <w:pPr>
              <w:pStyle w:val="Tableboldedtext"/>
              <w:jc w:val="right"/>
            </w:pPr>
            <w:r w:rsidRPr="00022D33">
              <w:t>Estimate 2016  $000</w:t>
            </w:r>
          </w:p>
        </w:tc>
        <w:tc>
          <w:tcPr>
            <w:tcW w:w="1187" w:type="dxa"/>
            <w:shd w:val="clear" w:color="auto" w:fill="auto"/>
          </w:tcPr>
          <w:p w:rsidR="00617CB0" w:rsidRPr="00022D33" w:rsidRDefault="00617CB0" w:rsidP="000D7011">
            <w:pPr>
              <w:pStyle w:val="Tableboldedtext"/>
              <w:jc w:val="right"/>
            </w:pPr>
            <w:r w:rsidRPr="00022D33">
              <w:t>Actual 2016  $000</w:t>
            </w:r>
          </w:p>
        </w:tc>
        <w:tc>
          <w:tcPr>
            <w:tcW w:w="1187" w:type="dxa"/>
            <w:shd w:val="clear" w:color="auto" w:fill="auto"/>
          </w:tcPr>
          <w:p w:rsidR="00617CB0" w:rsidRPr="00022D33" w:rsidRDefault="00617CB0" w:rsidP="000D7011">
            <w:pPr>
              <w:pStyle w:val="Tableboldedtext"/>
              <w:jc w:val="right"/>
            </w:pPr>
            <w:r w:rsidRPr="00022D33">
              <w:t>Actual 2015</w:t>
            </w:r>
          </w:p>
          <w:p w:rsidR="00617CB0" w:rsidRPr="00022D33" w:rsidRDefault="00617CB0" w:rsidP="000D7011">
            <w:pPr>
              <w:pStyle w:val="Tableboldedtext"/>
              <w:jc w:val="right"/>
            </w:pPr>
            <w:r w:rsidRPr="00022D33">
              <w:t xml:space="preserve"> $000</w:t>
            </w:r>
          </w:p>
        </w:tc>
        <w:tc>
          <w:tcPr>
            <w:tcW w:w="1174" w:type="dxa"/>
            <w:shd w:val="clear" w:color="auto" w:fill="auto"/>
          </w:tcPr>
          <w:p w:rsidR="00617CB0" w:rsidRPr="00022D33" w:rsidRDefault="00617CB0" w:rsidP="000D7011">
            <w:pPr>
              <w:pStyle w:val="Tableboldedtext"/>
              <w:jc w:val="right"/>
            </w:pPr>
            <w:r w:rsidRPr="00022D33">
              <w:t>Variance between estimate and actual $000</w:t>
            </w:r>
          </w:p>
        </w:tc>
        <w:tc>
          <w:tcPr>
            <w:tcW w:w="1176" w:type="dxa"/>
            <w:shd w:val="clear" w:color="auto" w:fill="auto"/>
          </w:tcPr>
          <w:p w:rsidR="00617CB0" w:rsidRPr="00022D33" w:rsidRDefault="00617CB0" w:rsidP="000D7011">
            <w:pPr>
              <w:pStyle w:val="Tableboldedtext"/>
              <w:jc w:val="right"/>
            </w:pPr>
            <w:r w:rsidRPr="00022D33">
              <w:t>Variance between actual results for 2016 and 2015 $000</w:t>
            </w:r>
          </w:p>
        </w:tc>
      </w:tr>
      <w:tr w:rsidR="00617CB0" w:rsidRPr="00022D33" w:rsidTr="00854541">
        <w:trPr>
          <w:gridAfter w:val="1"/>
          <w:wAfter w:w="188" w:type="dxa"/>
        </w:trPr>
        <w:tc>
          <w:tcPr>
            <w:tcW w:w="9026" w:type="dxa"/>
            <w:gridSpan w:val="7"/>
            <w:shd w:val="clear" w:color="auto" w:fill="auto"/>
          </w:tcPr>
          <w:p w:rsidR="00617CB0" w:rsidRPr="00022D33" w:rsidRDefault="00617CB0" w:rsidP="000D7011">
            <w:pPr>
              <w:pStyle w:val="Tabletext"/>
              <w:rPr>
                <w:b/>
              </w:rPr>
            </w:pPr>
            <w:r w:rsidRPr="00022D33">
              <w:rPr>
                <w:b/>
              </w:rPr>
              <w:t>LIABILITIES</w:t>
            </w:r>
          </w:p>
        </w:tc>
      </w:tr>
      <w:tr w:rsidR="00617CB0" w:rsidRPr="00022D33" w:rsidTr="00854541">
        <w:trPr>
          <w:gridAfter w:val="1"/>
          <w:wAfter w:w="188" w:type="dxa"/>
        </w:trPr>
        <w:tc>
          <w:tcPr>
            <w:tcW w:w="9026" w:type="dxa"/>
            <w:gridSpan w:val="7"/>
            <w:shd w:val="clear" w:color="auto" w:fill="auto"/>
          </w:tcPr>
          <w:p w:rsidR="00617CB0" w:rsidRPr="00022D33" w:rsidRDefault="00617CB0" w:rsidP="000D7011">
            <w:pPr>
              <w:pStyle w:val="Tabletext"/>
              <w:rPr>
                <w:u w:val="single"/>
              </w:rPr>
            </w:pPr>
            <w:r w:rsidRPr="00022D33">
              <w:rPr>
                <w:u w:val="single"/>
              </w:rPr>
              <w:t>Current Liabilities</w:t>
            </w:r>
          </w:p>
        </w:tc>
      </w:tr>
      <w:tr w:rsidR="00617CB0" w:rsidRPr="00022D33" w:rsidTr="00854541">
        <w:trPr>
          <w:gridAfter w:val="1"/>
          <w:wAfter w:w="188" w:type="dxa"/>
        </w:trPr>
        <w:tc>
          <w:tcPr>
            <w:tcW w:w="2007" w:type="dxa"/>
            <w:shd w:val="clear" w:color="auto" w:fill="auto"/>
          </w:tcPr>
          <w:p w:rsidR="00617CB0" w:rsidRPr="00022D33" w:rsidRDefault="00617CB0" w:rsidP="000D7011">
            <w:pPr>
              <w:pStyle w:val="Tabletext"/>
            </w:pPr>
            <w:r w:rsidRPr="00022D33">
              <w:t>Payables</w:t>
            </w:r>
          </w:p>
        </w:tc>
        <w:tc>
          <w:tcPr>
            <w:tcW w:w="1108" w:type="dxa"/>
            <w:shd w:val="clear" w:color="auto" w:fill="auto"/>
          </w:tcPr>
          <w:p w:rsidR="00617CB0" w:rsidRPr="00022D33" w:rsidRDefault="00617CB0" w:rsidP="000D7011">
            <w:pPr>
              <w:pStyle w:val="Tabletext"/>
              <w:jc w:val="right"/>
            </w:pPr>
          </w:p>
        </w:tc>
        <w:tc>
          <w:tcPr>
            <w:tcW w:w="1187" w:type="dxa"/>
            <w:shd w:val="clear" w:color="auto" w:fill="auto"/>
          </w:tcPr>
          <w:p w:rsidR="00617CB0" w:rsidRPr="00022D33" w:rsidRDefault="00617CB0" w:rsidP="000D7011">
            <w:pPr>
              <w:pStyle w:val="Tabletext"/>
              <w:jc w:val="right"/>
            </w:pPr>
            <w:r w:rsidRPr="00022D33">
              <w:t>383,404</w:t>
            </w:r>
          </w:p>
        </w:tc>
        <w:tc>
          <w:tcPr>
            <w:tcW w:w="1187" w:type="dxa"/>
            <w:shd w:val="clear" w:color="auto" w:fill="auto"/>
          </w:tcPr>
          <w:p w:rsidR="00617CB0" w:rsidRPr="00022D33" w:rsidRDefault="00617CB0" w:rsidP="000D7011">
            <w:pPr>
              <w:pStyle w:val="Tabletext"/>
              <w:jc w:val="right"/>
            </w:pPr>
            <w:r w:rsidRPr="00022D33">
              <w:t>301,837</w:t>
            </w:r>
          </w:p>
        </w:tc>
        <w:tc>
          <w:tcPr>
            <w:tcW w:w="1187" w:type="dxa"/>
            <w:shd w:val="clear" w:color="auto" w:fill="auto"/>
          </w:tcPr>
          <w:p w:rsidR="00617CB0" w:rsidRPr="00022D33" w:rsidRDefault="00617CB0" w:rsidP="000D7011">
            <w:pPr>
              <w:pStyle w:val="Tabletext"/>
              <w:jc w:val="right"/>
            </w:pPr>
            <w:r w:rsidRPr="00022D33">
              <w:t>316,057</w:t>
            </w:r>
          </w:p>
        </w:tc>
        <w:tc>
          <w:tcPr>
            <w:tcW w:w="1174" w:type="dxa"/>
            <w:shd w:val="clear" w:color="auto" w:fill="auto"/>
          </w:tcPr>
          <w:p w:rsidR="00617CB0" w:rsidRPr="00022D33" w:rsidRDefault="00617CB0" w:rsidP="000D7011">
            <w:pPr>
              <w:pStyle w:val="Tabletext"/>
              <w:jc w:val="right"/>
            </w:pPr>
            <w:r w:rsidRPr="00022D33">
              <w:t>(81,567)</w:t>
            </w:r>
          </w:p>
        </w:tc>
        <w:tc>
          <w:tcPr>
            <w:tcW w:w="1176" w:type="dxa"/>
            <w:shd w:val="clear" w:color="auto" w:fill="auto"/>
          </w:tcPr>
          <w:p w:rsidR="00617CB0" w:rsidRPr="00022D33" w:rsidRDefault="00617CB0" w:rsidP="000D7011">
            <w:pPr>
              <w:pStyle w:val="Tabletext"/>
              <w:jc w:val="right"/>
            </w:pPr>
            <w:r w:rsidRPr="00022D33">
              <w:t>(14,220)</w:t>
            </w:r>
          </w:p>
        </w:tc>
      </w:tr>
      <w:tr w:rsidR="00617CB0" w:rsidRPr="00022D33" w:rsidTr="00854541">
        <w:trPr>
          <w:gridAfter w:val="1"/>
          <w:wAfter w:w="188" w:type="dxa"/>
        </w:trPr>
        <w:tc>
          <w:tcPr>
            <w:tcW w:w="2007" w:type="dxa"/>
            <w:shd w:val="clear" w:color="auto" w:fill="auto"/>
          </w:tcPr>
          <w:p w:rsidR="00617CB0" w:rsidRPr="00022D33" w:rsidRDefault="00617CB0" w:rsidP="000D7011">
            <w:pPr>
              <w:pStyle w:val="Tabletext"/>
            </w:pPr>
            <w:r w:rsidRPr="00022D33">
              <w:t>Borrowings</w:t>
            </w:r>
          </w:p>
        </w:tc>
        <w:tc>
          <w:tcPr>
            <w:tcW w:w="1108" w:type="dxa"/>
            <w:shd w:val="clear" w:color="auto" w:fill="auto"/>
          </w:tcPr>
          <w:p w:rsidR="00617CB0" w:rsidRPr="00022D33" w:rsidRDefault="00617CB0" w:rsidP="000D7011">
            <w:pPr>
              <w:pStyle w:val="Tabletext"/>
              <w:jc w:val="right"/>
            </w:pPr>
          </w:p>
        </w:tc>
        <w:tc>
          <w:tcPr>
            <w:tcW w:w="1187" w:type="dxa"/>
            <w:shd w:val="clear" w:color="auto" w:fill="auto"/>
          </w:tcPr>
          <w:p w:rsidR="00617CB0" w:rsidRPr="00022D33" w:rsidRDefault="00617CB0" w:rsidP="000D7011">
            <w:pPr>
              <w:pStyle w:val="Tabletext"/>
              <w:jc w:val="right"/>
            </w:pPr>
            <w:r w:rsidRPr="00022D33">
              <w:t>28,322</w:t>
            </w:r>
          </w:p>
        </w:tc>
        <w:tc>
          <w:tcPr>
            <w:tcW w:w="1187" w:type="dxa"/>
            <w:shd w:val="clear" w:color="auto" w:fill="auto"/>
          </w:tcPr>
          <w:p w:rsidR="00617CB0" w:rsidRPr="00022D33" w:rsidRDefault="00617CB0" w:rsidP="000D7011">
            <w:pPr>
              <w:pStyle w:val="Tabletext"/>
              <w:jc w:val="right"/>
            </w:pPr>
            <w:r w:rsidRPr="00022D33">
              <w:t>30,302</w:t>
            </w:r>
          </w:p>
        </w:tc>
        <w:tc>
          <w:tcPr>
            <w:tcW w:w="1187" w:type="dxa"/>
            <w:shd w:val="clear" w:color="auto" w:fill="auto"/>
          </w:tcPr>
          <w:p w:rsidR="00617CB0" w:rsidRPr="00022D33" w:rsidRDefault="00617CB0" w:rsidP="000D7011">
            <w:pPr>
              <w:pStyle w:val="Tabletext"/>
              <w:jc w:val="right"/>
            </w:pPr>
            <w:r w:rsidRPr="00022D33">
              <w:t>39,413</w:t>
            </w:r>
          </w:p>
        </w:tc>
        <w:tc>
          <w:tcPr>
            <w:tcW w:w="1174" w:type="dxa"/>
            <w:shd w:val="clear" w:color="auto" w:fill="auto"/>
          </w:tcPr>
          <w:p w:rsidR="00617CB0" w:rsidRPr="00022D33" w:rsidRDefault="00617CB0" w:rsidP="000D7011">
            <w:pPr>
              <w:pStyle w:val="Tabletext"/>
              <w:jc w:val="right"/>
            </w:pPr>
            <w:r w:rsidRPr="00022D33">
              <w:t>1,980</w:t>
            </w:r>
          </w:p>
        </w:tc>
        <w:tc>
          <w:tcPr>
            <w:tcW w:w="1176" w:type="dxa"/>
            <w:shd w:val="clear" w:color="auto" w:fill="auto"/>
          </w:tcPr>
          <w:p w:rsidR="00617CB0" w:rsidRPr="00022D33" w:rsidRDefault="00617CB0" w:rsidP="000D7011">
            <w:pPr>
              <w:pStyle w:val="Tabletext"/>
              <w:jc w:val="right"/>
            </w:pPr>
            <w:r w:rsidRPr="00022D33">
              <w:t>(9,111)</w:t>
            </w:r>
          </w:p>
        </w:tc>
      </w:tr>
      <w:tr w:rsidR="00617CB0" w:rsidRPr="00022D33" w:rsidTr="00854541">
        <w:trPr>
          <w:gridAfter w:val="1"/>
          <w:wAfter w:w="188" w:type="dxa"/>
        </w:trPr>
        <w:tc>
          <w:tcPr>
            <w:tcW w:w="2007" w:type="dxa"/>
            <w:shd w:val="clear" w:color="auto" w:fill="auto"/>
          </w:tcPr>
          <w:p w:rsidR="00617CB0" w:rsidRPr="00022D33" w:rsidRDefault="00617CB0" w:rsidP="000D7011">
            <w:pPr>
              <w:pStyle w:val="Tabletext"/>
            </w:pPr>
            <w:r w:rsidRPr="00022D33">
              <w:t>Lease incentive</w:t>
            </w:r>
          </w:p>
        </w:tc>
        <w:tc>
          <w:tcPr>
            <w:tcW w:w="1108" w:type="dxa"/>
            <w:shd w:val="clear" w:color="auto" w:fill="auto"/>
          </w:tcPr>
          <w:p w:rsidR="00617CB0" w:rsidRPr="00022D33" w:rsidRDefault="00617CB0" w:rsidP="000D7011">
            <w:pPr>
              <w:pStyle w:val="Tabletext"/>
              <w:jc w:val="right"/>
            </w:pPr>
          </w:p>
        </w:tc>
        <w:tc>
          <w:tcPr>
            <w:tcW w:w="1187" w:type="dxa"/>
            <w:shd w:val="clear" w:color="auto" w:fill="auto"/>
          </w:tcPr>
          <w:p w:rsidR="00617CB0" w:rsidRPr="00022D33" w:rsidRDefault="00617CB0" w:rsidP="000D7011">
            <w:pPr>
              <w:pStyle w:val="Tabletext"/>
              <w:jc w:val="right"/>
            </w:pPr>
            <w:r w:rsidRPr="00022D33">
              <w:t>5,861</w:t>
            </w:r>
          </w:p>
        </w:tc>
        <w:tc>
          <w:tcPr>
            <w:tcW w:w="1187" w:type="dxa"/>
            <w:shd w:val="clear" w:color="auto" w:fill="auto"/>
          </w:tcPr>
          <w:p w:rsidR="00617CB0" w:rsidRPr="00022D33" w:rsidRDefault="00617CB0" w:rsidP="000D7011">
            <w:pPr>
              <w:pStyle w:val="Tabletext"/>
              <w:jc w:val="right"/>
            </w:pPr>
            <w:r w:rsidRPr="00022D33">
              <w:t>9,612</w:t>
            </w:r>
          </w:p>
        </w:tc>
        <w:tc>
          <w:tcPr>
            <w:tcW w:w="1187" w:type="dxa"/>
            <w:shd w:val="clear" w:color="auto" w:fill="auto"/>
          </w:tcPr>
          <w:p w:rsidR="00617CB0" w:rsidRPr="00022D33" w:rsidRDefault="00617CB0" w:rsidP="000D7011">
            <w:pPr>
              <w:pStyle w:val="Tabletext"/>
              <w:jc w:val="right"/>
            </w:pPr>
            <w:r>
              <w:t>30,200</w:t>
            </w:r>
          </w:p>
        </w:tc>
        <w:tc>
          <w:tcPr>
            <w:tcW w:w="1174" w:type="dxa"/>
            <w:shd w:val="clear" w:color="auto" w:fill="auto"/>
          </w:tcPr>
          <w:p w:rsidR="00617CB0" w:rsidRPr="00022D33" w:rsidRDefault="00617CB0" w:rsidP="000D7011">
            <w:pPr>
              <w:pStyle w:val="Tabletext"/>
              <w:jc w:val="right"/>
            </w:pPr>
            <w:r w:rsidRPr="00022D33">
              <w:t>3,751</w:t>
            </w:r>
          </w:p>
        </w:tc>
        <w:tc>
          <w:tcPr>
            <w:tcW w:w="1176" w:type="dxa"/>
            <w:shd w:val="clear" w:color="auto" w:fill="auto"/>
          </w:tcPr>
          <w:p w:rsidR="00617CB0" w:rsidRPr="00022D33" w:rsidRDefault="00617CB0" w:rsidP="000D7011">
            <w:pPr>
              <w:pStyle w:val="Tabletext"/>
              <w:jc w:val="right"/>
            </w:pPr>
            <w:r w:rsidRPr="00022D33">
              <w:t>(20,588)</w:t>
            </w:r>
          </w:p>
        </w:tc>
      </w:tr>
      <w:tr w:rsidR="00617CB0" w:rsidRPr="00022D33" w:rsidTr="00854541">
        <w:trPr>
          <w:gridAfter w:val="1"/>
          <w:wAfter w:w="188" w:type="dxa"/>
        </w:trPr>
        <w:tc>
          <w:tcPr>
            <w:tcW w:w="2007" w:type="dxa"/>
            <w:shd w:val="clear" w:color="auto" w:fill="auto"/>
          </w:tcPr>
          <w:p w:rsidR="00617CB0" w:rsidRPr="00022D33" w:rsidRDefault="00617CB0" w:rsidP="000D7011">
            <w:pPr>
              <w:pStyle w:val="Tabletext"/>
            </w:pPr>
            <w:r w:rsidRPr="00022D33">
              <w:t>Provisions</w:t>
            </w:r>
          </w:p>
        </w:tc>
        <w:tc>
          <w:tcPr>
            <w:tcW w:w="1108" w:type="dxa"/>
            <w:shd w:val="clear" w:color="auto" w:fill="auto"/>
          </w:tcPr>
          <w:p w:rsidR="00617CB0" w:rsidRPr="00022D33" w:rsidRDefault="00617CB0" w:rsidP="000D7011">
            <w:pPr>
              <w:pStyle w:val="Tabletext"/>
              <w:jc w:val="right"/>
            </w:pPr>
          </w:p>
        </w:tc>
        <w:tc>
          <w:tcPr>
            <w:tcW w:w="1187" w:type="dxa"/>
            <w:shd w:val="clear" w:color="auto" w:fill="auto"/>
          </w:tcPr>
          <w:p w:rsidR="00617CB0" w:rsidRPr="00022D33" w:rsidRDefault="00617CB0" w:rsidP="000D7011">
            <w:pPr>
              <w:pStyle w:val="Tabletext"/>
              <w:jc w:val="right"/>
            </w:pPr>
            <w:r w:rsidRPr="00022D33">
              <w:t>27,876</w:t>
            </w:r>
          </w:p>
        </w:tc>
        <w:tc>
          <w:tcPr>
            <w:tcW w:w="1187" w:type="dxa"/>
            <w:shd w:val="clear" w:color="auto" w:fill="auto"/>
          </w:tcPr>
          <w:p w:rsidR="00617CB0" w:rsidRPr="00022D33" w:rsidRDefault="00617CB0" w:rsidP="000D7011">
            <w:pPr>
              <w:pStyle w:val="Tabletext"/>
              <w:jc w:val="right"/>
            </w:pPr>
            <w:r w:rsidRPr="00022D33">
              <w:t>27,889</w:t>
            </w:r>
          </w:p>
        </w:tc>
        <w:tc>
          <w:tcPr>
            <w:tcW w:w="1187" w:type="dxa"/>
            <w:shd w:val="clear" w:color="auto" w:fill="auto"/>
          </w:tcPr>
          <w:p w:rsidR="00617CB0" w:rsidRPr="00022D33" w:rsidRDefault="00617CB0" w:rsidP="000D7011">
            <w:pPr>
              <w:pStyle w:val="Tabletext"/>
              <w:jc w:val="right"/>
            </w:pPr>
            <w:r>
              <w:t>5,747</w:t>
            </w:r>
          </w:p>
        </w:tc>
        <w:tc>
          <w:tcPr>
            <w:tcW w:w="1174" w:type="dxa"/>
            <w:shd w:val="clear" w:color="auto" w:fill="auto"/>
          </w:tcPr>
          <w:p w:rsidR="00617CB0" w:rsidRPr="00022D33" w:rsidRDefault="00617CB0" w:rsidP="000D7011">
            <w:pPr>
              <w:pStyle w:val="Tabletext"/>
              <w:jc w:val="right"/>
            </w:pPr>
            <w:r w:rsidRPr="00022D33">
              <w:t>13</w:t>
            </w:r>
          </w:p>
        </w:tc>
        <w:tc>
          <w:tcPr>
            <w:tcW w:w="1176" w:type="dxa"/>
            <w:shd w:val="clear" w:color="auto" w:fill="auto"/>
          </w:tcPr>
          <w:p w:rsidR="00617CB0" w:rsidRPr="00022D33" w:rsidRDefault="00617CB0" w:rsidP="000D7011">
            <w:pPr>
              <w:pStyle w:val="Tabletext"/>
              <w:jc w:val="right"/>
            </w:pPr>
            <w:r w:rsidRPr="00022D33">
              <w:t>22,142</w:t>
            </w:r>
          </w:p>
        </w:tc>
      </w:tr>
      <w:tr w:rsidR="00617CB0" w:rsidRPr="00022D33" w:rsidTr="00854541">
        <w:trPr>
          <w:gridAfter w:val="1"/>
          <w:wAfter w:w="188" w:type="dxa"/>
        </w:trPr>
        <w:tc>
          <w:tcPr>
            <w:tcW w:w="2007" w:type="dxa"/>
            <w:shd w:val="clear" w:color="auto" w:fill="auto"/>
          </w:tcPr>
          <w:p w:rsidR="00617CB0" w:rsidRPr="00022D33" w:rsidRDefault="00617CB0" w:rsidP="000D7011">
            <w:pPr>
              <w:pStyle w:val="Tabletext"/>
              <w:rPr>
                <w:b/>
              </w:rPr>
            </w:pPr>
            <w:r w:rsidRPr="00022D33">
              <w:rPr>
                <w:b/>
              </w:rPr>
              <w:t>Total current liabilities</w:t>
            </w:r>
          </w:p>
        </w:tc>
        <w:tc>
          <w:tcPr>
            <w:tcW w:w="1108" w:type="dxa"/>
            <w:shd w:val="clear" w:color="auto" w:fill="auto"/>
          </w:tcPr>
          <w:p w:rsidR="00617CB0" w:rsidRPr="00022D33" w:rsidRDefault="00617CB0" w:rsidP="000D7011">
            <w:pPr>
              <w:pStyle w:val="Tabletext"/>
              <w:jc w:val="right"/>
            </w:pPr>
          </w:p>
        </w:tc>
        <w:tc>
          <w:tcPr>
            <w:tcW w:w="1187"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445,463</w:t>
            </w:r>
          </w:p>
        </w:tc>
        <w:tc>
          <w:tcPr>
            <w:tcW w:w="1187"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369,640</w:t>
            </w:r>
          </w:p>
        </w:tc>
        <w:tc>
          <w:tcPr>
            <w:tcW w:w="1187"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391,418</w:t>
            </w:r>
          </w:p>
        </w:tc>
        <w:tc>
          <w:tcPr>
            <w:tcW w:w="1174"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(75,823)</w:t>
            </w:r>
          </w:p>
        </w:tc>
        <w:tc>
          <w:tcPr>
            <w:tcW w:w="1176"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(21,777)</w:t>
            </w:r>
          </w:p>
        </w:tc>
      </w:tr>
      <w:tr w:rsidR="00617CB0" w:rsidRPr="00022D33" w:rsidTr="00854541">
        <w:trPr>
          <w:gridAfter w:val="1"/>
          <w:wAfter w:w="188" w:type="dxa"/>
        </w:trPr>
        <w:tc>
          <w:tcPr>
            <w:tcW w:w="9026" w:type="dxa"/>
            <w:gridSpan w:val="7"/>
            <w:shd w:val="clear" w:color="auto" w:fill="auto"/>
          </w:tcPr>
          <w:p w:rsidR="00617CB0" w:rsidRPr="00022D33" w:rsidRDefault="00617CB0" w:rsidP="000D7011">
            <w:pPr>
              <w:pStyle w:val="Tabletext"/>
              <w:rPr>
                <w:u w:val="single"/>
              </w:rPr>
            </w:pPr>
            <w:r w:rsidRPr="00022D33">
              <w:rPr>
                <w:u w:val="single"/>
              </w:rPr>
              <w:t>Non-current liabilities</w:t>
            </w:r>
          </w:p>
        </w:tc>
      </w:tr>
      <w:tr w:rsidR="00617CB0" w:rsidRPr="00022D33" w:rsidTr="00854541">
        <w:trPr>
          <w:gridAfter w:val="1"/>
          <w:wAfter w:w="188" w:type="dxa"/>
        </w:trPr>
        <w:tc>
          <w:tcPr>
            <w:tcW w:w="2007" w:type="dxa"/>
            <w:shd w:val="clear" w:color="auto" w:fill="auto"/>
          </w:tcPr>
          <w:p w:rsidR="00617CB0" w:rsidRPr="00022D33" w:rsidRDefault="00617CB0" w:rsidP="000D7011">
            <w:pPr>
              <w:pStyle w:val="Tabletext"/>
            </w:pPr>
            <w:r w:rsidRPr="00022D33">
              <w:t>Borrowings</w:t>
            </w:r>
          </w:p>
        </w:tc>
        <w:tc>
          <w:tcPr>
            <w:tcW w:w="1108" w:type="dxa"/>
            <w:shd w:val="clear" w:color="auto" w:fill="auto"/>
          </w:tcPr>
          <w:p w:rsidR="00617CB0" w:rsidRPr="00022D33" w:rsidRDefault="00617CB0" w:rsidP="000D7011">
            <w:pPr>
              <w:pStyle w:val="Tabletext"/>
              <w:jc w:val="right"/>
            </w:pPr>
            <w:r w:rsidRPr="00022D33">
              <w:t>2</w:t>
            </w:r>
          </w:p>
        </w:tc>
        <w:tc>
          <w:tcPr>
            <w:tcW w:w="1187" w:type="dxa"/>
            <w:shd w:val="clear" w:color="auto" w:fill="auto"/>
          </w:tcPr>
          <w:p w:rsidR="00617CB0" w:rsidRPr="00022D33" w:rsidRDefault="00617CB0" w:rsidP="000D7011">
            <w:pPr>
              <w:pStyle w:val="Tabletext"/>
              <w:jc w:val="right"/>
            </w:pPr>
            <w:r w:rsidRPr="00022D33">
              <w:t>72,331</w:t>
            </w:r>
          </w:p>
        </w:tc>
        <w:tc>
          <w:tcPr>
            <w:tcW w:w="1187" w:type="dxa"/>
            <w:shd w:val="clear" w:color="auto" w:fill="auto"/>
          </w:tcPr>
          <w:p w:rsidR="00617CB0" w:rsidRPr="00022D33" w:rsidRDefault="00617CB0" w:rsidP="000D7011">
            <w:pPr>
              <w:pStyle w:val="Tabletext"/>
              <w:jc w:val="right"/>
            </w:pPr>
            <w:r w:rsidRPr="00022D33">
              <w:t>98,014</w:t>
            </w:r>
          </w:p>
        </w:tc>
        <w:tc>
          <w:tcPr>
            <w:tcW w:w="1187" w:type="dxa"/>
            <w:shd w:val="clear" w:color="auto" w:fill="auto"/>
          </w:tcPr>
          <w:p w:rsidR="00617CB0" w:rsidRPr="00022D33" w:rsidRDefault="00617CB0" w:rsidP="000D7011">
            <w:pPr>
              <w:pStyle w:val="Tabletext"/>
              <w:jc w:val="right"/>
            </w:pPr>
            <w:r w:rsidRPr="00022D33">
              <w:t>103,691</w:t>
            </w:r>
          </w:p>
        </w:tc>
        <w:tc>
          <w:tcPr>
            <w:tcW w:w="1174" w:type="dxa"/>
            <w:shd w:val="clear" w:color="auto" w:fill="auto"/>
          </w:tcPr>
          <w:p w:rsidR="00617CB0" w:rsidRPr="00022D33" w:rsidRDefault="00617CB0" w:rsidP="000D7011">
            <w:pPr>
              <w:pStyle w:val="Tabletext"/>
              <w:jc w:val="right"/>
            </w:pPr>
            <w:r w:rsidRPr="00022D33">
              <w:t>25,683</w:t>
            </w:r>
          </w:p>
        </w:tc>
        <w:tc>
          <w:tcPr>
            <w:tcW w:w="1176" w:type="dxa"/>
            <w:shd w:val="clear" w:color="auto" w:fill="auto"/>
          </w:tcPr>
          <w:p w:rsidR="00617CB0" w:rsidRPr="00022D33" w:rsidRDefault="00617CB0" w:rsidP="000D7011">
            <w:pPr>
              <w:pStyle w:val="Tabletext"/>
              <w:jc w:val="right"/>
            </w:pPr>
            <w:r w:rsidRPr="00022D33">
              <w:t>(5,667)</w:t>
            </w:r>
          </w:p>
        </w:tc>
      </w:tr>
      <w:tr w:rsidR="00617CB0" w:rsidRPr="00022D33" w:rsidTr="00854541">
        <w:trPr>
          <w:gridAfter w:val="1"/>
          <w:wAfter w:w="188" w:type="dxa"/>
        </w:trPr>
        <w:tc>
          <w:tcPr>
            <w:tcW w:w="2007" w:type="dxa"/>
            <w:shd w:val="clear" w:color="auto" w:fill="auto"/>
          </w:tcPr>
          <w:p w:rsidR="00617CB0" w:rsidRPr="00022D33" w:rsidRDefault="00617CB0" w:rsidP="000D7011">
            <w:pPr>
              <w:pStyle w:val="Tabletext"/>
            </w:pPr>
            <w:r w:rsidRPr="00022D33">
              <w:t>Provisions</w:t>
            </w:r>
          </w:p>
        </w:tc>
        <w:tc>
          <w:tcPr>
            <w:tcW w:w="1108" w:type="dxa"/>
            <w:shd w:val="clear" w:color="auto" w:fill="auto"/>
          </w:tcPr>
          <w:p w:rsidR="00617CB0" w:rsidRPr="00022D33" w:rsidRDefault="00617CB0" w:rsidP="000D7011">
            <w:pPr>
              <w:pStyle w:val="Tabletext"/>
              <w:jc w:val="right"/>
            </w:pPr>
          </w:p>
        </w:tc>
        <w:tc>
          <w:tcPr>
            <w:tcW w:w="1187" w:type="dxa"/>
            <w:shd w:val="clear" w:color="auto" w:fill="auto"/>
          </w:tcPr>
          <w:p w:rsidR="00617CB0" w:rsidRPr="00022D33" w:rsidRDefault="00617CB0" w:rsidP="000D7011">
            <w:pPr>
              <w:pStyle w:val="Tabletext"/>
              <w:jc w:val="right"/>
            </w:pPr>
            <w:r w:rsidRPr="00022D33">
              <w:t>7,125</w:t>
            </w:r>
          </w:p>
        </w:tc>
        <w:tc>
          <w:tcPr>
            <w:tcW w:w="1187" w:type="dxa"/>
            <w:shd w:val="clear" w:color="auto" w:fill="auto"/>
          </w:tcPr>
          <w:p w:rsidR="00617CB0" w:rsidRPr="00022D33" w:rsidRDefault="00617CB0" w:rsidP="000D7011">
            <w:pPr>
              <w:pStyle w:val="Tabletext"/>
              <w:jc w:val="right"/>
            </w:pPr>
            <w:r w:rsidRPr="00022D33">
              <w:t>6,869</w:t>
            </w:r>
          </w:p>
        </w:tc>
        <w:tc>
          <w:tcPr>
            <w:tcW w:w="1187" w:type="dxa"/>
            <w:shd w:val="clear" w:color="auto" w:fill="auto"/>
          </w:tcPr>
          <w:p w:rsidR="00617CB0" w:rsidRPr="00022D33" w:rsidRDefault="00617CB0" w:rsidP="000D7011">
            <w:pPr>
              <w:pStyle w:val="Tabletext"/>
              <w:jc w:val="right"/>
            </w:pPr>
            <w:r w:rsidRPr="00022D33">
              <w:t>7,250</w:t>
            </w:r>
          </w:p>
        </w:tc>
        <w:tc>
          <w:tcPr>
            <w:tcW w:w="1174" w:type="dxa"/>
            <w:shd w:val="clear" w:color="auto" w:fill="auto"/>
          </w:tcPr>
          <w:p w:rsidR="00617CB0" w:rsidRPr="00022D33" w:rsidRDefault="00617CB0" w:rsidP="000D7011">
            <w:pPr>
              <w:pStyle w:val="Tabletext"/>
              <w:jc w:val="right"/>
            </w:pPr>
            <w:r w:rsidRPr="00022D33">
              <w:t>(256)</w:t>
            </w:r>
          </w:p>
        </w:tc>
        <w:tc>
          <w:tcPr>
            <w:tcW w:w="1176" w:type="dxa"/>
            <w:shd w:val="clear" w:color="auto" w:fill="auto"/>
          </w:tcPr>
          <w:p w:rsidR="00617CB0" w:rsidRPr="00022D33" w:rsidRDefault="00617CB0" w:rsidP="000D7011">
            <w:pPr>
              <w:pStyle w:val="Tabletext"/>
              <w:jc w:val="right"/>
            </w:pPr>
            <w:r w:rsidRPr="00022D33">
              <w:t>(381)</w:t>
            </w:r>
          </w:p>
        </w:tc>
      </w:tr>
      <w:tr w:rsidR="00617CB0" w:rsidRPr="00022D33" w:rsidTr="00854541">
        <w:trPr>
          <w:gridAfter w:val="1"/>
          <w:wAfter w:w="188" w:type="dxa"/>
        </w:trPr>
        <w:tc>
          <w:tcPr>
            <w:tcW w:w="2007" w:type="dxa"/>
            <w:shd w:val="clear" w:color="auto" w:fill="auto"/>
          </w:tcPr>
          <w:p w:rsidR="00617CB0" w:rsidRPr="00022D33" w:rsidRDefault="00617CB0" w:rsidP="000D7011">
            <w:pPr>
              <w:pStyle w:val="Tabletext"/>
            </w:pPr>
            <w:r w:rsidRPr="00022D33">
              <w:t>Lease incentive</w:t>
            </w:r>
          </w:p>
        </w:tc>
        <w:tc>
          <w:tcPr>
            <w:tcW w:w="1108" w:type="dxa"/>
            <w:shd w:val="clear" w:color="auto" w:fill="auto"/>
          </w:tcPr>
          <w:p w:rsidR="00617CB0" w:rsidRPr="00022D33" w:rsidRDefault="00617CB0" w:rsidP="000D7011">
            <w:pPr>
              <w:pStyle w:val="Tabletext"/>
              <w:jc w:val="right"/>
            </w:pPr>
            <w:r w:rsidRPr="00022D33">
              <w:t>C</w:t>
            </w:r>
          </w:p>
        </w:tc>
        <w:tc>
          <w:tcPr>
            <w:tcW w:w="1187" w:type="dxa"/>
            <w:tcBorders>
              <w:bottom w:val="single" w:sz="4" w:space="0" w:color="auto"/>
            </w:tcBorders>
            <w:shd w:val="clear" w:color="auto" w:fill="auto"/>
          </w:tcPr>
          <w:p w:rsidR="00617CB0" w:rsidRPr="00022D33" w:rsidRDefault="00617CB0" w:rsidP="000D7011">
            <w:pPr>
              <w:pStyle w:val="Tabletext"/>
              <w:jc w:val="right"/>
            </w:pPr>
            <w:r w:rsidRPr="00022D33">
              <w:t>80,055</w:t>
            </w:r>
          </w:p>
        </w:tc>
        <w:tc>
          <w:tcPr>
            <w:tcW w:w="1187" w:type="dxa"/>
            <w:tcBorders>
              <w:bottom w:val="single" w:sz="4" w:space="0" w:color="auto"/>
            </w:tcBorders>
            <w:shd w:val="clear" w:color="auto" w:fill="auto"/>
          </w:tcPr>
          <w:p w:rsidR="00617CB0" w:rsidRPr="00022D33" w:rsidRDefault="00617CB0" w:rsidP="000D7011">
            <w:pPr>
              <w:pStyle w:val="Tabletext"/>
              <w:jc w:val="right"/>
            </w:pPr>
            <w:r w:rsidRPr="00022D33">
              <w:t>85,349</w:t>
            </w:r>
          </w:p>
        </w:tc>
        <w:tc>
          <w:tcPr>
            <w:tcW w:w="1187" w:type="dxa"/>
            <w:tcBorders>
              <w:bottom w:val="single" w:sz="4" w:space="0" w:color="auto"/>
            </w:tcBorders>
            <w:shd w:val="clear" w:color="auto" w:fill="auto"/>
          </w:tcPr>
          <w:p w:rsidR="00617CB0" w:rsidRPr="00022D33" w:rsidRDefault="00617CB0" w:rsidP="000D7011">
            <w:pPr>
              <w:pStyle w:val="Tabletext"/>
              <w:jc w:val="right"/>
            </w:pPr>
            <w:r w:rsidRPr="00022D33">
              <w:t>39,120</w:t>
            </w:r>
          </w:p>
        </w:tc>
        <w:tc>
          <w:tcPr>
            <w:tcW w:w="1174" w:type="dxa"/>
            <w:tcBorders>
              <w:bottom w:val="single" w:sz="4" w:space="0" w:color="auto"/>
            </w:tcBorders>
            <w:shd w:val="clear" w:color="auto" w:fill="auto"/>
          </w:tcPr>
          <w:p w:rsidR="00617CB0" w:rsidRPr="00022D33" w:rsidRDefault="00617CB0" w:rsidP="000D7011">
            <w:pPr>
              <w:pStyle w:val="Tabletext"/>
              <w:jc w:val="right"/>
            </w:pPr>
            <w:r w:rsidRPr="00022D33">
              <w:t>5,294</w:t>
            </w:r>
          </w:p>
        </w:tc>
        <w:tc>
          <w:tcPr>
            <w:tcW w:w="1176" w:type="dxa"/>
            <w:tcBorders>
              <w:bottom w:val="single" w:sz="4" w:space="0" w:color="auto"/>
            </w:tcBorders>
            <w:shd w:val="clear" w:color="auto" w:fill="auto"/>
          </w:tcPr>
          <w:p w:rsidR="00617CB0" w:rsidRPr="00022D33" w:rsidRDefault="00617CB0" w:rsidP="000D7011">
            <w:pPr>
              <w:pStyle w:val="Tabletext"/>
              <w:jc w:val="right"/>
            </w:pPr>
            <w:r w:rsidRPr="00022D33">
              <w:t>46,229</w:t>
            </w:r>
          </w:p>
        </w:tc>
      </w:tr>
      <w:tr w:rsidR="00617CB0" w:rsidRPr="00022D33" w:rsidTr="00854541">
        <w:trPr>
          <w:gridAfter w:val="1"/>
          <w:wAfter w:w="188" w:type="dxa"/>
        </w:trPr>
        <w:tc>
          <w:tcPr>
            <w:tcW w:w="2007" w:type="dxa"/>
            <w:shd w:val="clear" w:color="auto" w:fill="auto"/>
          </w:tcPr>
          <w:p w:rsidR="00617CB0" w:rsidRPr="00022D33" w:rsidRDefault="00617CB0" w:rsidP="000D7011">
            <w:pPr>
              <w:pStyle w:val="Tabletext"/>
            </w:pPr>
            <w:r w:rsidRPr="00022D33">
              <w:rPr>
                <w:b/>
              </w:rPr>
              <w:t>Total non-current liabilities</w:t>
            </w:r>
          </w:p>
        </w:tc>
        <w:tc>
          <w:tcPr>
            <w:tcW w:w="1108" w:type="dxa"/>
            <w:shd w:val="clear" w:color="auto" w:fill="auto"/>
          </w:tcPr>
          <w:p w:rsidR="00617CB0" w:rsidRPr="00022D33" w:rsidRDefault="00617CB0" w:rsidP="000D7011">
            <w:pPr>
              <w:pStyle w:val="Tabletext"/>
              <w:jc w:val="right"/>
            </w:pPr>
          </w:p>
        </w:tc>
        <w:tc>
          <w:tcPr>
            <w:tcW w:w="1187"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159,511</w:t>
            </w:r>
          </w:p>
        </w:tc>
        <w:tc>
          <w:tcPr>
            <w:tcW w:w="1187"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190,232</w:t>
            </w:r>
          </w:p>
        </w:tc>
        <w:tc>
          <w:tcPr>
            <w:tcW w:w="1187"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150,052</w:t>
            </w:r>
          </w:p>
        </w:tc>
        <w:tc>
          <w:tcPr>
            <w:tcW w:w="1174"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30,721</w:t>
            </w:r>
          </w:p>
        </w:tc>
        <w:tc>
          <w:tcPr>
            <w:tcW w:w="1176"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40,181</w:t>
            </w:r>
          </w:p>
        </w:tc>
      </w:tr>
      <w:tr w:rsidR="00617CB0" w:rsidRPr="00022D33" w:rsidTr="00854541">
        <w:trPr>
          <w:gridAfter w:val="1"/>
          <w:wAfter w:w="188" w:type="dxa"/>
        </w:trPr>
        <w:tc>
          <w:tcPr>
            <w:tcW w:w="2007" w:type="dxa"/>
            <w:shd w:val="clear" w:color="auto" w:fill="auto"/>
          </w:tcPr>
          <w:p w:rsidR="00617CB0" w:rsidRPr="00022D33" w:rsidRDefault="00617CB0" w:rsidP="000D7011">
            <w:pPr>
              <w:pStyle w:val="Tabletext"/>
              <w:rPr>
                <w:b/>
              </w:rPr>
            </w:pPr>
            <w:r w:rsidRPr="00022D33">
              <w:rPr>
                <w:b/>
              </w:rPr>
              <w:t>Total liabilities</w:t>
            </w:r>
          </w:p>
        </w:tc>
        <w:tc>
          <w:tcPr>
            <w:tcW w:w="1108" w:type="dxa"/>
            <w:shd w:val="clear" w:color="auto" w:fill="auto"/>
          </w:tcPr>
          <w:p w:rsidR="00617CB0" w:rsidRPr="00022D33" w:rsidRDefault="00617CB0" w:rsidP="000D7011">
            <w:pPr>
              <w:pStyle w:val="Tabletext"/>
              <w:jc w:val="right"/>
            </w:pPr>
          </w:p>
        </w:tc>
        <w:tc>
          <w:tcPr>
            <w:tcW w:w="1187"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604,974</w:t>
            </w:r>
          </w:p>
        </w:tc>
        <w:tc>
          <w:tcPr>
            <w:tcW w:w="1187"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559,872</w:t>
            </w:r>
          </w:p>
        </w:tc>
        <w:tc>
          <w:tcPr>
            <w:tcW w:w="1187"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541,470</w:t>
            </w:r>
          </w:p>
        </w:tc>
        <w:tc>
          <w:tcPr>
            <w:tcW w:w="1174"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(45,102)</w:t>
            </w:r>
          </w:p>
        </w:tc>
        <w:tc>
          <w:tcPr>
            <w:tcW w:w="1176"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18,404</w:t>
            </w:r>
          </w:p>
        </w:tc>
      </w:tr>
      <w:tr w:rsidR="00617CB0" w:rsidRPr="00022D33" w:rsidTr="00854541">
        <w:trPr>
          <w:gridAfter w:val="1"/>
          <w:wAfter w:w="188" w:type="dxa"/>
        </w:trPr>
        <w:tc>
          <w:tcPr>
            <w:tcW w:w="2007" w:type="dxa"/>
            <w:shd w:val="clear" w:color="auto" w:fill="auto"/>
          </w:tcPr>
          <w:p w:rsidR="00617CB0" w:rsidRPr="00022D33" w:rsidRDefault="00617CB0" w:rsidP="000D7011">
            <w:pPr>
              <w:pStyle w:val="Tabletext"/>
              <w:rPr>
                <w:b/>
              </w:rPr>
            </w:pPr>
            <w:r w:rsidRPr="00022D33">
              <w:rPr>
                <w:b/>
              </w:rPr>
              <w:t>NET ASSETS</w:t>
            </w:r>
          </w:p>
        </w:tc>
        <w:tc>
          <w:tcPr>
            <w:tcW w:w="1108" w:type="dxa"/>
            <w:shd w:val="clear" w:color="auto" w:fill="auto"/>
          </w:tcPr>
          <w:p w:rsidR="00617CB0" w:rsidRPr="00022D33" w:rsidRDefault="00617CB0" w:rsidP="000D7011">
            <w:pPr>
              <w:pStyle w:val="Tabletext"/>
              <w:jc w:val="right"/>
            </w:pPr>
          </w:p>
        </w:tc>
        <w:tc>
          <w:tcPr>
            <w:tcW w:w="1187"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1,207,617</w:t>
            </w:r>
          </w:p>
        </w:tc>
        <w:tc>
          <w:tcPr>
            <w:tcW w:w="1187"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1,075,236</w:t>
            </w:r>
          </w:p>
        </w:tc>
        <w:tc>
          <w:tcPr>
            <w:tcW w:w="1187"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1,084,042</w:t>
            </w:r>
          </w:p>
        </w:tc>
        <w:tc>
          <w:tcPr>
            <w:tcW w:w="1174"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(132,381)</w:t>
            </w:r>
          </w:p>
        </w:tc>
        <w:tc>
          <w:tcPr>
            <w:tcW w:w="1176"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(8,808)</w:t>
            </w:r>
          </w:p>
        </w:tc>
      </w:tr>
      <w:tr w:rsidR="00617CB0" w:rsidRPr="00022D33" w:rsidTr="00854541">
        <w:trPr>
          <w:gridAfter w:val="1"/>
          <w:wAfter w:w="188" w:type="dxa"/>
        </w:trPr>
        <w:tc>
          <w:tcPr>
            <w:tcW w:w="9026" w:type="dxa"/>
            <w:gridSpan w:val="7"/>
            <w:shd w:val="clear" w:color="auto" w:fill="auto"/>
          </w:tcPr>
          <w:p w:rsidR="00617CB0" w:rsidRPr="00022D33" w:rsidRDefault="00617CB0" w:rsidP="000D7011">
            <w:pPr>
              <w:pStyle w:val="Tabletext"/>
              <w:rPr>
                <w:b/>
              </w:rPr>
            </w:pPr>
            <w:r w:rsidRPr="00022D33">
              <w:rPr>
                <w:b/>
              </w:rPr>
              <w:t>EQUITY</w:t>
            </w:r>
          </w:p>
        </w:tc>
      </w:tr>
      <w:tr w:rsidR="00617CB0" w:rsidRPr="00022D33" w:rsidTr="00854541">
        <w:trPr>
          <w:gridAfter w:val="1"/>
          <w:wAfter w:w="188" w:type="dxa"/>
        </w:trPr>
        <w:tc>
          <w:tcPr>
            <w:tcW w:w="2007" w:type="dxa"/>
            <w:shd w:val="clear" w:color="auto" w:fill="auto"/>
          </w:tcPr>
          <w:p w:rsidR="00617CB0" w:rsidRPr="00022D33" w:rsidRDefault="00617CB0" w:rsidP="000D7011">
            <w:pPr>
              <w:pStyle w:val="Tabletext"/>
            </w:pPr>
            <w:r w:rsidRPr="00022D33">
              <w:t>Contributed equity</w:t>
            </w:r>
          </w:p>
        </w:tc>
        <w:tc>
          <w:tcPr>
            <w:tcW w:w="1108" w:type="dxa"/>
            <w:shd w:val="clear" w:color="auto" w:fill="auto"/>
          </w:tcPr>
          <w:p w:rsidR="00617CB0" w:rsidRPr="00022D33" w:rsidRDefault="00617CB0" w:rsidP="000D7011">
            <w:pPr>
              <w:pStyle w:val="Tabletext"/>
              <w:jc w:val="right"/>
            </w:pPr>
          </w:p>
        </w:tc>
        <w:tc>
          <w:tcPr>
            <w:tcW w:w="1187" w:type="dxa"/>
            <w:shd w:val="clear" w:color="auto" w:fill="auto"/>
          </w:tcPr>
          <w:p w:rsidR="00617CB0" w:rsidRPr="00022D33" w:rsidRDefault="00617CB0" w:rsidP="000D7011">
            <w:pPr>
              <w:pStyle w:val="Tabletext"/>
              <w:jc w:val="right"/>
            </w:pPr>
            <w:r w:rsidRPr="00022D33">
              <w:t>1,112,356</w:t>
            </w:r>
          </w:p>
        </w:tc>
        <w:tc>
          <w:tcPr>
            <w:tcW w:w="1187" w:type="dxa"/>
            <w:shd w:val="clear" w:color="auto" w:fill="auto"/>
          </w:tcPr>
          <w:p w:rsidR="00617CB0" w:rsidRPr="00022D33" w:rsidRDefault="00617CB0" w:rsidP="000D7011">
            <w:pPr>
              <w:pStyle w:val="Tabletext"/>
              <w:jc w:val="right"/>
            </w:pPr>
            <w:r w:rsidRPr="00022D33">
              <w:t>1,026,944</w:t>
            </w:r>
          </w:p>
        </w:tc>
        <w:tc>
          <w:tcPr>
            <w:tcW w:w="1187" w:type="dxa"/>
            <w:shd w:val="clear" w:color="auto" w:fill="auto"/>
          </w:tcPr>
          <w:p w:rsidR="00617CB0" w:rsidRPr="00022D33" w:rsidRDefault="00617CB0" w:rsidP="000D7011">
            <w:pPr>
              <w:pStyle w:val="Tabletext"/>
              <w:jc w:val="right"/>
            </w:pPr>
            <w:r w:rsidRPr="00022D33">
              <w:t>996,594</w:t>
            </w:r>
          </w:p>
        </w:tc>
        <w:tc>
          <w:tcPr>
            <w:tcW w:w="1174" w:type="dxa"/>
            <w:shd w:val="clear" w:color="auto" w:fill="auto"/>
          </w:tcPr>
          <w:p w:rsidR="00617CB0" w:rsidRPr="00022D33" w:rsidRDefault="00617CB0" w:rsidP="000D7011">
            <w:pPr>
              <w:pStyle w:val="Tabletext"/>
              <w:jc w:val="right"/>
            </w:pPr>
            <w:r w:rsidRPr="00022D33">
              <w:t>(85,412)</w:t>
            </w:r>
          </w:p>
        </w:tc>
        <w:tc>
          <w:tcPr>
            <w:tcW w:w="1176" w:type="dxa"/>
            <w:shd w:val="clear" w:color="auto" w:fill="auto"/>
          </w:tcPr>
          <w:p w:rsidR="00617CB0" w:rsidRPr="00022D33" w:rsidRDefault="00617CB0" w:rsidP="000D7011">
            <w:pPr>
              <w:pStyle w:val="Tabletext"/>
              <w:jc w:val="right"/>
            </w:pPr>
            <w:r w:rsidRPr="00022D33">
              <w:t>30,350</w:t>
            </w:r>
          </w:p>
        </w:tc>
      </w:tr>
      <w:tr w:rsidR="00617CB0" w:rsidRPr="00022D33" w:rsidTr="00854541">
        <w:trPr>
          <w:gridAfter w:val="1"/>
          <w:wAfter w:w="188" w:type="dxa"/>
        </w:trPr>
        <w:tc>
          <w:tcPr>
            <w:tcW w:w="2007" w:type="dxa"/>
            <w:shd w:val="clear" w:color="auto" w:fill="auto"/>
          </w:tcPr>
          <w:p w:rsidR="00617CB0" w:rsidRPr="00022D33" w:rsidRDefault="00617CB0" w:rsidP="000D7011">
            <w:pPr>
              <w:pStyle w:val="Tabletext"/>
            </w:pPr>
            <w:r w:rsidRPr="00022D33">
              <w:t>Reserves</w:t>
            </w:r>
          </w:p>
        </w:tc>
        <w:tc>
          <w:tcPr>
            <w:tcW w:w="1108" w:type="dxa"/>
            <w:shd w:val="clear" w:color="auto" w:fill="auto"/>
          </w:tcPr>
          <w:p w:rsidR="00617CB0" w:rsidRPr="00022D33" w:rsidRDefault="00617CB0" w:rsidP="000D7011">
            <w:pPr>
              <w:pStyle w:val="Tabletext"/>
              <w:jc w:val="right"/>
            </w:pPr>
          </w:p>
        </w:tc>
        <w:tc>
          <w:tcPr>
            <w:tcW w:w="1187" w:type="dxa"/>
            <w:shd w:val="clear" w:color="auto" w:fill="auto"/>
          </w:tcPr>
          <w:p w:rsidR="00617CB0" w:rsidRPr="00022D33" w:rsidRDefault="00617CB0" w:rsidP="000D7011">
            <w:pPr>
              <w:pStyle w:val="Tabletext"/>
              <w:jc w:val="right"/>
            </w:pPr>
            <w:r w:rsidRPr="00022D33">
              <w:t>32,847</w:t>
            </w:r>
          </w:p>
        </w:tc>
        <w:tc>
          <w:tcPr>
            <w:tcW w:w="1187" w:type="dxa"/>
            <w:shd w:val="clear" w:color="auto" w:fill="auto"/>
          </w:tcPr>
          <w:p w:rsidR="00617CB0" w:rsidRPr="00022D33" w:rsidRDefault="00617CB0" w:rsidP="000D7011">
            <w:pPr>
              <w:pStyle w:val="Tabletext"/>
              <w:jc w:val="right"/>
            </w:pPr>
            <w:r w:rsidRPr="00022D33">
              <w:t>-</w:t>
            </w:r>
          </w:p>
        </w:tc>
        <w:tc>
          <w:tcPr>
            <w:tcW w:w="1187" w:type="dxa"/>
            <w:shd w:val="clear" w:color="auto" w:fill="auto"/>
          </w:tcPr>
          <w:p w:rsidR="00617CB0" w:rsidRPr="00022D33" w:rsidRDefault="00617CB0" w:rsidP="000D7011">
            <w:pPr>
              <w:pStyle w:val="Tabletext"/>
              <w:jc w:val="right"/>
            </w:pPr>
            <w:r w:rsidRPr="00022D33">
              <w:t>18,665</w:t>
            </w:r>
          </w:p>
        </w:tc>
        <w:tc>
          <w:tcPr>
            <w:tcW w:w="1174" w:type="dxa"/>
            <w:shd w:val="clear" w:color="auto" w:fill="auto"/>
          </w:tcPr>
          <w:p w:rsidR="00617CB0" w:rsidRPr="00022D33" w:rsidRDefault="00617CB0" w:rsidP="000D7011">
            <w:pPr>
              <w:pStyle w:val="Tabletext"/>
              <w:jc w:val="right"/>
            </w:pPr>
            <w:r w:rsidRPr="00022D33">
              <w:t>(32,847)</w:t>
            </w:r>
          </w:p>
        </w:tc>
        <w:tc>
          <w:tcPr>
            <w:tcW w:w="1176" w:type="dxa"/>
            <w:shd w:val="clear" w:color="auto" w:fill="auto"/>
          </w:tcPr>
          <w:p w:rsidR="00617CB0" w:rsidRPr="00022D33" w:rsidRDefault="00617CB0" w:rsidP="000D7011">
            <w:pPr>
              <w:pStyle w:val="Tabletext"/>
              <w:jc w:val="right"/>
            </w:pPr>
            <w:r w:rsidRPr="00022D33">
              <w:t>(18,665)</w:t>
            </w:r>
          </w:p>
        </w:tc>
      </w:tr>
      <w:tr w:rsidR="00617CB0" w:rsidRPr="00022D33" w:rsidTr="00854541">
        <w:trPr>
          <w:gridAfter w:val="1"/>
          <w:wAfter w:w="188" w:type="dxa"/>
        </w:trPr>
        <w:tc>
          <w:tcPr>
            <w:tcW w:w="2007" w:type="dxa"/>
            <w:shd w:val="clear" w:color="auto" w:fill="auto"/>
          </w:tcPr>
          <w:p w:rsidR="00617CB0" w:rsidRPr="00022D33" w:rsidRDefault="00617CB0" w:rsidP="000D7011">
            <w:pPr>
              <w:pStyle w:val="Tabletext"/>
            </w:pPr>
            <w:r w:rsidRPr="00022D33">
              <w:t>Accumulated surplus</w:t>
            </w:r>
          </w:p>
        </w:tc>
        <w:tc>
          <w:tcPr>
            <w:tcW w:w="1108" w:type="dxa"/>
            <w:shd w:val="clear" w:color="auto" w:fill="auto"/>
          </w:tcPr>
          <w:p w:rsidR="00617CB0" w:rsidRPr="00022D33" w:rsidRDefault="00617CB0" w:rsidP="000D7011">
            <w:pPr>
              <w:pStyle w:val="Tabletext"/>
              <w:jc w:val="right"/>
            </w:pPr>
          </w:p>
        </w:tc>
        <w:tc>
          <w:tcPr>
            <w:tcW w:w="1187" w:type="dxa"/>
            <w:tcBorders>
              <w:bottom w:val="single" w:sz="4" w:space="0" w:color="auto"/>
            </w:tcBorders>
            <w:shd w:val="clear" w:color="auto" w:fill="auto"/>
          </w:tcPr>
          <w:p w:rsidR="00617CB0" w:rsidRPr="00022D33" w:rsidRDefault="00617CB0" w:rsidP="000D7011">
            <w:pPr>
              <w:pStyle w:val="Tabletext"/>
              <w:jc w:val="right"/>
            </w:pPr>
            <w:r w:rsidRPr="00022D33">
              <w:t>62,414</w:t>
            </w:r>
          </w:p>
        </w:tc>
        <w:tc>
          <w:tcPr>
            <w:tcW w:w="1187" w:type="dxa"/>
            <w:tcBorders>
              <w:bottom w:val="single" w:sz="4" w:space="0" w:color="auto"/>
            </w:tcBorders>
            <w:shd w:val="clear" w:color="auto" w:fill="auto"/>
          </w:tcPr>
          <w:p w:rsidR="00617CB0" w:rsidRPr="00022D33" w:rsidRDefault="00617CB0" w:rsidP="000D7011">
            <w:pPr>
              <w:pStyle w:val="Tabletext"/>
              <w:jc w:val="right"/>
            </w:pPr>
            <w:r w:rsidRPr="00022D33">
              <w:t>48,292</w:t>
            </w:r>
          </w:p>
        </w:tc>
        <w:tc>
          <w:tcPr>
            <w:tcW w:w="1187" w:type="dxa"/>
            <w:tcBorders>
              <w:bottom w:val="single" w:sz="4" w:space="0" w:color="auto"/>
            </w:tcBorders>
            <w:shd w:val="clear" w:color="auto" w:fill="auto"/>
          </w:tcPr>
          <w:p w:rsidR="00617CB0" w:rsidRPr="00022D33" w:rsidRDefault="00617CB0" w:rsidP="000D7011">
            <w:pPr>
              <w:pStyle w:val="Tabletext"/>
              <w:jc w:val="right"/>
            </w:pPr>
            <w:r w:rsidRPr="00022D33">
              <w:t>68,783</w:t>
            </w:r>
          </w:p>
        </w:tc>
        <w:tc>
          <w:tcPr>
            <w:tcW w:w="1174" w:type="dxa"/>
            <w:tcBorders>
              <w:bottom w:val="single" w:sz="4" w:space="0" w:color="auto"/>
            </w:tcBorders>
            <w:shd w:val="clear" w:color="auto" w:fill="auto"/>
          </w:tcPr>
          <w:p w:rsidR="00617CB0" w:rsidRPr="00022D33" w:rsidRDefault="00617CB0" w:rsidP="000D7011">
            <w:pPr>
              <w:pStyle w:val="Tabletext"/>
              <w:jc w:val="right"/>
            </w:pPr>
            <w:r w:rsidRPr="00022D33">
              <w:t>(14,122)</w:t>
            </w:r>
          </w:p>
        </w:tc>
        <w:tc>
          <w:tcPr>
            <w:tcW w:w="1176" w:type="dxa"/>
            <w:tcBorders>
              <w:bottom w:val="single" w:sz="4" w:space="0" w:color="auto"/>
            </w:tcBorders>
            <w:shd w:val="clear" w:color="auto" w:fill="auto"/>
          </w:tcPr>
          <w:p w:rsidR="00617CB0" w:rsidRPr="00022D33" w:rsidRDefault="00617CB0" w:rsidP="000D7011">
            <w:pPr>
              <w:pStyle w:val="Tabletext"/>
              <w:jc w:val="right"/>
            </w:pPr>
            <w:r w:rsidRPr="00022D33">
              <w:t>(20,491)</w:t>
            </w:r>
          </w:p>
        </w:tc>
      </w:tr>
      <w:tr w:rsidR="00617CB0" w:rsidRPr="00022D33" w:rsidTr="00854541">
        <w:trPr>
          <w:gridAfter w:val="1"/>
          <w:wAfter w:w="188" w:type="dxa"/>
        </w:trPr>
        <w:tc>
          <w:tcPr>
            <w:tcW w:w="2007" w:type="dxa"/>
            <w:shd w:val="clear" w:color="auto" w:fill="auto"/>
          </w:tcPr>
          <w:p w:rsidR="00617CB0" w:rsidRPr="00022D33" w:rsidRDefault="00617CB0" w:rsidP="000D7011">
            <w:pPr>
              <w:pStyle w:val="Tabletext"/>
              <w:rPr>
                <w:b/>
              </w:rPr>
            </w:pPr>
            <w:r w:rsidRPr="00022D33">
              <w:rPr>
                <w:b/>
              </w:rPr>
              <w:t>TOTAL EQUITY</w:t>
            </w:r>
          </w:p>
        </w:tc>
        <w:tc>
          <w:tcPr>
            <w:tcW w:w="1108" w:type="dxa"/>
            <w:shd w:val="clear" w:color="auto" w:fill="auto"/>
          </w:tcPr>
          <w:p w:rsidR="00617CB0" w:rsidRPr="00022D33" w:rsidRDefault="00617CB0" w:rsidP="000D7011">
            <w:pPr>
              <w:pStyle w:val="Tabletext"/>
              <w:jc w:val="right"/>
            </w:pPr>
          </w:p>
        </w:tc>
        <w:tc>
          <w:tcPr>
            <w:tcW w:w="1187" w:type="dxa"/>
            <w:tcBorders>
              <w:top w:val="single" w:sz="4" w:space="0" w:color="auto"/>
              <w:bottom w:val="double" w:sz="4" w:space="0" w:color="auto"/>
            </w:tcBorders>
            <w:shd w:val="clear" w:color="auto" w:fill="auto"/>
          </w:tcPr>
          <w:p w:rsidR="00617CB0" w:rsidRPr="00022D33" w:rsidRDefault="00617CB0" w:rsidP="000D7011">
            <w:pPr>
              <w:pStyle w:val="Tabletext"/>
              <w:jc w:val="right"/>
              <w:rPr>
                <w:b/>
              </w:rPr>
            </w:pPr>
            <w:r w:rsidRPr="00022D33">
              <w:rPr>
                <w:b/>
              </w:rPr>
              <w:t>1,207,617</w:t>
            </w:r>
          </w:p>
        </w:tc>
        <w:tc>
          <w:tcPr>
            <w:tcW w:w="1187" w:type="dxa"/>
            <w:tcBorders>
              <w:top w:val="single" w:sz="4" w:space="0" w:color="auto"/>
              <w:bottom w:val="double" w:sz="4" w:space="0" w:color="auto"/>
            </w:tcBorders>
            <w:shd w:val="clear" w:color="auto" w:fill="auto"/>
          </w:tcPr>
          <w:p w:rsidR="00617CB0" w:rsidRPr="00022D33" w:rsidRDefault="00617CB0" w:rsidP="000D7011">
            <w:pPr>
              <w:pStyle w:val="Tabletext"/>
              <w:jc w:val="right"/>
              <w:rPr>
                <w:b/>
              </w:rPr>
            </w:pPr>
            <w:r w:rsidRPr="00022D33">
              <w:rPr>
                <w:b/>
              </w:rPr>
              <w:t>1,075,236</w:t>
            </w:r>
          </w:p>
        </w:tc>
        <w:tc>
          <w:tcPr>
            <w:tcW w:w="1187" w:type="dxa"/>
            <w:tcBorders>
              <w:top w:val="single" w:sz="4" w:space="0" w:color="auto"/>
              <w:bottom w:val="double" w:sz="4" w:space="0" w:color="auto"/>
            </w:tcBorders>
            <w:shd w:val="clear" w:color="auto" w:fill="auto"/>
          </w:tcPr>
          <w:p w:rsidR="00617CB0" w:rsidRPr="00022D33" w:rsidRDefault="00617CB0" w:rsidP="000D7011">
            <w:pPr>
              <w:pStyle w:val="Tabletext"/>
              <w:jc w:val="right"/>
              <w:rPr>
                <w:b/>
              </w:rPr>
            </w:pPr>
            <w:r w:rsidRPr="00022D33">
              <w:rPr>
                <w:b/>
              </w:rPr>
              <w:t>1,084,042</w:t>
            </w:r>
          </w:p>
        </w:tc>
        <w:tc>
          <w:tcPr>
            <w:tcW w:w="1174" w:type="dxa"/>
            <w:tcBorders>
              <w:top w:val="single" w:sz="4" w:space="0" w:color="auto"/>
              <w:bottom w:val="double" w:sz="4" w:space="0" w:color="auto"/>
            </w:tcBorders>
            <w:shd w:val="clear" w:color="auto" w:fill="auto"/>
          </w:tcPr>
          <w:p w:rsidR="00617CB0" w:rsidRPr="00022D33" w:rsidRDefault="00617CB0" w:rsidP="000D7011">
            <w:pPr>
              <w:pStyle w:val="Tabletext"/>
              <w:jc w:val="right"/>
              <w:rPr>
                <w:b/>
              </w:rPr>
            </w:pPr>
            <w:r w:rsidRPr="00022D33">
              <w:rPr>
                <w:b/>
              </w:rPr>
              <w:t>(132,381)</w:t>
            </w:r>
          </w:p>
        </w:tc>
        <w:tc>
          <w:tcPr>
            <w:tcW w:w="1176" w:type="dxa"/>
            <w:tcBorders>
              <w:top w:val="single" w:sz="4" w:space="0" w:color="auto"/>
              <w:bottom w:val="double" w:sz="4" w:space="0" w:color="auto"/>
            </w:tcBorders>
            <w:shd w:val="clear" w:color="auto" w:fill="auto"/>
          </w:tcPr>
          <w:p w:rsidR="00617CB0" w:rsidRPr="00022D33" w:rsidRDefault="00617CB0" w:rsidP="000D7011">
            <w:pPr>
              <w:pStyle w:val="Tabletext"/>
              <w:jc w:val="right"/>
              <w:rPr>
                <w:b/>
              </w:rPr>
            </w:pPr>
            <w:r w:rsidRPr="00022D33">
              <w:rPr>
                <w:b/>
              </w:rPr>
              <w:t>(8,806)</w:t>
            </w:r>
          </w:p>
        </w:tc>
      </w:tr>
    </w:tbl>
    <w:p w:rsidR="00617CB0" w:rsidRPr="00022D33" w:rsidRDefault="00617CB0" w:rsidP="006E3423">
      <w:pPr>
        <w:pStyle w:val="BodyText"/>
        <w:spacing w:before="240"/>
        <w:rPr>
          <w:bCs/>
          <w:i/>
          <w:iCs/>
          <w:szCs w:val="26"/>
          <w:lang w:eastAsia="en-US"/>
        </w:rPr>
      </w:pPr>
      <w:r w:rsidRPr="00022D33">
        <w:rPr>
          <w:bCs/>
          <w:i/>
          <w:iCs/>
          <w:szCs w:val="26"/>
          <w:lang w:eastAsia="en-US"/>
        </w:rPr>
        <w:t>Major Estimate and Actual (2016) Variance Narratives</w:t>
      </w:r>
    </w:p>
    <w:p w:rsidR="00617CB0" w:rsidRPr="00022D33" w:rsidRDefault="00617CB0" w:rsidP="00617CB0">
      <w:pPr>
        <w:pStyle w:val="BodyText"/>
        <w:rPr>
          <w:bCs/>
          <w:iCs/>
          <w:szCs w:val="26"/>
          <w:lang w:eastAsia="en-US"/>
        </w:rPr>
      </w:pPr>
      <w:r w:rsidRPr="00022D33">
        <w:rPr>
          <w:bCs/>
          <w:iCs/>
          <w:szCs w:val="26"/>
          <w:lang w:eastAsia="en-US"/>
        </w:rPr>
        <w:t>1) The variation to the 2016 estimate largely relates to the valuation decrease of land and buildings.</w:t>
      </w:r>
    </w:p>
    <w:p w:rsidR="00617CB0" w:rsidRPr="00022D33" w:rsidRDefault="00617CB0" w:rsidP="00617CB0">
      <w:pPr>
        <w:pStyle w:val="BodyText"/>
        <w:rPr>
          <w:bCs/>
          <w:iCs/>
          <w:szCs w:val="26"/>
          <w:lang w:eastAsia="en-US"/>
        </w:rPr>
      </w:pPr>
      <w:r w:rsidRPr="00022D33">
        <w:rPr>
          <w:bCs/>
          <w:iCs/>
          <w:szCs w:val="26"/>
          <w:lang w:eastAsia="en-US"/>
        </w:rPr>
        <w:t>2) Borrowings increased towards the end of the financial year as a result of higher State Fleet vehicle acquisitions (on behalf of other agencies).</w:t>
      </w:r>
    </w:p>
    <w:p w:rsidR="00617CB0" w:rsidRPr="00022D33" w:rsidRDefault="00617CB0" w:rsidP="00617CB0">
      <w:pPr>
        <w:pStyle w:val="BodyText"/>
        <w:rPr>
          <w:bCs/>
          <w:i/>
          <w:iCs/>
          <w:szCs w:val="26"/>
          <w:lang w:eastAsia="en-US"/>
        </w:rPr>
      </w:pPr>
      <w:r w:rsidRPr="00022D33">
        <w:rPr>
          <w:bCs/>
          <w:i/>
          <w:iCs/>
          <w:szCs w:val="26"/>
          <w:lang w:eastAsia="en-US"/>
        </w:rPr>
        <w:t>Major Actual (2016) and Comparative (2015) Variance Narratives</w:t>
      </w:r>
    </w:p>
    <w:p w:rsidR="000E1586" w:rsidRDefault="00617CB0" w:rsidP="000E1586">
      <w:pPr>
        <w:pStyle w:val="BodyText"/>
        <w:keepNext/>
        <w:rPr>
          <w:bCs/>
          <w:iCs/>
          <w:szCs w:val="26"/>
          <w:lang w:eastAsia="en-US"/>
        </w:rPr>
      </w:pPr>
      <w:r w:rsidRPr="00022D33">
        <w:rPr>
          <w:bCs/>
          <w:iCs/>
          <w:szCs w:val="26"/>
          <w:lang w:eastAsia="en-US"/>
        </w:rPr>
        <w:t>A) Growth in amounts receivable for services relates to increasing depreciation provisions for additional state owned assets related to the capital works programs undertaken by the Department.</w:t>
      </w:r>
    </w:p>
    <w:p w:rsidR="00617CB0" w:rsidRPr="00022D33" w:rsidRDefault="00617CB0" w:rsidP="000E1586">
      <w:pPr>
        <w:pStyle w:val="BodyText"/>
        <w:keepNext/>
      </w:pPr>
      <w:r w:rsidRPr="00022D33">
        <w:t>B) The reduction in property, plant, equipment and vehicles relates primarily to the transfer of the Fremantle Prison to the State Heritage Office, office fit-out assets transferred to the WA Police and valuation decreases to land and buildings.</w:t>
      </w:r>
    </w:p>
    <w:p w:rsidR="000E1586" w:rsidRDefault="00617CB0" w:rsidP="000E1586">
      <w:pPr>
        <w:pStyle w:val="BodyText"/>
        <w:keepNext/>
        <w:sectPr w:rsidR="000E1586" w:rsidSect="000E1586">
          <w:pgSz w:w="11906" w:h="16838" w:code="9"/>
          <w:pgMar w:top="1418" w:right="1440" w:bottom="567" w:left="1440" w:header="0" w:footer="709" w:gutter="0"/>
          <w:cols w:space="708"/>
          <w:docGrid w:linePitch="360"/>
        </w:sectPr>
      </w:pPr>
      <w:r w:rsidRPr="00022D33">
        <w:t>C) The growth in lease incentives negotiated for government office accommodation has increased due to market conditions. The increase for 2016 also includes a significant incentive for the St George's Cathedral Heritage Precinct.</w:t>
      </w:r>
    </w:p>
    <w:p w:rsidR="00617CB0" w:rsidRPr="00022D33" w:rsidRDefault="00196F4C" w:rsidP="00617CB0">
      <w:pPr>
        <w:pStyle w:val="Caption"/>
        <w:keepNext/>
        <w:spacing w:after="60"/>
      </w:pPr>
      <w:fldSimple w:instr=" SEQ Table \* ARABIC ">
        <w:r w:rsidR="00D8778B">
          <w:rPr>
            <w:noProof/>
          </w:rPr>
          <w:t>66</w:t>
        </w:r>
      </w:fldSimple>
      <w:r w:rsidR="00617CB0" w:rsidRPr="00022D33">
        <w:t xml:space="preserve"> Statement of Cash Flows (Controlled Operations)</w:t>
      </w:r>
    </w:p>
    <w:tbl>
      <w:tblPr>
        <w:tblW w:w="0" w:type="auto"/>
        <w:tblLook w:val="04A0" w:firstRow="1" w:lastRow="0" w:firstColumn="1" w:lastColumn="0" w:noHBand="0" w:noVBand="1"/>
      </w:tblPr>
      <w:tblGrid>
        <w:gridCol w:w="2104"/>
        <w:gridCol w:w="1065"/>
        <w:gridCol w:w="1172"/>
        <w:gridCol w:w="1172"/>
        <w:gridCol w:w="1228"/>
        <w:gridCol w:w="1141"/>
        <w:gridCol w:w="1144"/>
      </w:tblGrid>
      <w:tr w:rsidR="00617CB0" w:rsidRPr="00022D33" w:rsidTr="000E1586">
        <w:tc>
          <w:tcPr>
            <w:tcW w:w="2104" w:type="dxa"/>
            <w:shd w:val="clear" w:color="auto" w:fill="auto"/>
          </w:tcPr>
          <w:p w:rsidR="00617CB0" w:rsidRPr="00022D33" w:rsidRDefault="00617CB0" w:rsidP="000D7011">
            <w:pPr>
              <w:pStyle w:val="BodyText"/>
            </w:pPr>
          </w:p>
        </w:tc>
        <w:tc>
          <w:tcPr>
            <w:tcW w:w="1065" w:type="dxa"/>
            <w:shd w:val="clear" w:color="auto" w:fill="auto"/>
          </w:tcPr>
          <w:p w:rsidR="00617CB0" w:rsidRDefault="00617CB0" w:rsidP="000D7011">
            <w:pPr>
              <w:pStyle w:val="Tableboldedtext"/>
              <w:jc w:val="right"/>
            </w:pPr>
            <w:r>
              <w:t>Variance</w:t>
            </w:r>
          </w:p>
          <w:p w:rsidR="00617CB0" w:rsidRPr="00022D33" w:rsidRDefault="00617CB0" w:rsidP="000D7011">
            <w:pPr>
              <w:pStyle w:val="Tableboldedtext"/>
              <w:jc w:val="right"/>
            </w:pPr>
            <w:r w:rsidRPr="00022D33">
              <w:t>Note</w:t>
            </w:r>
          </w:p>
        </w:tc>
        <w:tc>
          <w:tcPr>
            <w:tcW w:w="1172" w:type="dxa"/>
            <w:shd w:val="clear" w:color="auto" w:fill="auto"/>
          </w:tcPr>
          <w:p w:rsidR="00617CB0" w:rsidRPr="00022D33" w:rsidRDefault="00617CB0" w:rsidP="000D7011">
            <w:pPr>
              <w:pStyle w:val="Tableboldedtext"/>
              <w:jc w:val="right"/>
            </w:pPr>
            <w:r w:rsidRPr="00022D33">
              <w:t>Estimate 2016   $000</w:t>
            </w:r>
          </w:p>
        </w:tc>
        <w:tc>
          <w:tcPr>
            <w:tcW w:w="1172" w:type="dxa"/>
            <w:shd w:val="clear" w:color="auto" w:fill="auto"/>
          </w:tcPr>
          <w:p w:rsidR="00617CB0" w:rsidRPr="00022D33" w:rsidRDefault="00617CB0" w:rsidP="000D7011">
            <w:pPr>
              <w:pStyle w:val="Tableboldedtext"/>
              <w:jc w:val="right"/>
            </w:pPr>
            <w:r w:rsidRPr="00022D33">
              <w:t>Actual 2016   $000</w:t>
            </w:r>
          </w:p>
        </w:tc>
        <w:tc>
          <w:tcPr>
            <w:tcW w:w="1228" w:type="dxa"/>
            <w:shd w:val="clear" w:color="auto" w:fill="auto"/>
          </w:tcPr>
          <w:p w:rsidR="00617CB0" w:rsidRPr="00022D33" w:rsidRDefault="00617CB0" w:rsidP="000D7011">
            <w:pPr>
              <w:pStyle w:val="Tableboldedtext"/>
              <w:jc w:val="right"/>
            </w:pPr>
            <w:r w:rsidRPr="00022D33">
              <w:t>Actual 2015   $000</w:t>
            </w:r>
          </w:p>
        </w:tc>
        <w:tc>
          <w:tcPr>
            <w:tcW w:w="1141" w:type="dxa"/>
            <w:shd w:val="clear" w:color="auto" w:fill="auto"/>
          </w:tcPr>
          <w:p w:rsidR="00617CB0" w:rsidRPr="00022D33" w:rsidRDefault="00617CB0" w:rsidP="000D7011">
            <w:pPr>
              <w:pStyle w:val="Tableboldedtext"/>
              <w:jc w:val="right"/>
            </w:pPr>
            <w:r w:rsidRPr="00022D33">
              <w:t>Variance between estimate and actual $000</w:t>
            </w:r>
          </w:p>
        </w:tc>
        <w:tc>
          <w:tcPr>
            <w:tcW w:w="1144" w:type="dxa"/>
            <w:shd w:val="clear" w:color="auto" w:fill="auto"/>
          </w:tcPr>
          <w:p w:rsidR="00617CB0" w:rsidRPr="00022D33" w:rsidRDefault="00617CB0" w:rsidP="000D7011">
            <w:pPr>
              <w:pStyle w:val="Tableboldedtext"/>
              <w:jc w:val="right"/>
            </w:pPr>
            <w:r w:rsidRPr="00022D33">
              <w:t>Variance between actual results for 2016 and 2015 $000</w:t>
            </w:r>
          </w:p>
        </w:tc>
      </w:tr>
      <w:tr w:rsidR="00617CB0" w:rsidRPr="00022D33" w:rsidTr="000E1586">
        <w:tc>
          <w:tcPr>
            <w:tcW w:w="9026" w:type="dxa"/>
            <w:gridSpan w:val="7"/>
            <w:shd w:val="clear" w:color="auto" w:fill="auto"/>
          </w:tcPr>
          <w:p w:rsidR="00617CB0" w:rsidRPr="00022D33" w:rsidRDefault="00617CB0" w:rsidP="000D7011">
            <w:pPr>
              <w:pStyle w:val="Tabletext"/>
              <w:rPr>
                <w:b/>
              </w:rPr>
            </w:pPr>
            <w:r w:rsidRPr="00022D33">
              <w:rPr>
                <w:b/>
              </w:rPr>
              <w:t>CASH FLOWS FROM STATE GOVERNMENT</w:t>
            </w:r>
          </w:p>
        </w:tc>
      </w:tr>
      <w:tr w:rsidR="00617CB0" w:rsidRPr="00022D33" w:rsidTr="000E1586">
        <w:tc>
          <w:tcPr>
            <w:tcW w:w="2104" w:type="dxa"/>
            <w:shd w:val="clear" w:color="auto" w:fill="auto"/>
          </w:tcPr>
          <w:p w:rsidR="00617CB0" w:rsidRPr="00022D33" w:rsidRDefault="00617CB0" w:rsidP="000D7011">
            <w:pPr>
              <w:pStyle w:val="Tabletext"/>
            </w:pPr>
            <w:r w:rsidRPr="00022D33">
              <w:t>Service appropriations</w:t>
            </w:r>
          </w:p>
        </w:tc>
        <w:tc>
          <w:tcPr>
            <w:tcW w:w="1065" w:type="dxa"/>
            <w:shd w:val="clear" w:color="auto" w:fill="auto"/>
          </w:tcPr>
          <w:p w:rsidR="00617CB0" w:rsidRPr="00022D33" w:rsidRDefault="00617CB0" w:rsidP="000D7011">
            <w:pPr>
              <w:pStyle w:val="Tabletext"/>
              <w:jc w:val="right"/>
            </w:pPr>
            <w:r w:rsidRPr="00022D33">
              <w:t>A</w:t>
            </w:r>
          </w:p>
        </w:tc>
        <w:tc>
          <w:tcPr>
            <w:tcW w:w="1172" w:type="dxa"/>
            <w:shd w:val="clear" w:color="auto" w:fill="auto"/>
          </w:tcPr>
          <w:p w:rsidR="00617CB0" w:rsidRPr="00022D33" w:rsidRDefault="00617CB0" w:rsidP="000D7011">
            <w:pPr>
              <w:pStyle w:val="Tabletext"/>
              <w:jc w:val="right"/>
            </w:pPr>
            <w:r w:rsidRPr="00022D33">
              <w:t>151,906</w:t>
            </w:r>
          </w:p>
        </w:tc>
        <w:tc>
          <w:tcPr>
            <w:tcW w:w="1172" w:type="dxa"/>
            <w:shd w:val="clear" w:color="auto" w:fill="auto"/>
          </w:tcPr>
          <w:p w:rsidR="00617CB0" w:rsidRPr="00022D33" w:rsidRDefault="00617CB0" w:rsidP="000D7011">
            <w:pPr>
              <w:pStyle w:val="Tabletext"/>
              <w:jc w:val="right"/>
            </w:pPr>
            <w:r w:rsidRPr="00022D33">
              <w:t>151,719</w:t>
            </w:r>
          </w:p>
        </w:tc>
        <w:tc>
          <w:tcPr>
            <w:tcW w:w="1228" w:type="dxa"/>
            <w:shd w:val="clear" w:color="auto" w:fill="auto"/>
          </w:tcPr>
          <w:p w:rsidR="00617CB0" w:rsidRPr="00022D33" w:rsidRDefault="00617CB0" w:rsidP="000D7011">
            <w:pPr>
              <w:pStyle w:val="Tabletext"/>
              <w:jc w:val="right"/>
            </w:pPr>
            <w:r w:rsidRPr="00022D33">
              <w:t>121,485</w:t>
            </w:r>
          </w:p>
        </w:tc>
        <w:tc>
          <w:tcPr>
            <w:tcW w:w="1141" w:type="dxa"/>
            <w:shd w:val="clear" w:color="auto" w:fill="auto"/>
          </w:tcPr>
          <w:p w:rsidR="00617CB0" w:rsidRPr="00022D33" w:rsidRDefault="00617CB0" w:rsidP="000D7011">
            <w:pPr>
              <w:pStyle w:val="Tabletext"/>
              <w:jc w:val="right"/>
            </w:pPr>
            <w:r w:rsidRPr="00022D33">
              <w:t>(187)</w:t>
            </w:r>
          </w:p>
        </w:tc>
        <w:tc>
          <w:tcPr>
            <w:tcW w:w="1144" w:type="dxa"/>
            <w:shd w:val="clear" w:color="auto" w:fill="auto"/>
          </w:tcPr>
          <w:p w:rsidR="00617CB0" w:rsidRPr="00022D33" w:rsidRDefault="00617CB0" w:rsidP="000D7011">
            <w:pPr>
              <w:pStyle w:val="Tabletext"/>
              <w:jc w:val="right"/>
            </w:pPr>
            <w:r w:rsidRPr="00022D33">
              <w:t>30,234</w:t>
            </w:r>
          </w:p>
        </w:tc>
      </w:tr>
      <w:tr w:rsidR="00617CB0" w:rsidRPr="00022D33" w:rsidTr="000E1586">
        <w:tc>
          <w:tcPr>
            <w:tcW w:w="2104" w:type="dxa"/>
            <w:shd w:val="clear" w:color="auto" w:fill="auto"/>
          </w:tcPr>
          <w:p w:rsidR="00617CB0" w:rsidRPr="00022D33" w:rsidRDefault="00617CB0" w:rsidP="000D7011">
            <w:pPr>
              <w:pStyle w:val="Tableitalics"/>
              <w:rPr>
                <w:i w:val="0"/>
              </w:rPr>
            </w:pPr>
            <w:r w:rsidRPr="00022D33">
              <w:rPr>
                <w:i w:val="0"/>
              </w:rPr>
              <w:t>Capital appropriations</w:t>
            </w:r>
          </w:p>
        </w:tc>
        <w:tc>
          <w:tcPr>
            <w:tcW w:w="1065" w:type="dxa"/>
            <w:shd w:val="clear" w:color="auto" w:fill="auto"/>
          </w:tcPr>
          <w:p w:rsidR="00617CB0" w:rsidRPr="00022D33" w:rsidRDefault="00617CB0" w:rsidP="000D7011">
            <w:pPr>
              <w:pStyle w:val="Tabletext"/>
              <w:jc w:val="right"/>
            </w:pPr>
            <w:r w:rsidRPr="00022D33">
              <w:t>B</w:t>
            </w:r>
          </w:p>
        </w:tc>
        <w:tc>
          <w:tcPr>
            <w:tcW w:w="1172" w:type="dxa"/>
            <w:shd w:val="clear" w:color="auto" w:fill="auto"/>
          </w:tcPr>
          <w:p w:rsidR="00617CB0" w:rsidRPr="00022D33" w:rsidRDefault="00617CB0" w:rsidP="000D7011">
            <w:pPr>
              <w:pStyle w:val="Tabletext"/>
              <w:jc w:val="right"/>
            </w:pPr>
            <w:r w:rsidRPr="00022D33">
              <w:t>86,365</w:t>
            </w:r>
          </w:p>
        </w:tc>
        <w:tc>
          <w:tcPr>
            <w:tcW w:w="1172" w:type="dxa"/>
            <w:shd w:val="clear" w:color="auto" w:fill="auto"/>
          </w:tcPr>
          <w:p w:rsidR="00617CB0" w:rsidRPr="00022D33" w:rsidRDefault="00617CB0" w:rsidP="000D7011">
            <w:pPr>
              <w:pStyle w:val="Tabletext"/>
              <w:jc w:val="right"/>
            </w:pPr>
            <w:r w:rsidRPr="00022D33">
              <w:t>84,268</w:t>
            </w:r>
          </w:p>
        </w:tc>
        <w:tc>
          <w:tcPr>
            <w:tcW w:w="1228" w:type="dxa"/>
            <w:shd w:val="clear" w:color="auto" w:fill="auto"/>
          </w:tcPr>
          <w:p w:rsidR="00617CB0" w:rsidRPr="00022D33" w:rsidRDefault="00617CB0" w:rsidP="000D7011">
            <w:pPr>
              <w:pStyle w:val="Tabletext"/>
              <w:jc w:val="right"/>
            </w:pPr>
            <w:r w:rsidRPr="00022D33">
              <w:t>15,353</w:t>
            </w:r>
          </w:p>
        </w:tc>
        <w:tc>
          <w:tcPr>
            <w:tcW w:w="1141" w:type="dxa"/>
            <w:shd w:val="clear" w:color="auto" w:fill="auto"/>
          </w:tcPr>
          <w:p w:rsidR="00617CB0" w:rsidRPr="00022D33" w:rsidRDefault="00617CB0" w:rsidP="000D7011">
            <w:pPr>
              <w:pStyle w:val="Tabletext"/>
              <w:jc w:val="right"/>
            </w:pPr>
            <w:r w:rsidRPr="00022D33">
              <w:t>(2,097)</w:t>
            </w:r>
          </w:p>
        </w:tc>
        <w:tc>
          <w:tcPr>
            <w:tcW w:w="1144" w:type="dxa"/>
            <w:shd w:val="clear" w:color="auto" w:fill="auto"/>
          </w:tcPr>
          <w:p w:rsidR="00617CB0" w:rsidRPr="00022D33" w:rsidRDefault="00617CB0" w:rsidP="000D7011">
            <w:pPr>
              <w:pStyle w:val="Tabletext"/>
              <w:jc w:val="right"/>
            </w:pPr>
            <w:r w:rsidRPr="00022D33">
              <w:t>68,915</w:t>
            </w:r>
          </w:p>
        </w:tc>
      </w:tr>
      <w:tr w:rsidR="00617CB0" w:rsidRPr="00022D33" w:rsidTr="000E1586">
        <w:tc>
          <w:tcPr>
            <w:tcW w:w="2104" w:type="dxa"/>
            <w:shd w:val="clear" w:color="auto" w:fill="auto"/>
          </w:tcPr>
          <w:p w:rsidR="00617CB0" w:rsidRPr="00022D33" w:rsidRDefault="00617CB0" w:rsidP="000D7011">
            <w:pPr>
              <w:pStyle w:val="Tableitalics"/>
              <w:rPr>
                <w:i w:val="0"/>
              </w:rPr>
            </w:pPr>
            <w:r w:rsidRPr="00022D33">
              <w:rPr>
                <w:i w:val="0"/>
              </w:rPr>
              <w:t>Holding account drawdowns</w:t>
            </w:r>
          </w:p>
        </w:tc>
        <w:tc>
          <w:tcPr>
            <w:tcW w:w="1065" w:type="dxa"/>
            <w:shd w:val="clear" w:color="auto" w:fill="auto"/>
          </w:tcPr>
          <w:p w:rsidR="00617CB0" w:rsidRPr="00022D33" w:rsidRDefault="00617CB0" w:rsidP="000D7011">
            <w:pPr>
              <w:pStyle w:val="Tabletext"/>
              <w:jc w:val="right"/>
            </w:pPr>
          </w:p>
        </w:tc>
        <w:tc>
          <w:tcPr>
            <w:tcW w:w="1172" w:type="dxa"/>
            <w:shd w:val="clear" w:color="auto" w:fill="auto"/>
          </w:tcPr>
          <w:p w:rsidR="00617CB0" w:rsidRPr="00022D33" w:rsidRDefault="00617CB0" w:rsidP="000D7011">
            <w:pPr>
              <w:pStyle w:val="Tabletext"/>
              <w:jc w:val="right"/>
            </w:pPr>
            <w:r w:rsidRPr="00022D33">
              <w:t>1,469</w:t>
            </w:r>
          </w:p>
        </w:tc>
        <w:tc>
          <w:tcPr>
            <w:tcW w:w="1172" w:type="dxa"/>
            <w:shd w:val="clear" w:color="auto" w:fill="auto"/>
          </w:tcPr>
          <w:p w:rsidR="00617CB0" w:rsidRPr="00022D33" w:rsidRDefault="00617CB0" w:rsidP="000D7011">
            <w:pPr>
              <w:pStyle w:val="Tabletext"/>
              <w:jc w:val="right"/>
            </w:pPr>
            <w:r w:rsidRPr="00022D33">
              <w:t>1,469</w:t>
            </w:r>
          </w:p>
        </w:tc>
        <w:tc>
          <w:tcPr>
            <w:tcW w:w="1228" w:type="dxa"/>
            <w:shd w:val="clear" w:color="auto" w:fill="auto"/>
          </w:tcPr>
          <w:p w:rsidR="00617CB0" w:rsidRPr="00022D33" w:rsidRDefault="00617CB0" w:rsidP="000D7011">
            <w:pPr>
              <w:pStyle w:val="Tabletext"/>
              <w:jc w:val="right"/>
            </w:pPr>
            <w:r w:rsidRPr="00022D33">
              <w:t>1,553</w:t>
            </w:r>
          </w:p>
        </w:tc>
        <w:tc>
          <w:tcPr>
            <w:tcW w:w="1141" w:type="dxa"/>
            <w:shd w:val="clear" w:color="auto" w:fill="auto"/>
          </w:tcPr>
          <w:p w:rsidR="00617CB0" w:rsidRPr="00022D33" w:rsidRDefault="00617CB0" w:rsidP="000D7011">
            <w:pPr>
              <w:pStyle w:val="Tabletext"/>
              <w:jc w:val="right"/>
            </w:pPr>
            <w:r w:rsidRPr="00022D33">
              <w:t>-</w:t>
            </w:r>
          </w:p>
        </w:tc>
        <w:tc>
          <w:tcPr>
            <w:tcW w:w="1144" w:type="dxa"/>
            <w:shd w:val="clear" w:color="auto" w:fill="auto"/>
          </w:tcPr>
          <w:p w:rsidR="00617CB0" w:rsidRPr="00022D33" w:rsidRDefault="00617CB0" w:rsidP="000D7011">
            <w:pPr>
              <w:pStyle w:val="Tabletext"/>
              <w:jc w:val="right"/>
            </w:pPr>
            <w:r w:rsidRPr="00022D33">
              <w:t>(84)</w:t>
            </w:r>
          </w:p>
        </w:tc>
      </w:tr>
      <w:tr w:rsidR="00617CB0" w:rsidRPr="00022D33" w:rsidTr="000E1586">
        <w:tc>
          <w:tcPr>
            <w:tcW w:w="2104" w:type="dxa"/>
            <w:shd w:val="clear" w:color="auto" w:fill="auto"/>
          </w:tcPr>
          <w:p w:rsidR="00617CB0" w:rsidRPr="00022D33" w:rsidRDefault="00617CB0" w:rsidP="000D7011">
            <w:pPr>
              <w:pStyle w:val="Tabletext"/>
            </w:pPr>
            <w:r w:rsidRPr="00022D33">
              <w:t>Receipts from Treasurer’s advance</w:t>
            </w:r>
          </w:p>
        </w:tc>
        <w:tc>
          <w:tcPr>
            <w:tcW w:w="1065" w:type="dxa"/>
            <w:shd w:val="clear" w:color="auto" w:fill="auto"/>
          </w:tcPr>
          <w:p w:rsidR="00617CB0" w:rsidRPr="00022D33" w:rsidRDefault="00617CB0" w:rsidP="000D7011">
            <w:pPr>
              <w:pStyle w:val="Tabletext"/>
              <w:jc w:val="right"/>
            </w:pPr>
            <w:r w:rsidRPr="00022D33">
              <w:t>C</w:t>
            </w:r>
          </w:p>
        </w:tc>
        <w:tc>
          <w:tcPr>
            <w:tcW w:w="1172" w:type="dxa"/>
            <w:shd w:val="clear" w:color="auto" w:fill="auto"/>
          </w:tcPr>
          <w:p w:rsidR="00617CB0" w:rsidRPr="00022D33" w:rsidRDefault="00617CB0" w:rsidP="000D7011">
            <w:pPr>
              <w:pStyle w:val="Tabletext"/>
              <w:jc w:val="right"/>
            </w:pPr>
            <w:r w:rsidRPr="00022D33">
              <w:t>-</w:t>
            </w:r>
          </w:p>
        </w:tc>
        <w:tc>
          <w:tcPr>
            <w:tcW w:w="1172" w:type="dxa"/>
            <w:shd w:val="clear" w:color="auto" w:fill="auto"/>
          </w:tcPr>
          <w:p w:rsidR="00617CB0" w:rsidRPr="00022D33" w:rsidRDefault="00617CB0" w:rsidP="000D7011">
            <w:pPr>
              <w:pStyle w:val="Tabletext"/>
              <w:jc w:val="right"/>
            </w:pPr>
            <w:r w:rsidRPr="00022D33">
              <w:t>-</w:t>
            </w:r>
          </w:p>
        </w:tc>
        <w:tc>
          <w:tcPr>
            <w:tcW w:w="1228" w:type="dxa"/>
            <w:shd w:val="clear" w:color="auto" w:fill="auto"/>
          </w:tcPr>
          <w:p w:rsidR="00617CB0" w:rsidRPr="00022D33" w:rsidRDefault="00617CB0" w:rsidP="000D7011">
            <w:pPr>
              <w:pStyle w:val="Tabletext"/>
              <w:jc w:val="right"/>
            </w:pPr>
            <w:r w:rsidRPr="00022D33">
              <w:t>100,000</w:t>
            </w:r>
          </w:p>
        </w:tc>
        <w:tc>
          <w:tcPr>
            <w:tcW w:w="1141" w:type="dxa"/>
            <w:shd w:val="clear" w:color="auto" w:fill="auto"/>
          </w:tcPr>
          <w:p w:rsidR="00617CB0" w:rsidRPr="00022D33" w:rsidRDefault="00617CB0" w:rsidP="000D7011">
            <w:pPr>
              <w:pStyle w:val="Tabletext"/>
              <w:jc w:val="right"/>
            </w:pPr>
            <w:r w:rsidRPr="00022D33">
              <w:t>-</w:t>
            </w:r>
          </w:p>
        </w:tc>
        <w:tc>
          <w:tcPr>
            <w:tcW w:w="1144" w:type="dxa"/>
            <w:shd w:val="clear" w:color="auto" w:fill="auto"/>
          </w:tcPr>
          <w:p w:rsidR="00617CB0" w:rsidRPr="00022D33" w:rsidRDefault="00617CB0" w:rsidP="000D7011">
            <w:pPr>
              <w:pStyle w:val="Tabletext"/>
              <w:jc w:val="right"/>
            </w:pPr>
            <w:r w:rsidRPr="00022D33">
              <w:t>(100,000)</w:t>
            </w:r>
          </w:p>
        </w:tc>
      </w:tr>
      <w:tr w:rsidR="00617CB0" w:rsidRPr="00022D33" w:rsidTr="000E1586">
        <w:tc>
          <w:tcPr>
            <w:tcW w:w="2104" w:type="dxa"/>
            <w:shd w:val="clear" w:color="auto" w:fill="auto"/>
          </w:tcPr>
          <w:p w:rsidR="00617CB0" w:rsidRPr="00022D33" w:rsidRDefault="00617CB0" w:rsidP="000D7011">
            <w:pPr>
              <w:pStyle w:val="Tabletext"/>
            </w:pPr>
            <w:r w:rsidRPr="00022D33">
              <w:t>Payments to Treasurer’s advance</w:t>
            </w:r>
          </w:p>
        </w:tc>
        <w:tc>
          <w:tcPr>
            <w:tcW w:w="1065" w:type="dxa"/>
            <w:shd w:val="clear" w:color="auto" w:fill="auto"/>
          </w:tcPr>
          <w:p w:rsidR="00617CB0" w:rsidRPr="00022D33" w:rsidRDefault="00617CB0" w:rsidP="000D7011">
            <w:pPr>
              <w:pStyle w:val="Tabletext"/>
              <w:jc w:val="right"/>
            </w:pPr>
            <w:r w:rsidRPr="00022D33">
              <w:t>C</w:t>
            </w:r>
          </w:p>
        </w:tc>
        <w:tc>
          <w:tcPr>
            <w:tcW w:w="1172" w:type="dxa"/>
            <w:shd w:val="clear" w:color="auto" w:fill="auto"/>
          </w:tcPr>
          <w:p w:rsidR="00617CB0" w:rsidRPr="00022D33" w:rsidRDefault="00617CB0" w:rsidP="000D7011">
            <w:pPr>
              <w:pStyle w:val="Tabletext"/>
              <w:jc w:val="right"/>
            </w:pPr>
            <w:r w:rsidRPr="00022D33">
              <w:t>-</w:t>
            </w:r>
          </w:p>
        </w:tc>
        <w:tc>
          <w:tcPr>
            <w:tcW w:w="1172" w:type="dxa"/>
            <w:shd w:val="clear" w:color="auto" w:fill="auto"/>
          </w:tcPr>
          <w:p w:rsidR="00617CB0" w:rsidRPr="00022D33" w:rsidRDefault="00617CB0" w:rsidP="000D7011">
            <w:pPr>
              <w:pStyle w:val="Tabletext"/>
              <w:jc w:val="right"/>
            </w:pPr>
            <w:r w:rsidRPr="00022D33">
              <w:t>-</w:t>
            </w:r>
          </w:p>
        </w:tc>
        <w:tc>
          <w:tcPr>
            <w:tcW w:w="1228" w:type="dxa"/>
            <w:shd w:val="clear" w:color="auto" w:fill="auto"/>
          </w:tcPr>
          <w:p w:rsidR="00617CB0" w:rsidRPr="00022D33" w:rsidRDefault="00617CB0" w:rsidP="000D7011">
            <w:pPr>
              <w:pStyle w:val="Tabletext"/>
              <w:jc w:val="right"/>
            </w:pPr>
            <w:r w:rsidRPr="00022D33">
              <w:t>(100,000)</w:t>
            </w:r>
          </w:p>
        </w:tc>
        <w:tc>
          <w:tcPr>
            <w:tcW w:w="1141" w:type="dxa"/>
            <w:shd w:val="clear" w:color="auto" w:fill="auto"/>
          </w:tcPr>
          <w:p w:rsidR="00617CB0" w:rsidRPr="00022D33" w:rsidRDefault="00617CB0" w:rsidP="000D7011">
            <w:pPr>
              <w:pStyle w:val="Tabletext"/>
              <w:jc w:val="right"/>
            </w:pPr>
            <w:r w:rsidRPr="00022D33">
              <w:t>-</w:t>
            </w:r>
          </w:p>
        </w:tc>
        <w:tc>
          <w:tcPr>
            <w:tcW w:w="1144" w:type="dxa"/>
            <w:shd w:val="clear" w:color="auto" w:fill="auto"/>
          </w:tcPr>
          <w:p w:rsidR="00617CB0" w:rsidRPr="00022D33" w:rsidRDefault="00617CB0" w:rsidP="000D7011">
            <w:pPr>
              <w:pStyle w:val="Tabletext"/>
              <w:jc w:val="right"/>
            </w:pPr>
            <w:r w:rsidRPr="00022D33">
              <w:t>100,000</w:t>
            </w:r>
          </w:p>
        </w:tc>
      </w:tr>
      <w:tr w:rsidR="00617CB0" w:rsidRPr="00022D33" w:rsidTr="000E1586">
        <w:tc>
          <w:tcPr>
            <w:tcW w:w="2104" w:type="dxa"/>
            <w:shd w:val="clear" w:color="auto" w:fill="auto"/>
          </w:tcPr>
          <w:p w:rsidR="00617CB0" w:rsidRPr="00022D33" w:rsidRDefault="00617CB0" w:rsidP="000D7011">
            <w:pPr>
              <w:pStyle w:val="Tabletext"/>
            </w:pPr>
            <w:r w:rsidRPr="00022D33">
              <w:t>Royalties for Regions Fund</w:t>
            </w:r>
          </w:p>
        </w:tc>
        <w:tc>
          <w:tcPr>
            <w:tcW w:w="1065" w:type="dxa"/>
            <w:shd w:val="clear" w:color="auto" w:fill="auto"/>
          </w:tcPr>
          <w:p w:rsidR="00617CB0" w:rsidRPr="00022D33" w:rsidRDefault="00617CB0" w:rsidP="000D7011">
            <w:pPr>
              <w:pStyle w:val="Tabletext"/>
              <w:jc w:val="right"/>
            </w:pPr>
          </w:p>
        </w:tc>
        <w:tc>
          <w:tcPr>
            <w:tcW w:w="1172" w:type="dxa"/>
            <w:shd w:val="clear" w:color="auto" w:fill="auto"/>
          </w:tcPr>
          <w:p w:rsidR="00617CB0" w:rsidRPr="00022D33" w:rsidRDefault="00617CB0" w:rsidP="000D7011">
            <w:pPr>
              <w:pStyle w:val="Tabletext"/>
              <w:jc w:val="right"/>
            </w:pPr>
            <w:r w:rsidRPr="00022D33">
              <w:t>138</w:t>
            </w:r>
          </w:p>
        </w:tc>
        <w:tc>
          <w:tcPr>
            <w:tcW w:w="1172" w:type="dxa"/>
            <w:shd w:val="clear" w:color="auto" w:fill="auto"/>
          </w:tcPr>
          <w:p w:rsidR="00617CB0" w:rsidRPr="00022D33" w:rsidRDefault="00617CB0" w:rsidP="000D7011">
            <w:pPr>
              <w:pStyle w:val="Tabletext"/>
              <w:jc w:val="right"/>
            </w:pPr>
            <w:r w:rsidRPr="00022D33">
              <w:t>127</w:t>
            </w:r>
          </w:p>
        </w:tc>
        <w:tc>
          <w:tcPr>
            <w:tcW w:w="1228" w:type="dxa"/>
            <w:shd w:val="clear" w:color="auto" w:fill="auto"/>
          </w:tcPr>
          <w:p w:rsidR="00617CB0" w:rsidRPr="00022D33" w:rsidRDefault="00617CB0" w:rsidP="000D7011">
            <w:pPr>
              <w:pStyle w:val="Tabletext"/>
              <w:jc w:val="right"/>
            </w:pPr>
            <w:r w:rsidRPr="00022D33">
              <w:t>189</w:t>
            </w:r>
          </w:p>
        </w:tc>
        <w:tc>
          <w:tcPr>
            <w:tcW w:w="1141" w:type="dxa"/>
            <w:shd w:val="clear" w:color="auto" w:fill="auto"/>
          </w:tcPr>
          <w:p w:rsidR="00617CB0" w:rsidRPr="00022D33" w:rsidRDefault="00617CB0" w:rsidP="000D7011">
            <w:pPr>
              <w:pStyle w:val="Tabletext"/>
              <w:jc w:val="right"/>
            </w:pPr>
            <w:r w:rsidRPr="00022D33">
              <w:t>(11)</w:t>
            </w:r>
          </w:p>
        </w:tc>
        <w:tc>
          <w:tcPr>
            <w:tcW w:w="1144" w:type="dxa"/>
            <w:shd w:val="clear" w:color="auto" w:fill="auto"/>
          </w:tcPr>
          <w:p w:rsidR="00617CB0" w:rsidRPr="00022D33" w:rsidRDefault="00617CB0" w:rsidP="000D7011">
            <w:pPr>
              <w:pStyle w:val="Tabletext"/>
              <w:jc w:val="right"/>
            </w:pPr>
            <w:r w:rsidRPr="00022D33">
              <w:t>(62)</w:t>
            </w:r>
          </w:p>
        </w:tc>
      </w:tr>
      <w:tr w:rsidR="00617CB0" w:rsidRPr="00022D33" w:rsidTr="000E1586">
        <w:tc>
          <w:tcPr>
            <w:tcW w:w="2104" w:type="dxa"/>
            <w:shd w:val="clear" w:color="auto" w:fill="auto"/>
          </w:tcPr>
          <w:p w:rsidR="00617CB0" w:rsidRPr="00022D33" w:rsidRDefault="00617CB0" w:rsidP="000D7011">
            <w:pPr>
              <w:pStyle w:val="Tabletext"/>
            </w:pPr>
            <w:r w:rsidRPr="00022D33">
              <w:t>Regional Infrastructure and Headworks Fund</w:t>
            </w:r>
          </w:p>
        </w:tc>
        <w:tc>
          <w:tcPr>
            <w:tcW w:w="1065" w:type="dxa"/>
            <w:shd w:val="clear" w:color="auto" w:fill="auto"/>
          </w:tcPr>
          <w:p w:rsidR="00617CB0" w:rsidRPr="00022D33" w:rsidRDefault="00617CB0" w:rsidP="000D7011">
            <w:pPr>
              <w:pStyle w:val="Tabletext"/>
              <w:jc w:val="right"/>
            </w:pPr>
          </w:p>
        </w:tc>
        <w:tc>
          <w:tcPr>
            <w:tcW w:w="1172" w:type="dxa"/>
            <w:shd w:val="clear" w:color="auto" w:fill="auto"/>
          </w:tcPr>
          <w:p w:rsidR="00617CB0" w:rsidRPr="00022D33" w:rsidRDefault="00617CB0" w:rsidP="000D7011">
            <w:pPr>
              <w:pStyle w:val="Tabletext"/>
              <w:jc w:val="right"/>
            </w:pPr>
            <w:r w:rsidRPr="00022D33">
              <w:t>5,250</w:t>
            </w:r>
          </w:p>
        </w:tc>
        <w:tc>
          <w:tcPr>
            <w:tcW w:w="1172" w:type="dxa"/>
            <w:shd w:val="clear" w:color="auto" w:fill="auto"/>
          </w:tcPr>
          <w:p w:rsidR="00617CB0" w:rsidRPr="00022D33" w:rsidRDefault="00617CB0" w:rsidP="000D7011">
            <w:pPr>
              <w:pStyle w:val="Tabletext"/>
              <w:jc w:val="right"/>
            </w:pPr>
            <w:r w:rsidRPr="00022D33">
              <w:t>5,250</w:t>
            </w:r>
          </w:p>
        </w:tc>
        <w:tc>
          <w:tcPr>
            <w:tcW w:w="1228" w:type="dxa"/>
            <w:shd w:val="clear" w:color="auto" w:fill="auto"/>
          </w:tcPr>
          <w:p w:rsidR="00617CB0" w:rsidRPr="00022D33" w:rsidRDefault="00617CB0" w:rsidP="000D7011">
            <w:pPr>
              <w:pStyle w:val="Tabletext"/>
              <w:jc w:val="right"/>
            </w:pPr>
            <w:r w:rsidRPr="00022D33">
              <w:t>500</w:t>
            </w:r>
          </w:p>
        </w:tc>
        <w:tc>
          <w:tcPr>
            <w:tcW w:w="1141" w:type="dxa"/>
            <w:shd w:val="clear" w:color="auto" w:fill="auto"/>
          </w:tcPr>
          <w:p w:rsidR="00617CB0" w:rsidRPr="00022D33" w:rsidRDefault="00617CB0" w:rsidP="000D7011">
            <w:pPr>
              <w:pStyle w:val="Tabletext"/>
              <w:jc w:val="right"/>
            </w:pPr>
            <w:r w:rsidRPr="00022D33">
              <w:t>-</w:t>
            </w:r>
          </w:p>
        </w:tc>
        <w:tc>
          <w:tcPr>
            <w:tcW w:w="1144" w:type="dxa"/>
            <w:shd w:val="clear" w:color="auto" w:fill="auto"/>
          </w:tcPr>
          <w:p w:rsidR="00617CB0" w:rsidRPr="00022D33" w:rsidRDefault="00617CB0" w:rsidP="000D7011">
            <w:pPr>
              <w:pStyle w:val="Tabletext"/>
              <w:jc w:val="right"/>
            </w:pPr>
            <w:r w:rsidRPr="00022D33">
              <w:t>4,750</w:t>
            </w:r>
          </w:p>
        </w:tc>
      </w:tr>
      <w:tr w:rsidR="00617CB0" w:rsidRPr="00022D33" w:rsidTr="000E1586">
        <w:tc>
          <w:tcPr>
            <w:tcW w:w="2104" w:type="dxa"/>
            <w:shd w:val="clear" w:color="auto" w:fill="auto"/>
          </w:tcPr>
          <w:p w:rsidR="00617CB0" w:rsidRPr="00022D33" w:rsidRDefault="00617CB0" w:rsidP="000D7011">
            <w:pPr>
              <w:pStyle w:val="Tabletext"/>
            </w:pPr>
            <w:r w:rsidRPr="00022D33">
              <w:t>Non-retained revenue distributed to owner</w:t>
            </w:r>
          </w:p>
        </w:tc>
        <w:tc>
          <w:tcPr>
            <w:tcW w:w="1065" w:type="dxa"/>
            <w:shd w:val="clear" w:color="auto" w:fill="auto"/>
          </w:tcPr>
          <w:p w:rsidR="00617CB0" w:rsidRPr="00022D33" w:rsidRDefault="00617CB0" w:rsidP="000D7011">
            <w:pPr>
              <w:pStyle w:val="Tabletext"/>
              <w:jc w:val="right"/>
            </w:pPr>
          </w:p>
        </w:tc>
        <w:tc>
          <w:tcPr>
            <w:tcW w:w="1172" w:type="dxa"/>
            <w:shd w:val="clear" w:color="auto" w:fill="auto"/>
          </w:tcPr>
          <w:p w:rsidR="00617CB0" w:rsidRPr="00022D33" w:rsidRDefault="00617CB0" w:rsidP="000D7011">
            <w:pPr>
              <w:pStyle w:val="Tabletext"/>
              <w:jc w:val="right"/>
            </w:pPr>
            <w:r w:rsidRPr="00022D33">
              <w:t>-</w:t>
            </w:r>
          </w:p>
        </w:tc>
        <w:tc>
          <w:tcPr>
            <w:tcW w:w="1172" w:type="dxa"/>
            <w:shd w:val="clear" w:color="auto" w:fill="auto"/>
          </w:tcPr>
          <w:p w:rsidR="00617CB0" w:rsidRPr="00022D33" w:rsidRDefault="00617CB0" w:rsidP="000D7011">
            <w:pPr>
              <w:pStyle w:val="Tabletext"/>
              <w:jc w:val="right"/>
            </w:pPr>
            <w:r w:rsidRPr="00022D33">
              <w:t>(96)</w:t>
            </w:r>
          </w:p>
        </w:tc>
        <w:tc>
          <w:tcPr>
            <w:tcW w:w="1228" w:type="dxa"/>
            <w:shd w:val="clear" w:color="auto" w:fill="auto"/>
          </w:tcPr>
          <w:p w:rsidR="00617CB0" w:rsidRPr="00022D33" w:rsidRDefault="00617CB0" w:rsidP="000D7011">
            <w:pPr>
              <w:pStyle w:val="Tabletext"/>
              <w:jc w:val="right"/>
            </w:pPr>
            <w:r w:rsidRPr="00022D33">
              <w:t>-</w:t>
            </w:r>
          </w:p>
        </w:tc>
        <w:tc>
          <w:tcPr>
            <w:tcW w:w="1141" w:type="dxa"/>
            <w:shd w:val="clear" w:color="auto" w:fill="auto"/>
          </w:tcPr>
          <w:p w:rsidR="00617CB0" w:rsidRPr="00022D33" w:rsidRDefault="00617CB0" w:rsidP="000D7011">
            <w:pPr>
              <w:pStyle w:val="Tabletext"/>
              <w:jc w:val="right"/>
            </w:pPr>
            <w:r w:rsidRPr="00022D33">
              <w:t>(96)</w:t>
            </w:r>
          </w:p>
        </w:tc>
        <w:tc>
          <w:tcPr>
            <w:tcW w:w="1144" w:type="dxa"/>
            <w:shd w:val="clear" w:color="auto" w:fill="auto"/>
          </w:tcPr>
          <w:p w:rsidR="00617CB0" w:rsidRPr="00022D33" w:rsidRDefault="00617CB0" w:rsidP="000D7011">
            <w:pPr>
              <w:pStyle w:val="Tabletext"/>
              <w:jc w:val="right"/>
            </w:pPr>
            <w:r w:rsidRPr="00022D33">
              <w:t>(96)</w:t>
            </w:r>
          </w:p>
        </w:tc>
      </w:tr>
      <w:tr w:rsidR="00617CB0" w:rsidRPr="00022D33" w:rsidTr="000E1586">
        <w:tc>
          <w:tcPr>
            <w:tcW w:w="2104" w:type="dxa"/>
            <w:shd w:val="clear" w:color="auto" w:fill="auto"/>
          </w:tcPr>
          <w:p w:rsidR="00617CB0" w:rsidRPr="00022D33" w:rsidRDefault="00617CB0" w:rsidP="000D7011">
            <w:pPr>
              <w:pStyle w:val="Tabletext"/>
              <w:rPr>
                <w:b/>
              </w:rPr>
            </w:pPr>
            <w:r w:rsidRPr="00022D33">
              <w:rPr>
                <w:b/>
              </w:rPr>
              <w:t>Net cash provided by State Government</w:t>
            </w:r>
          </w:p>
        </w:tc>
        <w:tc>
          <w:tcPr>
            <w:tcW w:w="1065" w:type="dxa"/>
            <w:shd w:val="clear" w:color="auto" w:fill="auto"/>
          </w:tcPr>
          <w:p w:rsidR="00617CB0" w:rsidRPr="00022D33" w:rsidRDefault="00617CB0" w:rsidP="000D7011">
            <w:pPr>
              <w:pStyle w:val="Tabletext"/>
              <w:jc w:val="right"/>
              <w:rPr>
                <w:b/>
              </w:rPr>
            </w:pPr>
          </w:p>
        </w:tc>
        <w:tc>
          <w:tcPr>
            <w:tcW w:w="1172"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245,128</w:t>
            </w:r>
          </w:p>
        </w:tc>
        <w:tc>
          <w:tcPr>
            <w:tcW w:w="1172"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242,738</w:t>
            </w:r>
          </w:p>
        </w:tc>
        <w:tc>
          <w:tcPr>
            <w:tcW w:w="1228"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139,080</w:t>
            </w:r>
          </w:p>
        </w:tc>
        <w:tc>
          <w:tcPr>
            <w:tcW w:w="1141"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(2,391)</w:t>
            </w:r>
          </w:p>
        </w:tc>
        <w:tc>
          <w:tcPr>
            <w:tcW w:w="1144"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103,657</w:t>
            </w:r>
          </w:p>
        </w:tc>
      </w:tr>
      <w:tr w:rsidR="00617CB0" w:rsidRPr="00022D33" w:rsidTr="000E1586">
        <w:tc>
          <w:tcPr>
            <w:tcW w:w="9026" w:type="dxa"/>
            <w:gridSpan w:val="7"/>
            <w:shd w:val="clear" w:color="auto" w:fill="auto"/>
          </w:tcPr>
          <w:p w:rsidR="00617CB0" w:rsidRPr="00022D33" w:rsidRDefault="00617CB0" w:rsidP="000D7011">
            <w:pPr>
              <w:pStyle w:val="Tabletext"/>
            </w:pPr>
          </w:p>
        </w:tc>
      </w:tr>
      <w:tr w:rsidR="00617CB0" w:rsidRPr="00022D33" w:rsidTr="000E1586">
        <w:tc>
          <w:tcPr>
            <w:tcW w:w="9026" w:type="dxa"/>
            <w:gridSpan w:val="7"/>
            <w:shd w:val="clear" w:color="auto" w:fill="auto"/>
          </w:tcPr>
          <w:p w:rsidR="00617CB0" w:rsidRPr="00022D33" w:rsidRDefault="00617CB0" w:rsidP="000D7011">
            <w:pPr>
              <w:pStyle w:val="Tabletext"/>
              <w:rPr>
                <w:b/>
              </w:rPr>
            </w:pPr>
            <w:r w:rsidRPr="00022D33">
              <w:rPr>
                <w:b/>
              </w:rPr>
              <w:t>CASH FLOWS FROM OPERATING ACTIVITIES</w:t>
            </w:r>
          </w:p>
        </w:tc>
      </w:tr>
      <w:tr w:rsidR="00617CB0" w:rsidRPr="00022D33" w:rsidTr="000E1586">
        <w:tc>
          <w:tcPr>
            <w:tcW w:w="9026" w:type="dxa"/>
            <w:gridSpan w:val="7"/>
            <w:shd w:val="clear" w:color="auto" w:fill="auto"/>
          </w:tcPr>
          <w:p w:rsidR="00617CB0" w:rsidRPr="00022D33" w:rsidRDefault="00617CB0" w:rsidP="000D7011">
            <w:pPr>
              <w:pStyle w:val="Tabletext"/>
              <w:rPr>
                <w:u w:val="single"/>
              </w:rPr>
            </w:pPr>
            <w:r w:rsidRPr="00022D33">
              <w:rPr>
                <w:u w:val="single"/>
              </w:rPr>
              <w:t>Payments</w:t>
            </w:r>
          </w:p>
        </w:tc>
      </w:tr>
      <w:tr w:rsidR="00617CB0" w:rsidRPr="00022D33" w:rsidTr="000E1586">
        <w:tc>
          <w:tcPr>
            <w:tcW w:w="2104" w:type="dxa"/>
            <w:shd w:val="clear" w:color="auto" w:fill="auto"/>
          </w:tcPr>
          <w:p w:rsidR="00617CB0" w:rsidRPr="00022D33" w:rsidRDefault="00617CB0" w:rsidP="000D7011">
            <w:pPr>
              <w:pStyle w:val="Tabletext"/>
            </w:pPr>
            <w:r w:rsidRPr="00022D33">
              <w:t>Employee benefits</w:t>
            </w:r>
          </w:p>
        </w:tc>
        <w:tc>
          <w:tcPr>
            <w:tcW w:w="1065" w:type="dxa"/>
            <w:shd w:val="clear" w:color="auto" w:fill="auto"/>
          </w:tcPr>
          <w:p w:rsidR="00617CB0" w:rsidRPr="00022D33" w:rsidRDefault="00617CB0" w:rsidP="000D7011">
            <w:pPr>
              <w:pStyle w:val="Tabletext"/>
              <w:jc w:val="right"/>
            </w:pPr>
          </w:p>
        </w:tc>
        <w:tc>
          <w:tcPr>
            <w:tcW w:w="1172" w:type="dxa"/>
            <w:shd w:val="clear" w:color="auto" w:fill="auto"/>
          </w:tcPr>
          <w:p w:rsidR="00617CB0" w:rsidRPr="00022D33" w:rsidRDefault="00617CB0" w:rsidP="000D7011">
            <w:pPr>
              <w:pStyle w:val="Tabletext"/>
              <w:jc w:val="right"/>
            </w:pPr>
            <w:r w:rsidRPr="00022D33">
              <w:t>(154,977)</w:t>
            </w:r>
          </w:p>
        </w:tc>
        <w:tc>
          <w:tcPr>
            <w:tcW w:w="1172" w:type="dxa"/>
            <w:shd w:val="clear" w:color="auto" w:fill="auto"/>
          </w:tcPr>
          <w:p w:rsidR="00617CB0" w:rsidRPr="00022D33" w:rsidRDefault="00617CB0" w:rsidP="000D7011">
            <w:pPr>
              <w:pStyle w:val="Tabletext"/>
              <w:jc w:val="right"/>
            </w:pPr>
            <w:r w:rsidRPr="00022D33">
              <w:t>(135,221)</w:t>
            </w:r>
          </w:p>
        </w:tc>
        <w:tc>
          <w:tcPr>
            <w:tcW w:w="1228" w:type="dxa"/>
            <w:shd w:val="clear" w:color="auto" w:fill="auto"/>
          </w:tcPr>
          <w:p w:rsidR="00617CB0" w:rsidRPr="00022D33" w:rsidRDefault="00617CB0" w:rsidP="000D7011">
            <w:pPr>
              <w:pStyle w:val="Tabletext"/>
              <w:jc w:val="right"/>
            </w:pPr>
            <w:r w:rsidRPr="00022D33">
              <w:t>(137,905)</w:t>
            </w:r>
          </w:p>
        </w:tc>
        <w:tc>
          <w:tcPr>
            <w:tcW w:w="1141" w:type="dxa"/>
            <w:shd w:val="clear" w:color="auto" w:fill="auto"/>
          </w:tcPr>
          <w:p w:rsidR="00617CB0" w:rsidRPr="00022D33" w:rsidRDefault="00617CB0" w:rsidP="000D7011">
            <w:pPr>
              <w:pStyle w:val="Tabletext"/>
              <w:jc w:val="right"/>
            </w:pPr>
            <w:r w:rsidRPr="00022D33">
              <w:t>19,756</w:t>
            </w:r>
          </w:p>
        </w:tc>
        <w:tc>
          <w:tcPr>
            <w:tcW w:w="1144" w:type="dxa"/>
            <w:shd w:val="clear" w:color="auto" w:fill="auto"/>
          </w:tcPr>
          <w:p w:rsidR="00617CB0" w:rsidRPr="00022D33" w:rsidRDefault="00617CB0" w:rsidP="000D7011">
            <w:pPr>
              <w:pStyle w:val="Tabletext"/>
              <w:jc w:val="right"/>
            </w:pPr>
            <w:r w:rsidRPr="00022D33">
              <w:t>2,684</w:t>
            </w:r>
          </w:p>
        </w:tc>
      </w:tr>
      <w:tr w:rsidR="00617CB0" w:rsidRPr="00022D33" w:rsidTr="000E1586">
        <w:tc>
          <w:tcPr>
            <w:tcW w:w="2104" w:type="dxa"/>
            <w:shd w:val="clear" w:color="auto" w:fill="auto"/>
          </w:tcPr>
          <w:p w:rsidR="00617CB0" w:rsidRPr="00022D33" w:rsidRDefault="00617CB0" w:rsidP="000D7011">
            <w:pPr>
              <w:pStyle w:val="Tabletext"/>
            </w:pPr>
            <w:r w:rsidRPr="00022D33">
              <w:t>Supplies and services</w:t>
            </w:r>
          </w:p>
        </w:tc>
        <w:tc>
          <w:tcPr>
            <w:tcW w:w="1065" w:type="dxa"/>
            <w:shd w:val="clear" w:color="auto" w:fill="auto"/>
          </w:tcPr>
          <w:p w:rsidR="00617CB0" w:rsidRPr="00022D33" w:rsidRDefault="00617CB0" w:rsidP="000D7011">
            <w:pPr>
              <w:pStyle w:val="Tabletext"/>
              <w:jc w:val="right"/>
            </w:pPr>
            <w:r w:rsidRPr="00022D33">
              <w:t>D</w:t>
            </w:r>
          </w:p>
        </w:tc>
        <w:tc>
          <w:tcPr>
            <w:tcW w:w="1172" w:type="dxa"/>
            <w:shd w:val="clear" w:color="auto" w:fill="auto"/>
          </w:tcPr>
          <w:p w:rsidR="00617CB0" w:rsidRPr="00022D33" w:rsidRDefault="00617CB0" w:rsidP="000D7011">
            <w:pPr>
              <w:pStyle w:val="Tabletext"/>
              <w:jc w:val="right"/>
            </w:pPr>
            <w:r w:rsidRPr="00022D33">
              <w:t>(885,760)</w:t>
            </w:r>
          </w:p>
        </w:tc>
        <w:tc>
          <w:tcPr>
            <w:tcW w:w="1172" w:type="dxa"/>
            <w:shd w:val="clear" w:color="auto" w:fill="auto"/>
          </w:tcPr>
          <w:p w:rsidR="00617CB0" w:rsidRPr="00022D33" w:rsidRDefault="00617CB0" w:rsidP="000D7011">
            <w:pPr>
              <w:pStyle w:val="Tabletext"/>
              <w:jc w:val="right"/>
            </w:pPr>
            <w:r w:rsidRPr="00022D33">
              <w:t>(873,672)</w:t>
            </w:r>
          </w:p>
        </w:tc>
        <w:tc>
          <w:tcPr>
            <w:tcW w:w="1228" w:type="dxa"/>
            <w:shd w:val="clear" w:color="auto" w:fill="auto"/>
          </w:tcPr>
          <w:p w:rsidR="00617CB0" w:rsidRPr="00022D33" w:rsidRDefault="00617CB0" w:rsidP="000D7011">
            <w:pPr>
              <w:pStyle w:val="Tabletext"/>
              <w:jc w:val="right"/>
            </w:pPr>
            <w:r w:rsidRPr="00022D33">
              <w:t>(1,018,899)</w:t>
            </w:r>
          </w:p>
        </w:tc>
        <w:tc>
          <w:tcPr>
            <w:tcW w:w="1141" w:type="dxa"/>
            <w:shd w:val="clear" w:color="auto" w:fill="auto"/>
          </w:tcPr>
          <w:p w:rsidR="00617CB0" w:rsidRPr="00022D33" w:rsidRDefault="00617CB0" w:rsidP="000D7011">
            <w:pPr>
              <w:pStyle w:val="Tabletext"/>
              <w:jc w:val="right"/>
            </w:pPr>
            <w:r w:rsidRPr="00022D33">
              <w:t>12,088</w:t>
            </w:r>
          </w:p>
        </w:tc>
        <w:tc>
          <w:tcPr>
            <w:tcW w:w="1144" w:type="dxa"/>
            <w:shd w:val="clear" w:color="auto" w:fill="auto"/>
          </w:tcPr>
          <w:p w:rsidR="00617CB0" w:rsidRPr="00022D33" w:rsidRDefault="00617CB0" w:rsidP="000D7011">
            <w:pPr>
              <w:pStyle w:val="Tabletext"/>
              <w:jc w:val="right"/>
            </w:pPr>
            <w:r w:rsidRPr="00022D33">
              <w:t>145,227</w:t>
            </w:r>
          </w:p>
        </w:tc>
      </w:tr>
      <w:tr w:rsidR="00617CB0" w:rsidRPr="00022D33" w:rsidTr="000E1586">
        <w:tc>
          <w:tcPr>
            <w:tcW w:w="2104" w:type="dxa"/>
            <w:shd w:val="clear" w:color="auto" w:fill="auto"/>
          </w:tcPr>
          <w:p w:rsidR="00617CB0" w:rsidRPr="00022D33" w:rsidRDefault="00617CB0" w:rsidP="000D7011">
            <w:pPr>
              <w:pStyle w:val="Tabletext"/>
            </w:pPr>
            <w:r w:rsidRPr="00022D33">
              <w:t>Finance costs</w:t>
            </w:r>
          </w:p>
        </w:tc>
        <w:tc>
          <w:tcPr>
            <w:tcW w:w="1065" w:type="dxa"/>
            <w:shd w:val="clear" w:color="auto" w:fill="auto"/>
          </w:tcPr>
          <w:p w:rsidR="00617CB0" w:rsidRPr="00022D33" w:rsidRDefault="00617CB0" w:rsidP="000D7011">
            <w:pPr>
              <w:pStyle w:val="Tabletext"/>
              <w:jc w:val="right"/>
            </w:pPr>
          </w:p>
        </w:tc>
        <w:tc>
          <w:tcPr>
            <w:tcW w:w="1172" w:type="dxa"/>
            <w:shd w:val="clear" w:color="auto" w:fill="auto"/>
          </w:tcPr>
          <w:p w:rsidR="00617CB0" w:rsidRPr="00022D33" w:rsidRDefault="00617CB0" w:rsidP="000D7011">
            <w:pPr>
              <w:pStyle w:val="Tabletext"/>
              <w:jc w:val="right"/>
            </w:pPr>
            <w:r w:rsidRPr="00022D33">
              <w:t>(9,757)</w:t>
            </w:r>
          </w:p>
        </w:tc>
        <w:tc>
          <w:tcPr>
            <w:tcW w:w="1172" w:type="dxa"/>
            <w:shd w:val="clear" w:color="auto" w:fill="auto"/>
          </w:tcPr>
          <w:p w:rsidR="00617CB0" w:rsidRPr="00022D33" w:rsidRDefault="00617CB0" w:rsidP="000D7011">
            <w:pPr>
              <w:pStyle w:val="Tabletext"/>
              <w:jc w:val="right"/>
            </w:pPr>
            <w:r w:rsidRPr="00022D33">
              <w:t>(7,743)</w:t>
            </w:r>
          </w:p>
        </w:tc>
        <w:tc>
          <w:tcPr>
            <w:tcW w:w="1228" w:type="dxa"/>
            <w:shd w:val="clear" w:color="auto" w:fill="auto"/>
          </w:tcPr>
          <w:p w:rsidR="00617CB0" w:rsidRPr="00022D33" w:rsidRDefault="00617CB0" w:rsidP="000D7011">
            <w:pPr>
              <w:pStyle w:val="Tabletext"/>
              <w:jc w:val="right"/>
            </w:pPr>
            <w:r w:rsidRPr="00022D33">
              <w:t>(4,884)</w:t>
            </w:r>
          </w:p>
        </w:tc>
        <w:tc>
          <w:tcPr>
            <w:tcW w:w="1141" w:type="dxa"/>
            <w:shd w:val="clear" w:color="auto" w:fill="auto"/>
          </w:tcPr>
          <w:p w:rsidR="00617CB0" w:rsidRPr="00022D33" w:rsidRDefault="00617CB0" w:rsidP="000D7011">
            <w:pPr>
              <w:pStyle w:val="Tabletext"/>
              <w:jc w:val="right"/>
            </w:pPr>
            <w:r w:rsidRPr="00022D33">
              <w:t>2,014</w:t>
            </w:r>
          </w:p>
        </w:tc>
        <w:tc>
          <w:tcPr>
            <w:tcW w:w="1144" w:type="dxa"/>
            <w:shd w:val="clear" w:color="auto" w:fill="auto"/>
          </w:tcPr>
          <w:p w:rsidR="00617CB0" w:rsidRPr="00022D33" w:rsidRDefault="00617CB0" w:rsidP="000D7011">
            <w:pPr>
              <w:pStyle w:val="Tabletext"/>
              <w:jc w:val="right"/>
            </w:pPr>
            <w:r w:rsidRPr="00022D33">
              <w:t>(2,859)</w:t>
            </w:r>
          </w:p>
        </w:tc>
      </w:tr>
      <w:tr w:rsidR="00617CB0" w:rsidRPr="00022D33" w:rsidTr="000E1586">
        <w:tc>
          <w:tcPr>
            <w:tcW w:w="2104" w:type="dxa"/>
            <w:shd w:val="clear" w:color="auto" w:fill="auto"/>
          </w:tcPr>
          <w:p w:rsidR="00617CB0" w:rsidRPr="00022D33" w:rsidRDefault="00617CB0" w:rsidP="000D7011">
            <w:pPr>
              <w:pStyle w:val="Tabletext"/>
            </w:pPr>
            <w:r w:rsidRPr="00022D33">
              <w:t>Accommodation</w:t>
            </w:r>
          </w:p>
        </w:tc>
        <w:tc>
          <w:tcPr>
            <w:tcW w:w="1065" w:type="dxa"/>
            <w:shd w:val="clear" w:color="auto" w:fill="auto"/>
          </w:tcPr>
          <w:p w:rsidR="00617CB0" w:rsidRPr="00022D33" w:rsidRDefault="00617CB0" w:rsidP="000D7011">
            <w:pPr>
              <w:pStyle w:val="Tabletext"/>
              <w:jc w:val="right"/>
            </w:pPr>
          </w:p>
        </w:tc>
        <w:tc>
          <w:tcPr>
            <w:tcW w:w="1172" w:type="dxa"/>
            <w:shd w:val="clear" w:color="auto" w:fill="auto"/>
          </w:tcPr>
          <w:p w:rsidR="00617CB0" w:rsidRPr="00022D33" w:rsidRDefault="00617CB0" w:rsidP="000D7011">
            <w:pPr>
              <w:pStyle w:val="Tabletext"/>
              <w:jc w:val="right"/>
            </w:pPr>
            <w:r w:rsidRPr="00022D33">
              <w:t>(22,258)</w:t>
            </w:r>
          </w:p>
        </w:tc>
        <w:tc>
          <w:tcPr>
            <w:tcW w:w="1172" w:type="dxa"/>
            <w:shd w:val="clear" w:color="auto" w:fill="auto"/>
          </w:tcPr>
          <w:p w:rsidR="00617CB0" w:rsidRPr="00022D33" w:rsidRDefault="00617CB0" w:rsidP="000D7011">
            <w:pPr>
              <w:pStyle w:val="Tabletext"/>
              <w:jc w:val="right"/>
            </w:pPr>
            <w:r w:rsidRPr="00022D33">
              <w:t>(21,959)</w:t>
            </w:r>
          </w:p>
        </w:tc>
        <w:tc>
          <w:tcPr>
            <w:tcW w:w="1228" w:type="dxa"/>
            <w:shd w:val="clear" w:color="auto" w:fill="auto"/>
          </w:tcPr>
          <w:p w:rsidR="00617CB0" w:rsidRPr="00022D33" w:rsidRDefault="00617CB0" w:rsidP="000D7011">
            <w:pPr>
              <w:pStyle w:val="Tabletext"/>
              <w:jc w:val="right"/>
            </w:pPr>
            <w:r w:rsidRPr="00022D33">
              <w:t>(26,793)</w:t>
            </w:r>
          </w:p>
        </w:tc>
        <w:tc>
          <w:tcPr>
            <w:tcW w:w="1141" w:type="dxa"/>
            <w:shd w:val="clear" w:color="auto" w:fill="auto"/>
          </w:tcPr>
          <w:p w:rsidR="00617CB0" w:rsidRPr="00022D33" w:rsidRDefault="00617CB0" w:rsidP="000D7011">
            <w:pPr>
              <w:pStyle w:val="Tabletext"/>
              <w:jc w:val="right"/>
            </w:pPr>
            <w:r w:rsidRPr="00022D33">
              <w:t>299</w:t>
            </w:r>
          </w:p>
        </w:tc>
        <w:tc>
          <w:tcPr>
            <w:tcW w:w="1144" w:type="dxa"/>
            <w:shd w:val="clear" w:color="auto" w:fill="auto"/>
          </w:tcPr>
          <w:p w:rsidR="00617CB0" w:rsidRPr="00022D33" w:rsidRDefault="00617CB0" w:rsidP="000D7011">
            <w:pPr>
              <w:pStyle w:val="Tabletext"/>
              <w:jc w:val="right"/>
            </w:pPr>
            <w:r w:rsidRPr="00022D33">
              <w:t>4,834</w:t>
            </w:r>
          </w:p>
        </w:tc>
      </w:tr>
      <w:tr w:rsidR="00617CB0" w:rsidRPr="00022D33" w:rsidTr="000E1586">
        <w:tc>
          <w:tcPr>
            <w:tcW w:w="2104" w:type="dxa"/>
            <w:shd w:val="clear" w:color="auto" w:fill="auto"/>
          </w:tcPr>
          <w:p w:rsidR="00617CB0" w:rsidRPr="00022D33" w:rsidRDefault="00617CB0" w:rsidP="000D7011">
            <w:pPr>
              <w:pStyle w:val="Tabletext"/>
            </w:pPr>
            <w:r w:rsidRPr="00022D33">
              <w:t>Grants and subsidies</w:t>
            </w:r>
          </w:p>
        </w:tc>
        <w:tc>
          <w:tcPr>
            <w:tcW w:w="1065" w:type="dxa"/>
            <w:shd w:val="clear" w:color="auto" w:fill="auto"/>
          </w:tcPr>
          <w:p w:rsidR="00617CB0" w:rsidRPr="00022D33" w:rsidRDefault="00617CB0" w:rsidP="000D7011">
            <w:pPr>
              <w:pStyle w:val="Tabletext"/>
              <w:jc w:val="right"/>
            </w:pPr>
          </w:p>
        </w:tc>
        <w:tc>
          <w:tcPr>
            <w:tcW w:w="1172" w:type="dxa"/>
            <w:shd w:val="clear" w:color="auto" w:fill="auto"/>
          </w:tcPr>
          <w:p w:rsidR="00617CB0" w:rsidRPr="00022D33" w:rsidRDefault="00617CB0" w:rsidP="000D7011">
            <w:pPr>
              <w:pStyle w:val="Tabletext"/>
              <w:jc w:val="right"/>
            </w:pPr>
            <w:r w:rsidRPr="00022D33">
              <w:t>(5,235)</w:t>
            </w:r>
          </w:p>
        </w:tc>
        <w:tc>
          <w:tcPr>
            <w:tcW w:w="1172" w:type="dxa"/>
            <w:shd w:val="clear" w:color="auto" w:fill="auto"/>
          </w:tcPr>
          <w:p w:rsidR="00617CB0" w:rsidRPr="00022D33" w:rsidRDefault="00617CB0" w:rsidP="000D7011">
            <w:pPr>
              <w:pStyle w:val="Tabletext"/>
              <w:jc w:val="right"/>
            </w:pPr>
            <w:r w:rsidRPr="00022D33">
              <w:t>(3,763)</w:t>
            </w:r>
          </w:p>
        </w:tc>
        <w:tc>
          <w:tcPr>
            <w:tcW w:w="1228" w:type="dxa"/>
            <w:shd w:val="clear" w:color="auto" w:fill="auto"/>
          </w:tcPr>
          <w:p w:rsidR="00617CB0" w:rsidRPr="00022D33" w:rsidRDefault="00617CB0" w:rsidP="000D7011">
            <w:pPr>
              <w:pStyle w:val="Tabletext"/>
              <w:jc w:val="right"/>
            </w:pPr>
            <w:r w:rsidRPr="00022D33">
              <w:t>(5,172)</w:t>
            </w:r>
          </w:p>
        </w:tc>
        <w:tc>
          <w:tcPr>
            <w:tcW w:w="1141" w:type="dxa"/>
            <w:shd w:val="clear" w:color="auto" w:fill="auto"/>
          </w:tcPr>
          <w:p w:rsidR="00617CB0" w:rsidRPr="00022D33" w:rsidRDefault="00617CB0" w:rsidP="000D7011">
            <w:pPr>
              <w:pStyle w:val="Tabletext"/>
              <w:jc w:val="right"/>
            </w:pPr>
            <w:r w:rsidRPr="00022D33">
              <w:t>1,472</w:t>
            </w:r>
          </w:p>
        </w:tc>
        <w:tc>
          <w:tcPr>
            <w:tcW w:w="1144" w:type="dxa"/>
            <w:shd w:val="clear" w:color="auto" w:fill="auto"/>
          </w:tcPr>
          <w:p w:rsidR="00617CB0" w:rsidRPr="00022D33" w:rsidRDefault="00617CB0" w:rsidP="000D7011">
            <w:pPr>
              <w:pStyle w:val="Tabletext"/>
              <w:jc w:val="right"/>
            </w:pPr>
            <w:r w:rsidRPr="00022D33">
              <w:t>1,409</w:t>
            </w:r>
          </w:p>
        </w:tc>
      </w:tr>
      <w:tr w:rsidR="00617CB0" w:rsidRPr="00022D33" w:rsidTr="000E1586">
        <w:tc>
          <w:tcPr>
            <w:tcW w:w="2104" w:type="dxa"/>
            <w:shd w:val="clear" w:color="auto" w:fill="auto"/>
          </w:tcPr>
          <w:p w:rsidR="00617CB0" w:rsidRPr="00022D33" w:rsidRDefault="00617CB0" w:rsidP="000D7011">
            <w:pPr>
              <w:pStyle w:val="Tabletext"/>
            </w:pPr>
            <w:r w:rsidRPr="00022D33">
              <w:t>GST payments on purchases</w:t>
            </w:r>
          </w:p>
        </w:tc>
        <w:tc>
          <w:tcPr>
            <w:tcW w:w="1065" w:type="dxa"/>
            <w:shd w:val="clear" w:color="auto" w:fill="auto"/>
          </w:tcPr>
          <w:p w:rsidR="00617CB0" w:rsidRPr="00022D33" w:rsidRDefault="00617CB0" w:rsidP="000D7011">
            <w:pPr>
              <w:pStyle w:val="Tabletext"/>
              <w:jc w:val="right"/>
            </w:pPr>
          </w:p>
        </w:tc>
        <w:tc>
          <w:tcPr>
            <w:tcW w:w="1172" w:type="dxa"/>
            <w:shd w:val="clear" w:color="auto" w:fill="auto"/>
          </w:tcPr>
          <w:p w:rsidR="00617CB0" w:rsidRPr="00022D33" w:rsidRDefault="00617CB0" w:rsidP="000D7011">
            <w:pPr>
              <w:pStyle w:val="Tabletext"/>
              <w:jc w:val="right"/>
            </w:pPr>
            <w:r w:rsidRPr="00022D33">
              <w:t>(130,180)</w:t>
            </w:r>
          </w:p>
        </w:tc>
        <w:tc>
          <w:tcPr>
            <w:tcW w:w="1172" w:type="dxa"/>
            <w:shd w:val="clear" w:color="auto" w:fill="auto"/>
          </w:tcPr>
          <w:p w:rsidR="00617CB0" w:rsidRPr="00022D33" w:rsidRDefault="00617CB0" w:rsidP="000D7011">
            <w:pPr>
              <w:pStyle w:val="Tabletext"/>
              <w:jc w:val="right"/>
            </w:pPr>
            <w:r w:rsidRPr="00022D33">
              <w:t>(107,281)</w:t>
            </w:r>
          </w:p>
        </w:tc>
        <w:tc>
          <w:tcPr>
            <w:tcW w:w="1228" w:type="dxa"/>
            <w:shd w:val="clear" w:color="auto" w:fill="auto"/>
          </w:tcPr>
          <w:p w:rsidR="00617CB0" w:rsidRPr="00022D33" w:rsidRDefault="00617CB0" w:rsidP="000D7011">
            <w:pPr>
              <w:pStyle w:val="Tabletext"/>
              <w:jc w:val="right"/>
            </w:pPr>
            <w:r w:rsidRPr="00022D33">
              <w:t>(120,741)</w:t>
            </w:r>
          </w:p>
        </w:tc>
        <w:tc>
          <w:tcPr>
            <w:tcW w:w="1141" w:type="dxa"/>
            <w:shd w:val="clear" w:color="auto" w:fill="auto"/>
          </w:tcPr>
          <w:p w:rsidR="00617CB0" w:rsidRPr="00022D33" w:rsidRDefault="00617CB0" w:rsidP="000D7011">
            <w:pPr>
              <w:pStyle w:val="Tabletext"/>
              <w:jc w:val="right"/>
            </w:pPr>
            <w:r w:rsidRPr="00022D33">
              <w:t>22,899</w:t>
            </w:r>
          </w:p>
        </w:tc>
        <w:tc>
          <w:tcPr>
            <w:tcW w:w="1144" w:type="dxa"/>
            <w:shd w:val="clear" w:color="auto" w:fill="auto"/>
          </w:tcPr>
          <w:p w:rsidR="00617CB0" w:rsidRPr="00022D33" w:rsidRDefault="00617CB0" w:rsidP="000D7011">
            <w:pPr>
              <w:pStyle w:val="Tabletext"/>
              <w:jc w:val="right"/>
            </w:pPr>
            <w:r w:rsidRPr="00022D33">
              <w:t>13,460</w:t>
            </w:r>
          </w:p>
        </w:tc>
      </w:tr>
      <w:tr w:rsidR="00617CB0" w:rsidRPr="00022D33" w:rsidTr="000E1586">
        <w:tc>
          <w:tcPr>
            <w:tcW w:w="2104" w:type="dxa"/>
            <w:shd w:val="clear" w:color="auto" w:fill="auto"/>
          </w:tcPr>
          <w:p w:rsidR="00617CB0" w:rsidRPr="00022D33" w:rsidRDefault="00617CB0" w:rsidP="000D7011">
            <w:pPr>
              <w:pStyle w:val="Tabletext"/>
            </w:pPr>
            <w:r w:rsidRPr="00022D33">
              <w:t>GST payments to taxation authority</w:t>
            </w:r>
          </w:p>
        </w:tc>
        <w:tc>
          <w:tcPr>
            <w:tcW w:w="1065" w:type="dxa"/>
            <w:shd w:val="clear" w:color="auto" w:fill="auto"/>
          </w:tcPr>
          <w:p w:rsidR="00617CB0" w:rsidRPr="00022D33" w:rsidRDefault="00617CB0" w:rsidP="000D7011">
            <w:pPr>
              <w:pStyle w:val="Tabletext"/>
              <w:jc w:val="right"/>
            </w:pPr>
          </w:p>
        </w:tc>
        <w:tc>
          <w:tcPr>
            <w:tcW w:w="1172" w:type="dxa"/>
            <w:shd w:val="clear" w:color="auto" w:fill="auto"/>
          </w:tcPr>
          <w:p w:rsidR="00617CB0" w:rsidRPr="00022D33" w:rsidRDefault="00617CB0" w:rsidP="000D7011">
            <w:pPr>
              <w:pStyle w:val="Tabletext"/>
              <w:jc w:val="right"/>
            </w:pPr>
            <w:r w:rsidRPr="00022D33">
              <w:t>(3,214)</w:t>
            </w:r>
          </w:p>
        </w:tc>
        <w:tc>
          <w:tcPr>
            <w:tcW w:w="1172" w:type="dxa"/>
            <w:shd w:val="clear" w:color="auto" w:fill="auto"/>
          </w:tcPr>
          <w:p w:rsidR="00617CB0" w:rsidRPr="00022D33" w:rsidRDefault="00617CB0" w:rsidP="000D7011">
            <w:pPr>
              <w:pStyle w:val="Tabletext"/>
              <w:jc w:val="right"/>
            </w:pPr>
            <w:r w:rsidRPr="00022D33">
              <w:t>(3,972)</w:t>
            </w:r>
          </w:p>
        </w:tc>
        <w:tc>
          <w:tcPr>
            <w:tcW w:w="1228" w:type="dxa"/>
            <w:shd w:val="clear" w:color="auto" w:fill="auto"/>
          </w:tcPr>
          <w:p w:rsidR="00617CB0" w:rsidRPr="00022D33" w:rsidRDefault="00617CB0" w:rsidP="000D7011">
            <w:pPr>
              <w:pStyle w:val="Tabletext"/>
              <w:jc w:val="right"/>
            </w:pPr>
            <w:r w:rsidRPr="00022D33">
              <w:t>(4,044)</w:t>
            </w:r>
          </w:p>
        </w:tc>
        <w:tc>
          <w:tcPr>
            <w:tcW w:w="1141" w:type="dxa"/>
            <w:shd w:val="clear" w:color="auto" w:fill="auto"/>
          </w:tcPr>
          <w:p w:rsidR="00617CB0" w:rsidRPr="00022D33" w:rsidRDefault="00617CB0" w:rsidP="000D7011">
            <w:pPr>
              <w:pStyle w:val="Tabletext"/>
              <w:jc w:val="right"/>
            </w:pPr>
            <w:r w:rsidRPr="00022D33">
              <w:t>(758)</w:t>
            </w:r>
          </w:p>
        </w:tc>
        <w:tc>
          <w:tcPr>
            <w:tcW w:w="1144" w:type="dxa"/>
            <w:shd w:val="clear" w:color="auto" w:fill="auto"/>
          </w:tcPr>
          <w:p w:rsidR="00617CB0" w:rsidRPr="00022D33" w:rsidRDefault="00617CB0" w:rsidP="000D7011">
            <w:pPr>
              <w:pStyle w:val="Tabletext"/>
              <w:jc w:val="right"/>
            </w:pPr>
            <w:r w:rsidRPr="00022D33">
              <w:t>72</w:t>
            </w:r>
          </w:p>
        </w:tc>
      </w:tr>
      <w:tr w:rsidR="00617CB0" w:rsidRPr="00022D33" w:rsidTr="000E1586">
        <w:tc>
          <w:tcPr>
            <w:tcW w:w="2104" w:type="dxa"/>
            <w:shd w:val="clear" w:color="auto" w:fill="auto"/>
          </w:tcPr>
          <w:p w:rsidR="00617CB0" w:rsidRPr="00022D33" w:rsidRDefault="00617CB0" w:rsidP="000D7011">
            <w:pPr>
              <w:pStyle w:val="Tabletext"/>
            </w:pPr>
            <w:r w:rsidRPr="00022D33">
              <w:t>Other payments</w:t>
            </w:r>
          </w:p>
        </w:tc>
        <w:tc>
          <w:tcPr>
            <w:tcW w:w="1065" w:type="dxa"/>
            <w:shd w:val="clear" w:color="auto" w:fill="auto"/>
          </w:tcPr>
          <w:p w:rsidR="00617CB0" w:rsidRPr="00022D33" w:rsidRDefault="00617CB0" w:rsidP="000D7011">
            <w:pPr>
              <w:pStyle w:val="Tabletext"/>
              <w:jc w:val="right"/>
            </w:pPr>
          </w:p>
        </w:tc>
        <w:tc>
          <w:tcPr>
            <w:tcW w:w="1172" w:type="dxa"/>
            <w:shd w:val="clear" w:color="auto" w:fill="auto"/>
          </w:tcPr>
          <w:p w:rsidR="00617CB0" w:rsidRPr="00022D33" w:rsidRDefault="00617CB0" w:rsidP="000D7011">
            <w:pPr>
              <w:pStyle w:val="Tabletext"/>
              <w:jc w:val="right"/>
            </w:pPr>
            <w:r w:rsidRPr="00022D33">
              <w:t>(5,076)</w:t>
            </w:r>
          </w:p>
        </w:tc>
        <w:tc>
          <w:tcPr>
            <w:tcW w:w="1172" w:type="dxa"/>
            <w:shd w:val="clear" w:color="auto" w:fill="auto"/>
          </w:tcPr>
          <w:p w:rsidR="00617CB0" w:rsidRPr="00022D33" w:rsidRDefault="00617CB0" w:rsidP="000D7011">
            <w:pPr>
              <w:pStyle w:val="Tabletext"/>
              <w:jc w:val="right"/>
            </w:pPr>
            <w:r w:rsidRPr="00022D33">
              <w:t>(3,730)</w:t>
            </w:r>
          </w:p>
        </w:tc>
        <w:tc>
          <w:tcPr>
            <w:tcW w:w="1228" w:type="dxa"/>
            <w:shd w:val="clear" w:color="auto" w:fill="auto"/>
          </w:tcPr>
          <w:p w:rsidR="00617CB0" w:rsidRPr="00022D33" w:rsidRDefault="00617CB0" w:rsidP="000D7011">
            <w:pPr>
              <w:pStyle w:val="Tabletext"/>
              <w:jc w:val="right"/>
            </w:pPr>
            <w:r w:rsidRPr="00022D33">
              <w:t>(4,036)</w:t>
            </w:r>
          </w:p>
        </w:tc>
        <w:tc>
          <w:tcPr>
            <w:tcW w:w="1141" w:type="dxa"/>
            <w:shd w:val="clear" w:color="auto" w:fill="auto"/>
          </w:tcPr>
          <w:p w:rsidR="00617CB0" w:rsidRPr="00022D33" w:rsidRDefault="00617CB0" w:rsidP="000D7011">
            <w:pPr>
              <w:pStyle w:val="Tabletext"/>
              <w:jc w:val="right"/>
            </w:pPr>
            <w:r w:rsidRPr="00022D33">
              <w:t>1,346</w:t>
            </w:r>
          </w:p>
        </w:tc>
        <w:tc>
          <w:tcPr>
            <w:tcW w:w="1144" w:type="dxa"/>
            <w:shd w:val="clear" w:color="auto" w:fill="auto"/>
          </w:tcPr>
          <w:p w:rsidR="00617CB0" w:rsidRPr="00022D33" w:rsidRDefault="00617CB0" w:rsidP="000D7011">
            <w:pPr>
              <w:pStyle w:val="Tabletext"/>
              <w:jc w:val="right"/>
            </w:pPr>
            <w:r w:rsidRPr="00022D33">
              <w:t>306</w:t>
            </w:r>
          </w:p>
        </w:tc>
      </w:tr>
      <w:tr w:rsidR="00617CB0" w:rsidRPr="00022D33" w:rsidTr="000E1586">
        <w:tc>
          <w:tcPr>
            <w:tcW w:w="9026" w:type="dxa"/>
            <w:gridSpan w:val="7"/>
            <w:shd w:val="clear" w:color="auto" w:fill="auto"/>
          </w:tcPr>
          <w:p w:rsidR="00617CB0" w:rsidRPr="00022D33" w:rsidRDefault="00617CB0" w:rsidP="000D7011">
            <w:pPr>
              <w:pStyle w:val="Tabletext"/>
              <w:rPr>
                <w:u w:val="single"/>
              </w:rPr>
            </w:pPr>
            <w:r w:rsidRPr="00022D33">
              <w:rPr>
                <w:u w:val="single"/>
              </w:rPr>
              <w:t>Receipts</w:t>
            </w:r>
          </w:p>
        </w:tc>
      </w:tr>
      <w:tr w:rsidR="00617CB0" w:rsidRPr="00022D33" w:rsidTr="000E1586">
        <w:tc>
          <w:tcPr>
            <w:tcW w:w="2104" w:type="dxa"/>
            <w:shd w:val="clear" w:color="auto" w:fill="auto"/>
          </w:tcPr>
          <w:p w:rsidR="00617CB0" w:rsidRPr="00022D33" w:rsidRDefault="00617CB0" w:rsidP="000D7011">
            <w:pPr>
              <w:pStyle w:val="Tabletext"/>
            </w:pPr>
            <w:r w:rsidRPr="00022D33">
              <w:t>User charges and fees</w:t>
            </w:r>
          </w:p>
        </w:tc>
        <w:tc>
          <w:tcPr>
            <w:tcW w:w="1065" w:type="dxa"/>
            <w:shd w:val="clear" w:color="auto" w:fill="auto"/>
          </w:tcPr>
          <w:p w:rsidR="00617CB0" w:rsidRPr="00022D33" w:rsidRDefault="00617CB0" w:rsidP="000D7011">
            <w:pPr>
              <w:pStyle w:val="Tabletext"/>
              <w:jc w:val="right"/>
            </w:pPr>
            <w:r w:rsidRPr="00022D33">
              <w:t>1, E</w:t>
            </w:r>
          </w:p>
        </w:tc>
        <w:tc>
          <w:tcPr>
            <w:tcW w:w="1172" w:type="dxa"/>
            <w:shd w:val="clear" w:color="auto" w:fill="auto"/>
          </w:tcPr>
          <w:p w:rsidR="00617CB0" w:rsidRPr="00022D33" w:rsidRDefault="00617CB0" w:rsidP="000D7011">
            <w:pPr>
              <w:pStyle w:val="Tabletext"/>
              <w:jc w:val="right"/>
            </w:pPr>
            <w:r w:rsidRPr="00022D33">
              <w:t>989,844</w:t>
            </w:r>
          </w:p>
        </w:tc>
        <w:tc>
          <w:tcPr>
            <w:tcW w:w="1172" w:type="dxa"/>
            <w:shd w:val="clear" w:color="auto" w:fill="auto"/>
          </w:tcPr>
          <w:p w:rsidR="00617CB0" w:rsidRPr="00022D33" w:rsidRDefault="00617CB0" w:rsidP="000D7011">
            <w:pPr>
              <w:pStyle w:val="Tabletext"/>
              <w:jc w:val="right"/>
            </w:pPr>
            <w:r w:rsidRPr="00022D33">
              <w:t>938,279</w:t>
            </w:r>
          </w:p>
        </w:tc>
        <w:tc>
          <w:tcPr>
            <w:tcW w:w="1228" w:type="dxa"/>
            <w:shd w:val="clear" w:color="auto" w:fill="auto"/>
          </w:tcPr>
          <w:p w:rsidR="00617CB0" w:rsidRPr="00022D33" w:rsidRDefault="00617CB0" w:rsidP="000D7011">
            <w:pPr>
              <w:pStyle w:val="Tabletext"/>
              <w:jc w:val="right"/>
            </w:pPr>
            <w:r w:rsidRPr="00022D33">
              <w:t>995,128</w:t>
            </w:r>
          </w:p>
        </w:tc>
        <w:tc>
          <w:tcPr>
            <w:tcW w:w="1141" w:type="dxa"/>
            <w:shd w:val="clear" w:color="auto" w:fill="auto"/>
          </w:tcPr>
          <w:p w:rsidR="00617CB0" w:rsidRPr="00022D33" w:rsidRDefault="00617CB0" w:rsidP="000D7011">
            <w:pPr>
              <w:pStyle w:val="Tabletext"/>
              <w:jc w:val="right"/>
            </w:pPr>
            <w:r w:rsidRPr="00022D33">
              <w:t>(51,565)</w:t>
            </w:r>
          </w:p>
        </w:tc>
        <w:tc>
          <w:tcPr>
            <w:tcW w:w="1144" w:type="dxa"/>
            <w:shd w:val="clear" w:color="auto" w:fill="auto"/>
          </w:tcPr>
          <w:p w:rsidR="00617CB0" w:rsidRPr="00022D33" w:rsidRDefault="00617CB0" w:rsidP="000D7011">
            <w:pPr>
              <w:pStyle w:val="Tabletext"/>
              <w:jc w:val="right"/>
            </w:pPr>
            <w:r w:rsidRPr="00022D33">
              <w:t>(56,849)</w:t>
            </w:r>
          </w:p>
        </w:tc>
      </w:tr>
    </w:tbl>
    <w:p w:rsidR="000E1586" w:rsidRDefault="000E1586">
      <w:r>
        <w:br w:type="page"/>
      </w:r>
    </w:p>
    <w:tbl>
      <w:tblPr>
        <w:tblW w:w="0" w:type="auto"/>
        <w:tblLook w:val="04A0" w:firstRow="1" w:lastRow="0" w:firstColumn="1" w:lastColumn="0" w:noHBand="0" w:noVBand="1"/>
      </w:tblPr>
      <w:tblGrid>
        <w:gridCol w:w="2104"/>
        <w:gridCol w:w="1065"/>
        <w:gridCol w:w="1172"/>
        <w:gridCol w:w="1172"/>
        <w:gridCol w:w="1228"/>
        <w:gridCol w:w="1141"/>
        <w:gridCol w:w="1144"/>
      </w:tblGrid>
      <w:tr w:rsidR="00617CB0" w:rsidRPr="008872BC" w:rsidTr="000E1586">
        <w:tc>
          <w:tcPr>
            <w:tcW w:w="2104" w:type="dxa"/>
            <w:shd w:val="clear" w:color="auto" w:fill="auto"/>
          </w:tcPr>
          <w:p w:rsidR="00617CB0" w:rsidRPr="008872BC" w:rsidRDefault="00617CB0" w:rsidP="000D7011">
            <w:pPr>
              <w:pStyle w:val="Tabletext"/>
              <w:jc w:val="right"/>
              <w:rPr>
                <w:b/>
              </w:rPr>
            </w:pPr>
          </w:p>
        </w:tc>
        <w:tc>
          <w:tcPr>
            <w:tcW w:w="1065" w:type="dxa"/>
            <w:shd w:val="clear" w:color="auto" w:fill="auto"/>
          </w:tcPr>
          <w:p w:rsidR="00617CB0" w:rsidRPr="008872BC" w:rsidRDefault="00617CB0" w:rsidP="000D7011">
            <w:pPr>
              <w:pStyle w:val="Tabletext"/>
              <w:jc w:val="right"/>
              <w:rPr>
                <w:b/>
              </w:rPr>
            </w:pPr>
            <w:r w:rsidRPr="008872BC">
              <w:rPr>
                <w:b/>
              </w:rPr>
              <w:t>Variance</w:t>
            </w:r>
          </w:p>
          <w:p w:rsidR="00617CB0" w:rsidRPr="008872BC" w:rsidRDefault="00617CB0" w:rsidP="000D7011">
            <w:pPr>
              <w:pStyle w:val="Tabletext"/>
              <w:jc w:val="right"/>
              <w:rPr>
                <w:b/>
              </w:rPr>
            </w:pPr>
            <w:r w:rsidRPr="008872BC">
              <w:rPr>
                <w:b/>
              </w:rPr>
              <w:t>Note</w:t>
            </w:r>
          </w:p>
        </w:tc>
        <w:tc>
          <w:tcPr>
            <w:tcW w:w="1172" w:type="dxa"/>
            <w:shd w:val="clear" w:color="auto" w:fill="auto"/>
          </w:tcPr>
          <w:p w:rsidR="00617CB0" w:rsidRPr="008872BC" w:rsidRDefault="00617CB0" w:rsidP="000D7011">
            <w:pPr>
              <w:pStyle w:val="Tabletext"/>
              <w:jc w:val="right"/>
              <w:rPr>
                <w:b/>
              </w:rPr>
            </w:pPr>
            <w:r w:rsidRPr="008872BC">
              <w:rPr>
                <w:b/>
              </w:rPr>
              <w:t>Estimate 2016   $000</w:t>
            </w:r>
          </w:p>
        </w:tc>
        <w:tc>
          <w:tcPr>
            <w:tcW w:w="1172" w:type="dxa"/>
            <w:shd w:val="clear" w:color="auto" w:fill="auto"/>
          </w:tcPr>
          <w:p w:rsidR="00617CB0" w:rsidRPr="008872BC" w:rsidRDefault="00617CB0" w:rsidP="000D7011">
            <w:pPr>
              <w:pStyle w:val="Tabletext"/>
              <w:jc w:val="right"/>
              <w:rPr>
                <w:b/>
              </w:rPr>
            </w:pPr>
            <w:r w:rsidRPr="008872BC">
              <w:rPr>
                <w:b/>
              </w:rPr>
              <w:t>Actual 2016   $000</w:t>
            </w:r>
          </w:p>
        </w:tc>
        <w:tc>
          <w:tcPr>
            <w:tcW w:w="1228" w:type="dxa"/>
            <w:shd w:val="clear" w:color="auto" w:fill="auto"/>
          </w:tcPr>
          <w:p w:rsidR="00617CB0" w:rsidRPr="008872BC" w:rsidRDefault="00617CB0" w:rsidP="000D7011">
            <w:pPr>
              <w:pStyle w:val="Tabletext"/>
              <w:jc w:val="right"/>
              <w:rPr>
                <w:b/>
              </w:rPr>
            </w:pPr>
            <w:r w:rsidRPr="008872BC">
              <w:rPr>
                <w:b/>
              </w:rPr>
              <w:t>Actual 2015   $000</w:t>
            </w:r>
          </w:p>
        </w:tc>
        <w:tc>
          <w:tcPr>
            <w:tcW w:w="1141" w:type="dxa"/>
            <w:shd w:val="clear" w:color="auto" w:fill="auto"/>
          </w:tcPr>
          <w:p w:rsidR="00617CB0" w:rsidRPr="008872BC" w:rsidRDefault="00617CB0" w:rsidP="000D7011">
            <w:pPr>
              <w:pStyle w:val="Tabletext"/>
              <w:jc w:val="right"/>
              <w:rPr>
                <w:b/>
              </w:rPr>
            </w:pPr>
            <w:r w:rsidRPr="008872BC">
              <w:rPr>
                <w:b/>
              </w:rPr>
              <w:t>Variance between estimate and actual $000</w:t>
            </w:r>
          </w:p>
        </w:tc>
        <w:tc>
          <w:tcPr>
            <w:tcW w:w="1144" w:type="dxa"/>
            <w:shd w:val="clear" w:color="auto" w:fill="auto"/>
          </w:tcPr>
          <w:p w:rsidR="00617CB0" w:rsidRPr="008872BC" w:rsidRDefault="00617CB0" w:rsidP="000D7011">
            <w:pPr>
              <w:pStyle w:val="Tabletext"/>
              <w:jc w:val="right"/>
              <w:rPr>
                <w:b/>
              </w:rPr>
            </w:pPr>
            <w:r w:rsidRPr="008872BC">
              <w:rPr>
                <w:b/>
              </w:rPr>
              <w:t>Variance between actual results for 2016 and 2015 $000</w:t>
            </w:r>
          </w:p>
        </w:tc>
      </w:tr>
      <w:tr w:rsidR="00617CB0" w:rsidRPr="00022D33" w:rsidTr="000E1586">
        <w:tc>
          <w:tcPr>
            <w:tcW w:w="2104" w:type="dxa"/>
            <w:shd w:val="clear" w:color="auto" w:fill="auto"/>
          </w:tcPr>
          <w:p w:rsidR="00617CB0" w:rsidRPr="00022D33" w:rsidRDefault="00617CB0" w:rsidP="000D7011">
            <w:pPr>
              <w:pStyle w:val="Tabletext"/>
            </w:pPr>
            <w:r w:rsidRPr="00022D33">
              <w:t>Commonwealth grants and contributions</w:t>
            </w:r>
          </w:p>
        </w:tc>
        <w:tc>
          <w:tcPr>
            <w:tcW w:w="1065" w:type="dxa"/>
            <w:shd w:val="clear" w:color="auto" w:fill="auto"/>
          </w:tcPr>
          <w:p w:rsidR="00617CB0" w:rsidRPr="00022D33" w:rsidRDefault="00617CB0" w:rsidP="000D7011">
            <w:pPr>
              <w:pStyle w:val="Tabletext"/>
              <w:jc w:val="right"/>
            </w:pPr>
          </w:p>
        </w:tc>
        <w:tc>
          <w:tcPr>
            <w:tcW w:w="1172" w:type="dxa"/>
            <w:shd w:val="clear" w:color="auto" w:fill="auto"/>
          </w:tcPr>
          <w:p w:rsidR="00617CB0" w:rsidRPr="00022D33" w:rsidRDefault="00617CB0" w:rsidP="000D7011">
            <w:pPr>
              <w:pStyle w:val="Tabletext"/>
              <w:jc w:val="right"/>
            </w:pPr>
            <w:r w:rsidRPr="00022D33">
              <w:t>-</w:t>
            </w:r>
          </w:p>
        </w:tc>
        <w:tc>
          <w:tcPr>
            <w:tcW w:w="1172" w:type="dxa"/>
            <w:shd w:val="clear" w:color="auto" w:fill="auto"/>
          </w:tcPr>
          <w:p w:rsidR="00617CB0" w:rsidRPr="00022D33" w:rsidRDefault="00617CB0" w:rsidP="000D7011">
            <w:pPr>
              <w:pStyle w:val="Tabletext"/>
              <w:jc w:val="right"/>
            </w:pPr>
            <w:r w:rsidRPr="00022D33">
              <w:t>1,665</w:t>
            </w:r>
          </w:p>
        </w:tc>
        <w:tc>
          <w:tcPr>
            <w:tcW w:w="1228" w:type="dxa"/>
            <w:shd w:val="clear" w:color="auto" w:fill="auto"/>
          </w:tcPr>
          <w:p w:rsidR="00617CB0" w:rsidRPr="00022D33" w:rsidRDefault="00617CB0" w:rsidP="000D7011">
            <w:pPr>
              <w:pStyle w:val="Tabletext"/>
              <w:jc w:val="right"/>
            </w:pPr>
            <w:r w:rsidRPr="00022D33">
              <w:t>1,376</w:t>
            </w:r>
          </w:p>
        </w:tc>
        <w:tc>
          <w:tcPr>
            <w:tcW w:w="1141" w:type="dxa"/>
            <w:shd w:val="clear" w:color="auto" w:fill="auto"/>
          </w:tcPr>
          <w:p w:rsidR="00617CB0" w:rsidRPr="00022D33" w:rsidRDefault="00617CB0" w:rsidP="000D7011">
            <w:pPr>
              <w:pStyle w:val="Tabletext"/>
              <w:jc w:val="right"/>
            </w:pPr>
            <w:r w:rsidRPr="00022D33">
              <w:t>1,665</w:t>
            </w:r>
          </w:p>
        </w:tc>
        <w:tc>
          <w:tcPr>
            <w:tcW w:w="1144" w:type="dxa"/>
            <w:shd w:val="clear" w:color="auto" w:fill="auto"/>
          </w:tcPr>
          <w:p w:rsidR="00617CB0" w:rsidRPr="00022D33" w:rsidRDefault="00617CB0" w:rsidP="000D7011">
            <w:pPr>
              <w:pStyle w:val="Tabletext"/>
              <w:jc w:val="right"/>
            </w:pPr>
            <w:r w:rsidRPr="00022D33">
              <w:t>289</w:t>
            </w:r>
          </w:p>
        </w:tc>
      </w:tr>
      <w:tr w:rsidR="00617CB0" w:rsidRPr="00022D33" w:rsidTr="000E1586">
        <w:tc>
          <w:tcPr>
            <w:tcW w:w="2104" w:type="dxa"/>
            <w:shd w:val="clear" w:color="auto" w:fill="auto"/>
          </w:tcPr>
          <w:p w:rsidR="00617CB0" w:rsidRPr="00022D33" w:rsidRDefault="00617CB0" w:rsidP="000D7011">
            <w:pPr>
              <w:pStyle w:val="Tabletext"/>
            </w:pPr>
            <w:r w:rsidRPr="00022D33">
              <w:t>Interest received</w:t>
            </w:r>
          </w:p>
        </w:tc>
        <w:tc>
          <w:tcPr>
            <w:tcW w:w="1065" w:type="dxa"/>
            <w:shd w:val="clear" w:color="auto" w:fill="auto"/>
          </w:tcPr>
          <w:p w:rsidR="00617CB0" w:rsidRPr="00022D33" w:rsidRDefault="00617CB0" w:rsidP="000D7011">
            <w:pPr>
              <w:pStyle w:val="Tabletext"/>
              <w:jc w:val="right"/>
            </w:pPr>
          </w:p>
        </w:tc>
        <w:tc>
          <w:tcPr>
            <w:tcW w:w="1172" w:type="dxa"/>
            <w:shd w:val="clear" w:color="auto" w:fill="auto"/>
          </w:tcPr>
          <w:p w:rsidR="00617CB0" w:rsidRPr="00022D33" w:rsidRDefault="00617CB0" w:rsidP="000D7011">
            <w:pPr>
              <w:pStyle w:val="Tabletext"/>
              <w:jc w:val="right"/>
            </w:pPr>
            <w:r w:rsidRPr="00022D33">
              <w:t>1,398</w:t>
            </w:r>
          </w:p>
        </w:tc>
        <w:tc>
          <w:tcPr>
            <w:tcW w:w="1172" w:type="dxa"/>
            <w:shd w:val="clear" w:color="auto" w:fill="auto"/>
          </w:tcPr>
          <w:p w:rsidR="00617CB0" w:rsidRPr="00022D33" w:rsidRDefault="00617CB0" w:rsidP="000D7011">
            <w:pPr>
              <w:pStyle w:val="Tabletext"/>
              <w:jc w:val="right"/>
            </w:pPr>
            <w:r w:rsidRPr="00022D33">
              <w:t>214</w:t>
            </w:r>
          </w:p>
        </w:tc>
        <w:tc>
          <w:tcPr>
            <w:tcW w:w="1228" w:type="dxa"/>
            <w:shd w:val="clear" w:color="auto" w:fill="auto"/>
          </w:tcPr>
          <w:p w:rsidR="00617CB0" w:rsidRPr="00022D33" w:rsidRDefault="00617CB0" w:rsidP="000D7011">
            <w:pPr>
              <w:pStyle w:val="Tabletext"/>
              <w:jc w:val="right"/>
            </w:pPr>
            <w:r w:rsidRPr="00022D33">
              <w:t>269</w:t>
            </w:r>
          </w:p>
        </w:tc>
        <w:tc>
          <w:tcPr>
            <w:tcW w:w="1141" w:type="dxa"/>
            <w:shd w:val="clear" w:color="auto" w:fill="auto"/>
          </w:tcPr>
          <w:p w:rsidR="00617CB0" w:rsidRPr="00022D33" w:rsidRDefault="00617CB0" w:rsidP="000D7011">
            <w:pPr>
              <w:pStyle w:val="Tabletext"/>
              <w:jc w:val="right"/>
            </w:pPr>
            <w:r w:rsidRPr="00022D33">
              <w:t>(1,184)</w:t>
            </w:r>
          </w:p>
        </w:tc>
        <w:tc>
          <w:tcPr>
            <w:tcW w:w="1144" w:type="dxa"/>
            <w:shd w:val="clear" w:color="auto" w:fill="auto"/>
          </w:tcPr>
          <w:p w:rsidR="00617CB0" w:rsidRPr="00022D33" w:rsidRDefault="00617CB0" w:rsidP="000D7011">
            <w:pPr>
              <w:pStyle w:val="Tabletext"/>
              <w:jc w:val="right"/>
            </w:pPr>
            <w:r w:rsidRPr="00022D33">
              <w:t>(55)</w:t>
            </w:r>
          </w:p>
        </w:tc>
      </w:tr>
      <w:tr w:rsidR="00617CB0" w:rsidRPr="00022D33" w:rsidTr="000E1586">
        <w:tc>
          <w:tcPr>
            <w:tcW w:w="2104" w:type="dxa"/>
            <w:shd w:val="clear" w:color="auto" w:fill="auto"/>
          </w:tcPr>
          <w:p w:rsidR="00617CB0" w:rsidRPr="00022D33" w:rsidRDefault="00617CB0" w:rsidP="000D7011">
            <w:pPr>
              <w:pStyle w:val="Tabletext"/>
            </w:pPr>
            <w:r w:rsidRPr="00022D33">
              <w:t>GST receipts on sales</w:t>
            </w:r>
          </w:p>
        </w:tc>
        <w:tc>
          <w:tcPr>
            <w:tcW w:w="1065" w:type="dxa"/>
            <w:shd w:val="clear" w:color="auto" w:fill="auto"/>
          </w:tcPr>
          <w:p w:rsidR="00617CB0" w:rsidRPr="00022D33" w:rsidRDefault="00617CB0" w:rsidP="000D7011">
            <w:pPr>
              <w:pStyle w:val="Tabletext"/>
              <w:jc w:val="right"/>
            </w:pPr>
          </w:p>
        </w:tc>
        <w:tc>
          <w:tcPr>
            <w:tcW w:w="1172" w:type="dxa"/>
            <w:shd w:val="clear" w:color="auto" w:fill="auto"/>
          </w:tcPr>
          <w:p w:rsidR="00617CB0" w:rsidRPr="00022D33" w:rsidRDefault="00617CB0" w:rsidP="000D7011">
            <w:pPr>
              <w:pStyle w:val="Tabletext"/>
              <w:jc w:val="right"/>
            </w:pPr>
            <w:r w:rsidRPr="00022D33">
              <w:t>122,455</w:t>
            </w:r>
          </w:p>
        </w:tc>
        <w:tc>
          <w:tcPr>
            <w:tcW w:w="1172" w:type="dxa"/>
            <w:shd w:val="clear" w:color="auto" w:fill="auto"/>
          </w:tcPr>
          <w:p w:rsidR="00617CB0" w:rsidRPr="00022D33" w:rsidRDefault="00617CB0" w:rsidP="000D7011">
            <w:pPr>
              <w:pStyle w:val="Tabletext"/>
              <w:jc w:val="right"/>
            </w:pPr>
            <w:r w:rsidRPr="00022D33">
              <w:t>103,120</w:t>
            </w:r>
          </w:p>
        </w:tc>
        <w:tc>
          <w:tcPr>
            <w:tcW w:w="1228" w:type="dxa"/>
            <w:shd w:val="clear" w:color="auto" w:fill="auto"/>
          </w:tcPr>
          <w:p w:rsidR="00617CB0" w:rsidRPr="00022D33" w:rsidRDefault="00617CB0" w:rsidP="000D7011">
            <w:pPr>
              <w:pStyle w:val="Tabletext"/>
              <w:jc w:val="right"/>
            </w:pPr>
            <w:r w:rsidRPr="00022D33">
              <w:t>125,241</w:t>
            </w:r>
          </w:p>
        </w:tc>
        <w:tc>
          <w:tcPr>
            <w:tcW w:w="1141" w:type="dxa"/>
            <w:shd w:val="clear" w:color="auto" w:fill="auto"/>
          </w:tcPr>
          <w:p w:rsidR="00617CB0" w:rsidRPr="00022D33" w:rsidRDefault="00617CB0" w:rsidP="000D7011">
            <w:pPr>
              <w:pStyle w:val="Tabletext"/>
              <w:jc w:val="right"/>
            </w:pPr>
            <w:r w:rsidRPr="00022D33">
              <w:t>(19,335)</w:t>
            </w:r>
          </w:p>
        </w:tc>
        <w:tc>
          <w:tcPr>
            <w:tcW w:w="1144" w:type="dxa"/>
            <w:shd w:val="clear" w:color="auto" w:fill="auto"/>
          </w:tcPr>
          <w:p w:rsidR="00617CB0" w:rsidRPr="00022D33" w:rsidRDefault="00617CB0" w:rsidP="000D7011">
            <w:pPr>
              <w:pStyle w:val="Tabletext"/>
              <w:jc w:val="right"/>
            </w:pPr>
            <w:r w:rsidRPr="00022D33">
              <w:t>(22,121)</w:t>
            </w:r>
          </w:p>
        </w:tc>
      </w:tr>
      <w:tr w:rsidR="00617CB0" w:rsidRPr="00022D33" w:rsidTr="000E1586">
        <w:tc>
          <w:tcPr>
            <w:tcW w:w="2104" w:type="dxa"/>
            <w:shd w:val="clear" w:color="auto" w:fill="auto"/>
          </w:tcPr>
          <w:p w:rsidR="00617CB0" w:rsidRPr="00022D33" w:rsidRDefault="00617CB0" w:rsidP="000D7011">
            <w:pPr>
              <w:pStyle w:val="Tabletext"/>
            </w:pPr>
            <w:r w:rsidRPr="00022D33">
              <w:t>GST receipts from taxation authority</w:t>
            </w:r>
          </w:p>
        </w:tc>
        <w:tc>
          <w:tcPr>
            <w:tcW w:w="1065" w:type="dxa"/>
            <w:shd w:val="clear" w:color="auto" w:fill="auto"/>
          </w:tcPr>
          <w:p w:rsidR="00617CB0" w:rsidRPr="00022D33" w:rsidRDefault="00617CB0" w:rsidP="000D7011">
            <w:pPr>
              <w:pStyle w:val="Tabletext"/>
              <w:jc w:val="right"/>
            </w:pPr>
          </w:p>
        </w:tc>
        <w:tc>
          <w:tcPr>
            <w:tcW w:w="1172" w:type="dxa"/>
            <w:shd w:val="clear" w:color="auto" w:fill="auto"/>
          </w:tcPr>
          <w:p w:rsidR="00617CB0" w:rsidRPr="00022D33" w:rsidRDefault="00617CB0" w:rsidP="000D7011">
            <w:pPr>
              <w:pStyle w:val="Tabletext"/>
              <w:jc w:val="right"/>
            </w:pPr>
            <w:r w:rsidRPr="00022D33">
              <w:t>12,374</w:t>
            </w:r>
          </w:p>
        </w:tc>
        <w:tc>
          <w:tcPr>
            <w:tcW w:w="1172" w:type="dxa"/>
            <w:shd w:val="clear" w:color="auto" w:fill="auto"/>
          </w:tcPr>
          <w:p w:rsidR="00617CB0" w:rsidRPr="00022D33" w:rsidRDefault="00617CB0" w:rsidP="000D7011">
            <w:pPr>
              <w:pStyle w:val="Tabletext"/>
              <w:jc w:val="right"/>
            </w:pPr>
            <w:r w:rsidRPr="00022D33">
              <w:t>8,688</w:t>
            </w:r>
          </w:p>
        </w:tc>
        <w:tc>
          <w:tcPr>
            <w:tcW w:w="1228" w:type="dxa"/>
            <w:shd w:val="clear" w:color="auto" w:fill="auto"/>
          </w:tcPr>
          <w:p w:rsidR="00617CB0" w:rsidRPr="00022D33" w:rsidRDefault="00617CB0" w:rsidP="000D7011">
            <w:pPr>
              <w:pStyle w:val="Tabletext"/>
              <w:jc w:val="right"/>
            </w:pPr>
            <w:r w:rsidRPr="00022D33">
              <w:t>23,182</w:t>
            </w:r>
          </w:p>
        </w:tc>
        <w:tc>
          <w:tcPr>
            <w:tcW w:w="1141" w:type="dxa"/>
            <w:shd w:val="clear" w:color="auto" w:fill="auto"/>
          </w:tcPr>
          <w:p w:rsidR="00617CB0" w:rsidRPr="00022D33" w:rsidRDefault="00617CB0" w:rsidP="000D7011">
            <w:pPr>
              <w:pStyle w:val="Tabletext"/>
              <w:jc w:val="right"/>
            </w:pPr>
            <w:r w:rsidRPr="00022D33">
              <w:t>(3,686)</w:t>
            </w:r>
          </w:p>
        </w:tc>
        <w:tc>
          <w:tcPr>
            <w:tcW w:w="1144" w:type="dxa"/>
            <w:shd w:val="clear" w:color="auto" w:fill="auto"/>
          </w:tcPr>
          <w:p w:rsidR="00617CB0" w:rsidRPr="00022D33" w:rsidRDefault="00617CB0" w:rsidP="000D7011">
            <w:pPr>
              <w:pStyle w:val="Tabletext"/>
              <w:jc w:val="right"/>
            </w:pPr>
            <w:r w:rsidRPr="00022D33">
              <w:t>(14,494)</w:t>
            </w:r>
          </w:p>
        </w:tc>
      </w:tr>
      <w:tr w:rsidR="00617CB0" w:rsidRPr="00022D33" w:rsidTr="000E1586">
        <w:tc>
          <w:tcPr>
            <w:tcW w:w="2104" w:type="dxa"/>
            <w:shd w:val="clear" w:color="auto" w:fill="auto"/>
          </w:tcPr>
          <w:p w:rsidR="00617CB0" w:rsidRPr="00022D33" w:rsidRDefault="00617CB0" w:rsidP="000D7011">
            <w:pPr>
              <w:pStyle w:val="Tabletext"/>
            </w:pPr>
            <w:r w:rsidRPr="00022D33">
              <w:t>Other receipts</w:t>
            </w:r>
          </w:p>
        </w:tc>
        <w:tc>
          <w:tcPr>
            <w:tcW w:w="1065" w:type="dxa"/>
            <w:shd w:val="clear" w:color="auto" w:fill="auto"/>
          </w:tcPr>
          <w:p w:rsidR="00617CB0" w:rsidRPr="00022D33" w:rsidRDefault="00617CB0" w:rsidP="000D7011">
            <w:pPr>
              <w:pStyle w:val="Tabletext"/>
              <w:jc w:val="right"/>
            </w:pPr>
            <w:r w:rsidRPr="00022D33">
              <w:t>2 F</w:t>
            </w:r>
          </w:p>
        </w:tc>
        <w:tc>
          <w:tcPr>
            <w:tcW w:w="1172" w:type="dxa"/>
            <w:shd w:val="clear" w:color="auto" w:fill="auto"/>
          </w:tcPr>
          <w:p w:rsidR="00617CB0" w:rsidRPr="00022D33" w:rsidRDefault="00617CB0" w:rsidP="000D7011">
            <w:pPr>
              <w:pStyle w:val="Tabletext"/>
              <w:jc w:val="right"/>
            </w:pPr>
            <w:r w:rsidRPr="00022D33">
              <w:t>16,306</w:t>
            </w:r>
          </w:p>
        </w:tc>
        <w:tc>
          <w:tcPr>
            <w:tcW w:w="1172" w:type="dxa"/>
            <w:shd w:val="clear" w:color="auto" w:fill="auto"/>
          </w:tcPr>
          <w:p w:rsidR="00617CB0" w:rsidRPr="00022D33" w:rsidRDefault="00617CB0" w:rsidP="000D7011">
            <w:pPr>
              <w:pStyle w:val="Tabletext"/>
              <w:jc w:val="right"/>
            </w:pPr>
            <w:r w:rsidRPr="00022D33">
              <w:t>48,314</w:t>
            </w:r>
          </w:p>
        </w:tc>
        <w:tc>
          <w:tcPr>
            <w:tcW w:w="1228" w:type="dxa"/>
            <w:shd w:val="clear" w:color="auto" w:fill="auto"/>
          </w:tcPr>
          <w:p w:rsidR="00617CB0" w:rsidRPr="00022D33" w:rsidRDefault="00617CB0" w:rsidP="000D7011">
            <w:pPr>
              <w:pStyle w:val="Tabletext"/>
              <w:jc w:val="right"/>
            </w:pPr>
            <w:r w:rsidRPr="00022D33">
              <w:t>19,292</w:t>
            </w:r>
          </w:p>
        </w:tc>
        <w:tc>
          <w:tcPr>
            <w:tcW w:w="1141" w:type="dxa"/>
            <w:shd w:val="clear" w:color="auto" w:fill="auto"/>
          </w:tcPr>
          <w:p w:rsidR="00617CB0" w:rsidRPr="00022D33" w:rsidRDefault="00617CB0" w:rsidP="000D7011">
            <w:pPr>
              <w:pStyle w:val="Tabletext"/>
              <w:jc w:val="right"/>
            </w:pPr>
            <w:r w:rsidRPr="00022D33">
              <w:t>32,008</w:t>
            </w:r>
          </w:p>
        </w:tc>
        <w:tc>
          <w:tcPr>
            <w:tcW w:w="1144" w:type="dxa"/>
            <w:shd w:val="clear" w:color="auto" w:fill="auto"/>
          </w:tcPr>
          <w:p w:rsidR="00617CB0" w:rsidRPr="00022D33" w:rsidRDefault="00617CB0" w:rsidP="000D7011">
            <w:pPr>
              <w:pStyle w:val="Tabletext"/>
              <w:jc w:val="right"/>
            </w:pPr>
            <w:r w:rsidRPr="00022D33">
              <w:t>29,022</w:t>
            </w:r>
          </w:p>
        </w:tc>
      </w:tr>
      <w:tr w:rsidR="00617CB0" w:rsidRPr="00022D33" w:rsidTr="000E1586">
        <w:tc>
          <w:tcPr>
            <w:tcW w:w="2104" w:type="dxa"/>
            <w:shd w:val="clear" w:color="auto" w:fill="auto"/>
          </w:tcPr>
          <w:p w:rsidR="00617CB0" w:rsidRPr="00022D33" w:rsidRDefault="00617CB0" w:rsidP="000D7011">
            <w:pPr>
              <w:pStyle w:val="Tabletext"/>
              <w:rPr>
                <w:b/>
              </w:rPr>
            </w:pPr>
            <w:r w:rsidRPr="00022D33">
              <w:rPr>
                <w:b/>
              </w:rPr>
              <w:t>Net cash used in operating activities</w:t>
            </w:r>
          </w:p>
        </w:tc>
        <w:tc>
          <w:tcPr>
            <w:tcW w:w="1065" w:type="dxa"/>
            <w:shd w:val="clear" w:color="auto" w:fill="auto"/>
          </w:tcPr>
          <w:p w:rsidR="00617CB0" w:rsidRPr="00022D33" w:rsidRDefault="00617CB0" w:rsidP="000D7011">
            <w:pPr>
              <w:pStyle w:val="Tabletext"/>
              <w:jc w:val="right"/>
            </w:pPr>
          </w:p>
        </w:tc>
        <w:tc>
          <w:tcPr>
            <w:tcW w:w="1172"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(74,080)</w:t>
            </w:r>
          </w:p>
        </w:tc>
        <w:tc>
          <w:tcPr>
            <w:tcW w:w="1172"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(57,062)</w:t>
            </w:r>
          </w:p>
        </w:tc>
        <w:tc>
          <w:tcPr>
            <w:tcW w:w="1228"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(157,98</w:t>
            </w:r>
            <w:r>
              <w:rPr>
                <w:b/>
              </w:rPr>
              <w:t>5</w:t>
            </w:r>
            <w:r w:rsidRPr="00022D33">
              <w:rPr>
                <w:b/>
              </w:rPr>
              <w:t>)</w:t>
            </w:r>
          </w:p>
        </w:tc>
        <w:tc>
          <w:tcPr>
            <w:tcW w:w="1141"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Pr>
                <w:b/>
              </w:rPr>
              <w:t>17,018</w:t>
            </w:r>
          </w:p>
        </w:tc>
        <w:tc>
          <w:tcPr>
            <w:tcW w:w="1144"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100,924</w:t>
            </w:r>
          </w:p>
        </w:tc>
      </w:tr>
      <w:tr w:rsidR="00617CB0" w:rsidRPr="00022D33" w:rsidTr="000E1586">
        <w:tc>
          <w:tcPr>
            <w:tcW w:w="9026" w:type="dxa"/>
            <w:gridSpan w:val="7"/>
            <w:shd w:val="clear" w:color="auto" w:fill="auto"/>
          </w:tcPr>
          <w:p w:rsidR="00617CB0" w:rsidRPr="00022D33" w:rsidRDefault="00617CB0" w:rsidP="000D7011">
            <w:pPr>
              <w:pStyle w:val="Tabletext"/>
              <w:rPr>
                <w:b/>
              </w:rPr>
            </w:pPr>
            <w:r w:rsidRPr="00022D33">
              <w:rPr>
                <w:b/>
              </w:rPr>
              <w:t>CASH FLOWS FROM INVESTING ACTIVITIES</w:t>
            </w:r>
          </w:p>
        </w:tc>
      </w:tr>
      <w:tr w:rsidR="00617CB0" w:rsidRPr="00022D33" w:rsidTr="000E1586">
        <w:tc>
          <w:tcPr>
            <w:tcW w:w="9026" w:type="dxa"/>
            <w:gridSpan w:val="7"/>
            <w:shd w:val="clear" w:color="auto" w:fill="auto"/>
          </w:tcPr>
          <w:p w:rsidR="00617CB0" w:rsidRPr="00022D33" w:rsidRDefault="00617CB0" w:rsidP="000D7011">
            <w:pPr>
              <w:pStyle w:val="Tabletext"/>
              <w:rPr>
                <w:u w:val="single"/>
              </w:rPr>
            </w:pPr>
            <w:r w:rsidRPr="00022D33">
              <w:rPr>
                <w:u w:val="single"/>
              </w:rPr>
              <w:t>Payments</w:t>
            </w:r>
          </w:p>
        </w:tc>
      </w:tr>
      <w:tr w:rsidR="00617CB0" w:rsidRPr="00022D33" w:rsidTr="000E1586">
        <w:tc>
          <w:tcPr>
            <w:tcW w:w="2104" w:type="dxa"/>
            <w:shd w:val="clear" w:color="auto" w:fill="auto"/>
          </w:tcPr>
          <w:p w:rsidR="00617CB0" w:rsidRPr="00022D33" w:rsidRDefault="00617CB0" w:rsidP="000D7011">
            <w:pPr>
              <w:pStyle w:val="Tabletext"/>
            </w:pPr>
            <w:r w:rsidRPr="00022D33">
              <w:t>Purchasing of non-current physical assets</w:t>
            </w:r>
          </w:p>
        </w:tc>
        <w:tc>
          <w:tcPr>
            <w:tcW w:w="1065" w:type="dxa"/>
            <w:shd w:val="clear" w:color="auto" w:fill="auto"/>
          </w:tcPr>
          <w:p w:rsidR="00617CB0" w:rsidRPr="00022D33" w:rsidRDefault="00617CB0" w:rsidP="000D7011">
            <w:pPr>
              <w:pStyle w:val="Tabletext"/>
              <w:jc w:val="right"/>
            </w:pPr>
            <w:r w:rsidRPr="00022D33">
              <w:t>G</w:t>
            </w:r>
          </w:p>
        </w:tc>
        <w:tc>
          <w:tcPr>
            <w:tcW w:w="1172" w:type="dxa"/>
            <w:shd w:val="clear" w:color="auto" w:fill="auto"/>
          </w:tcPr>
          <w:p w:rsidR="00617CB0" w:rsidRPr="00022D33" w:rsidRDefault="00617CB0" w:rsidP="000D7011">
            <w:pPr>
              <w:pStyle w:val="Tabletext"/>
              <w:jc w:val="right"/>
            </w:pPr>
            <w:r w:rsidRPr="00022D33">
              <w:t>(208,202)</w:t>
            </w:r>
          </w:p>
        </w:tc>
        <w:tc>
          <w:tcPr>
            <w:tcW w:w="1172" w:type="dxa"/>
            <w:shd w:val="clear" w:color="auto" w:fill="auto"/>
          </w:tcPr>
          <w:p w:rsidR="00617CB0" w:rsidRPr="00022D33" w:rsidRDefault="00617CB0" w:rsidP="000D7011">
            <w:pPr>
              <w:pStyle w:val="Tabletext"/>
              <w:jc w:val="right"/>
            </w:pPr>
            <w:r w:rsidRPr="00022D33">
              <w:t>(185,967)</w:t>
            </w:r>
          </w:p>
        </w:tc>
        <w:tc>
          <w:tcPr>
            <w:tcW w:w="1228" w:type="dxa"/>
            <w:shd w:val="clear" w:color="auto" w:fill="auto"/>
          </w:tcPr>
          <w:p w:rsidR="00617CB0" w:rsidRPr="00022D33" w:rsidRDefault="00617CB0" w:rsidP="000D7011">
            <w:pPr>
              <w:pStyle w:val="Tabletext"/>
              <w:jc w:val="right"/>
            </w:pPr>
            <w:r w:rsidRPr="00022D33">
              <w:t>(103,042)</w:t>
            </w:r>
          </w:p>
        </w:tc>
        <w:tc>
          <w:tcPr>
            <w:tcW w:w="1141" w:type="dxa"/>
            <w:shd w:val="clear" w:color="auto" w:fill="auto"/>
          </w:tcPr>
          <w:p w:rsidR="00617CB0" w:rsidRPr="00022D33" w:rsidRDefault="00617CB0" w:rsidP="000D7011">
            <w:pPr>
              <w:pStyle w:val="Tabletext"/>
              <w:jc w:val="right"/>
            </w:pPr>
            <w:r w:rsidRPr="00022D33">
              <w:t>22,235</w:t>
            </w:r>
          </w:p>
        </w:tc>
        <w:tc>
          <w:tcPr>
            <w:tcW w:w="1144" w:type="dxa"/>
            <w:shd w:val="clear" w:color="auto" w:fill="auto"/>
          </w:tcPr>
          <w:p w:rsidR="00617CB0" w:rsidRPr="00022D33" w:rsidRDefault="00617CB0" w:rsidP="000D7011">
            <w:pPr>
              <w:pStyle w:val="Tabletext"/>
              <w:jc w:val="right"/>
            </w:pPr>
            <w:r w:rsidRPr="00022D33">
              <w:t>(82,925)</w:t>
            </w:r>
          </w:p>
        </w:tc>
      </w:tr>
      <w:tr w:rsidR="00617CB0" w:rsidRPr="00022D33" w:rsidTr="000E1586">
        <w:tc>
          <w:tcPr>
            <w:tcW w:w="2104" w:type="dxa"/>
            <w:shd w:val="clear" w:color="auto" w:fill="auto"/>
          </w:tcPr>
          <w:p w:rsidR="00617CB0" w:rsidRPr="00022D33" w:rsidRDefault="00617CB0" w:rsidP="000D7011">
            <w:pPr>
              <w:pStyle w:val="Tabletext"/>
              <w:rPr>
                <w:u w:val="single"/>
              </w:rPr>
            </w:pPr>
            <w:r w:rsidRPr="00022D33">
              <w:rPr>
                <w:u w:val="single"/>
              </w:rPr>
              <w:t>Receipts</w:t>
            </w:r>
          </w:p>
        </w:tc>
        <w:tc>
          <w:tcPr>
            <w:tcW w:w="1065" w:type="dxa"/>
            <w:shd w:val="clear" w:color="auto" w:fill="auto"/>
          </w:tcPr>
          <w:p w:rsidR="00617CB0" w:rsidRPr="00022D33" w:rsidRDefault="00617CB0" w:rsidP="000D7011">
            <w:pPr>
              <w:pStyle w:val="Tabletext"/>
              <w:jc w:val="right"/>
            </w:pPr>
          </w:p>
        </w:tc>
        <w:tc>
          <w:tcPr>
            <w:tcW w:w="1172" w:type="dxa"/>
            <w:shd w:val="clear" w:color="auto" w:fill="auto"/>
          </w:tcPr>
          <w:p w:rsidR="00617CB0" w:rsidRPr="00022D33" w:rsidRDefault="00617CB0" w:rsidP="000D7011">
            <w:pPr>
              <w:pStyle w:val="Tabletext"/>
              <w:jc w:val="right"/>
            </w:pPr>
          </w:p>
        </w:tc>
        <w:tc>
          <w:tcPr>
            <w:tcW w:w="1172" w:type="dxa"/>
            <w:shd w:val="clear" w:color="auto" w:fill="auto"/>
          </w:tcPr>
          <w:p w:rsidR="00617CB0" w:rsidRPr="00022D33" w:rsidRDefault="00617CB0" w:rsidP="000D7011">
            <w:pPr>
              <w:pStyle w:val="Tabletext"/>
              <w:jc w:val="right"/>
            </w:pPr>
          </w:p>
        </w:tc>
        <w:tc>
          <w:tcPr>
            <w:tcW w:w="1228" w:type="dxa"/>
            <w:shd w:val="clear" w:color="auto" w:fill="auto"/>
          </w:tcPr>
          <w:p w:rsidR="00617CB0" w:rsidRPr="00022D33" w:rsidRDefault="00617CB0" w:rsidP="000D7011">
            <w:pPr>
              <w:pStyle w:val="Tabletext"/>
              <w:jc w:val="right"/>
            </w:pPr>
          </w:p>
        </w:tc>
        <w:tc>
          <w:tcPr>
            <w:tcW w:w="1141" w:type="dxa"/>
            <w:shd w:val="clear" w:color="auto" w:fill="auto"/>
          </w:tcPr>
          <w:p w:rsidR="00617CB0" w:rsidRPr="00022D33" w:rsidRDefault="00617CB0" w:rsidP="000D7011">
            <w:pPr>
              <w:pStyle w:val="Tabletext"/>
              <w:jc w:val="right"/>
            </w:pPr>
          </w:p>
        </w:tc>
        <w:tc>
          <w:tcPr>
            <w:tcW w:w="1144" w:type="dxa"/>
            <w:shd w:val="clear" w:color="auto" w:fill="auto"/>
          </w:tcPr>
          <w:p w:rsidR="00617CB0" w:rsidRPr="00022D33" w:rsidRDefault="00617CB0" w:rsidP="000D7011">
            <w:pPr>
              <w:pStyle w:val="Tabletext"/>
              <w:jc w:val="right"/>
            </w:pPr>
          </w:p>
        </w:tc>
      </w:tr>
      <w:tr w:rsidR="00617CB0" w:rsidRPr="00022D33" w:rsidTr="000E1586">
        <w:tc>
          <w:tcPr>
            <w:tcW w:w="2104" w:type="dxa"/>
            <w:shd w:val="clear" w:color="auto" w:fill="auto"/>
          </w:tcPr>
          <w:p w:rsidR="00617CB0" w:rsidRPr="00022D33" w:rsidRDefault="00617CB0" w:rsidP="000D7011">
            <w:pPr>
              <w:pStyle w:val="Tabletext"/>
            </w:pPr>
            <w:r w:rsidRPr="00022D33">
              <w:t>Proceeds from sale of non-current physical assets</w:t>
            </w:r>
          </w:p>
        </w:tc>
        <w:tc>
          <w:tcPr>
            <w:tcW w:w="1065" w:type="dxa"/>
            <w:shd w:val="clear" w:color="auto" w:fill="auto"/>
          </w:tcPr>
          <w:p w:rsidR="00617CB0" w:rsidRPr="00022D33" w:rsidRDefault="00617CB0" w:rsidP="000D7011">
            <w:pPr>
              <w:pStyle w:val="Tabletext"/>
              <w:jc w:val="right"/>
            </w:pPr>
          </w:p>
        </w:tc>
        <w:tc>
          <w:tcPr>
            <w:tcW w:w="1172" w:type="dxa"/>
            <w:tcBorders>
              <w:bottom w:val="single" w:sz="4" w:space="0" w:color="auto"/>
            </w:tcBorders>
            <w:shd w:val="clear" w:color="auto" w:fill="auto"/>
          </w:tcPr>
          <w:p w:rsidR="00617CB0" w:rsidRPr="00022D33" w:rsidRDefault="00617CB0" w:rsidP="000D7011">
            <w:pPr>
              <w:pStyle w:val="Tabletext"/>
              <w:jc w:val="right"/>
            </w:pPr>
            <w:r w:rsidRPr="00022D33">
              <w:t>53,765</w:t>
            </w:r>
          </w:p>
        </w:tc>
        <w:tc>
          <w:tcPr>
            <w:tcW w:w="1172" w:type="dxa"/>
            <w:tcBorders>
              <w:bottom w:val="single" w:sz="4" w:space="0" w:color="auto"/>
            </w:tcBorders>
            <w:shd w:val="clear" w:color="auto" w:fill="auto"/>
          </w:tcPr>
          <w:p w:rsidR="00617CB0" w:rsidRPr="00022D33" w:rsidRDefault="00617CB0" w:rsidP="000D7011">
            <w:pPr>
              <w:pStyle w:val="Tabletext"/>
              <w:jc w:val="right"/>
            </w:pPr>
            <w:r w:rsidRPr="00022D33">
              <w:t>40,212</w:t>
            </w:r>
          </w:p>
        </w:tc>
        <w:tc>
          <w:tcPr>
            <w:tcW w:w="1228" w:type="dxa"/>
            <w:tcBorders>
              <w:bottom w:val="single" w:sz="4" w:space="0" w:color="auto"/>
            </w:tcBorders>
            <w:shd w:val="clear" w:color="auto" w:fill="auto"/>
          </w:tcPr>
          <w:p w:rsidR="00617CB0" w:rsidRPr="00022D33" w:rsidRDefault="00617CB0" w:rsidP="000D7011">
            <w:pPr>
              <w:pStyle w:val="Tabletext"/>
              <w:jc w:val="right"/>
            </w:pPr>
            <w:r w:rsidRPr="00022D33">
              <w:t>47,619</w:t>
            </w:r>
          </w:p>
        </w:tc>
        <w:tc>
          <w:tcPr>
            <w:tcW w:w="1141" w:type="dxa"/>
            <w:tcBorders>
              <w:bottom w:val="single" w:sz="4" w:space="0" w:color="auto"/>
            </w:tcBorders>
            <w:shd w:val="clear" w:color="auto" w:fill="auto"/>
          </w:tcPr>
          <w:p w:rsidR="00617CB0" w:rsidRPr="00022D33" w:rsidRDefault="00617CB0" w:rsidP="000D7011">
            <w:pPr>
              <w:pStyle w:val="Tabletext"/>
              <w:jc w:val="right"/>
            </w:pPr>
            <w:r w:rsidRPr="00022D33">
              <w:t>(13,553)</w:t>
            </w:r>
          </w:p>
        </w:tc>
        <w:tc>
          <w:tcPr>
            <w:tcW w:w="1144" w:type="dxa"/>
            <w:tcBorders>
              <w:bottom w:val="single" w:sz="4" w:space="0" w:color="auto"/>
            </w:tcBorders>
            <w:shd w:val="clear" w:color="auto" w:fill="auto"/>
          </w:tcPr>
          <w:p w:rsidR="00617CB0" w:rsidRPr="00022D33" w:rsidRDefault="00617CB0" w:rsidP="000D7011">
            <w:pPr>
              <w:pStyle w:val="Tabletext"/>
              <w:jc w:val="right"/>
            </w:pPr>
            <w:r w:rsidRPr="00022D33">
              <w:t>(7,407)</w:t>
            </w:r>
          </w:p>
        </w:tc>
      </w:tr>
      <w:tr w:rsidR="00617CB0" w:rsidRPr="00022D33" w:rsidTr="000E1586">
        <w:tc>
          <w:tcPr>
            <w:tcW w:w="2104" w:type="dxa"/>
            <w:shd w:val="clear" w:color="auto" w:fill="auto"/>
          </w:tcPr>
          <w:p w:rsidR="00617CB0" w:rsidRPr="00022D33" w:rsidRDefault="00617CB0" w:rsidP="000D7011">
            <w:pPr>
              <w:pStyle w:val="Tabletext"/>
            </w:pPr>
            <w:r w:rsidRPr="00022D33">
              <w:rPr>
                <w:b/>
              </w:rPr>
              <w:t>Net cash used in investing activities</w:t>
            </w:r>
          </w:p>
        </w:tc>
        <w:tc>
          <w:tcPr>
            <w:tcW w:w="1065" w:type="dxa"/>
            <w:shd w:val="clear" w:color="auto" w:fill="auto"/>
          </w:tcPr>
          <w:p w:rsidR="00617CB0" w:rsidRPr="00022D33" w:rsidRDefault="00617CB0" w:rsidP="000D7011">
            <w:pPr>
              <w:pStyle w:val="Tabletext"/>
              <w:jc w:val="right"/>
            </w:pPr>
          </w:p>
        </w:tc>
        <w:tc>
          <w:tcPr>
            <w:tcW w:w="1172"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(154,437)</w:t>
            </w:r>
          </w:p>
        </w:tc>
        <w:tc>
          <w:tcPr>
            <w:tcW w:w="1172"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(145,755)</w:t>
            </w:r>
          </w:p>
        </w:tc>
        <w:tc>
          <w:tcPr>
            <w:tcW w:w="1228"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(55,424)</w:t>
            </w:r>
          </w:p>
        </w:tc>
        <w:tc>
          <w:tcPr>
            <w:tcW w:w="1141"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8,682</w:t>
            </w:r>
          </w:p>
        </w:tc>
        <w:tc>
          <w:tcPr>
            <w:tcW w:w="1144"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(90,332)</w:t>
            </w:r>
          </w:p>
        </w:tc>
      </w:tr>
      <w:tr w:rsidR="00617CB0" w:rsidRPr="00022D33" w:rsidTr="000E1586">
        <w:tc>
          <w:tcPr>
            <w:tcW w:w="9026" w:type="dxa"/>
            <w:gridSpan w:val="7"/>
            <w:shd w:val="clear" w:color="auto" w:fill="auto"/>
          </w:tcPr>
          <w:p w:rsidR="00617CB0" w:rsidRPr="00022D33" w:rsidRDefault="00617CB0" w:rsidP="000D7011">
            <w:pPr>
              <w:pStyle w:val="Tabletext"/>
              <w:rPr>
                <w:b/>
              </w:rPr>
            </w:pPr>
            <w:r w:rsidRPr="00022D33">
              <w:rPr>
                <w:b/>
              </w:rPr>
              <w:t>CASH FLOWS FROM FINANCING ACTIVITIES</w:t>
            </w:r>
          </w:p>
        </w:tc>
      </w:tr>
      <w:tr w:rsidR="00617CB0" w:rsidRPr="00022D33" w:rsidTr="000E1586">
        <w:tc>
          <w:tcPr>
            <w:tcW w:w="9026" w:type="dxa"/>
            <w:gridSpan w:val="7"/>
            <w:shd w:val="clear" w:color="auto" w:fill="auto"/>
          </w:tcPr>
          <w:p w:rsidR="00617CB0" w:rsidRPr="00022D33" w:rsidRDefault="00617CB0" w:rsidP="000D7011">
            <w:pPr>
              <w:pStyle w:val="Tabletext"/>
              <w:rPr>
                <w:u w:val="single"/>
              </w:rPr>
            </w:pPr>
            <w:r w:rsidRPr="00022D33">
              <w:rPr>
                <w:u w:val="single"/>
              </w:rPr>
              <w:t>Payments</w:t>
            </w:r>
          </w:p>
        </w:tc>
      </w:tr>
      <w:tr w:rsidR="00617CB0" w:rsidRPr="00022D33" w:rsidTr="000E1586">
        <w:tc>
          <w:tcPr>
            <w:tcW w:w="2104" w:type="dxa"/>
            <w:shd w:val="clear" w:color="auto" w:fill="auto"/>
          </w:tcPr>
          <w:p w:rsidR="00617CB0" w:rsidRPr="00022D33" w:rsidRDefault="00617CB0" w:rsidP="000D7011">
            <w:pPr>
              <w:pStyle w:val="Tabletext"/>
            </w:pPr>
            <w:r w:rsidRPr="00022D33">
              <w:t>Repayment of borrowings</w:t>
            </w:r>
          </w:p>
        </w:tc>
        <w:tc>
          <w:tcPr>
            <w:tcW w:w="1065" w:type="dxa"/>
            <w:shd w:val="clear" w:color="auto" w:fill="auto"/>
          </w:tcPr>
          <w:p w:rsidR="00617CB0" w:rsidRPr="00022D33" w:rsidRDefault="00617CB0" w:rsidP="000D7011">
            <w:pPr>
              <w:pStyle w:val="Tabletext"/>
              <w:jc w:val="right"/>
            </w:pPr>
          </w:p>
        </w:tc>
        <w:tc>
          <w:tcPr>
            <w:tcW w:w="1172" w:type="dxa"/>
            <w:shd w:val="clear" w:color="auto" w:fill="auto"/>
          </w:tcPr>
          <w:p w:rsidR="00617CB0" w:rsidRPr="00022D33" w:rsidRDefault="00617CB0" w:rsidP="000D7011">
            <w:pPr>
              <w:pStyle w:val="Tabletext"/>
              <w:jc w:val="right"/>
            </w:pPr>
            <w:r w:rsidRPr="00022D33">
              <w:t>(23,511)</w:t>
            </w:r>
          </w:p>
        </w:tc>
        <w:tc>
          <w:tcPr>
            <w:tcW w:w="1172" w:type="dxa"/>
            <w:shd w:val="clear" w:color="auto" w:fill="auto"/>
          </w:tcPr>
          <w:p w:rsidR="00617CB0" w:rsidRPr="00022D33" w:rsidRDefault="00617CB0" w:rsidP="000D7011">
            <w:pPr>
              <w:pStyle w:val="Tabletext"/>
              <w:jc w:val="right"/>
            </w:pPr>
            <w:r w:rsidRPr="00022D33">
              <w:t>(20,487)</w:t>
            </w:r>
          </w:p>
        </w:tc>
        <w:tc>
          <w:tcPr>
            <w:tcW w:w="1228" w:type="dxa"/>
            <w:shd w:val="clear" w:color="auto" w:fill="auto"/>
          </w:tcPr>
          <w:p w:rsidR="00617CB0" w:rsidRPr="00022D33" w:rsidRDefault="00617CB0" w:rsidP="000D7011">
            <w:pPr>
              <w:pStyle w:val="Tabletext"/>
              <w:jc w:val="right"/>
            </w:pPr>
            <w:r w:rsidRPr="00022D33">
              <w:t>(28,857)</w:t>
            </w:r>
          </w:p>
        </w:tc>
        <w:tc>
          <w:tcPr>
            <w:tcW w:w="1141" w:type="dxa"/>
            <w:shd w:val="clear" w:color="auto" w:fill="auto"/>
          </w:tcPr>
          <w:p w:rsidR="00617CB0" w:rsidRPr="00022D33" w:rsidRDefault="00617CB0" w:rsidP="000D7011">
            <w:pPr>
              <w:pStyle w:val="Tabletext"/>
              <w:jc w:val="right"/>
            </w:pPr>
            <w:r w:rsidRPr="00022D33">
              <w:t>7,415</w:t>
            </w:r>
          </w:p>
        </w:tc>
        <w:tc>
          <w:tcPr>
            <w:tcW w:w="1144" w:type="dxa"/>
            <w:shd w:val="clear" w:color="auto" w:fill="auto"/>
          </w:tcPr>
          <w:p w:rsidR="00617CB0" w:rsidRPr="00022D33" w:rsidRDefault="00617CB0" w:rsidP="000D7011">
            <w:pPr>
              <w:pStyle w:val="Tabletext"/>
              <w:jc w:val="right"/>
            </w:pPr>
            <w:r w:rsidRPr="00022D33">
              <w:t>12,761</w:t>
            </w:r>
          </w:p>
        </w:tc>
      </w:tr>
      <w:tr w:rsidR="00617CB0" w:rsidRPr="00022D33" w:rsidTr="000E1586">
        <w:tc>
          <w:tcPr>
            <w:tcW w:w="2104" w:type="dxa"/>
            <w:shd w:val="clear" w:color="auto" w:fill="auto"/>
          </w:tcPr>
          <w:p w:rsidR="00617CB0" w:rsidRPr="00022D33" w:rsidRDefault="00617CB0" w:rsidP="000D7011">
            <w:pPr>
              <w:pStyle w:val="Tabletext"/>
              <w:rPr>
                <w:u w:val="single"/>
              </w:rPr>
            </w:pPr>
            <w:r w:rsidRPr="00022D33">
              <w:rPr>
                <w:u w:val="single"/>
              </w:rPr>
              <w:t>Receipts</w:t>
            </w:r>
          </w:p>
        </w:tc>
        <w:tc>
          <w:tcPr>
            <w:tcW w:w="1065" w:type="dxa"/>
            <w:shd w:val="clear" w:color="auto" w:fill="auto"/>
          </w:tcPr>
          <w:p w:rsidR="00617CB0" w:rsidRPr="00022D33" w:rsidRDefault="00617CB0" w:rsidP="000D7011">
            <w:pPr>
              <w:pStyle w:val="Tabletext"/>
              <w:jc w:val="right"/>
            </w:pPr>
          </w:p>
        </w:tc>
        <w:tc>
          <w:tcPr>
            <w:tcW w:w="1172" w:type="dxa"/>
            <w:shd w:val="clear" w:color="auto" w:fill="auto"/>
          </w:tcPr>
          <w:p w:rsidR="00617CB0" w:rsidRPr="00022D33" w:rsidRDefault="00617CB0" w:rsidP="000D7011">
            <w:pPr>
              <w:pStyle w:val="Tabletext"/>
              <w:jc w:val="right"/>
            </w:pPr>
          </w:p>
        </w:tc>
        <w:tc>
          <w:tcPr>
            <w:tcW w:w="1172" w:type="dxa"/>
            <w:shd w:val="clear" w:color="auto" w:fill="auto"/>
          </w:tcPr>
          <w:p w:rsidR="00617CB0" w:rsidRPr="00022D33" w:rsidRDefault="00617CB0" w:rsidP="000D7011">
            <w:pPr>
              <w:pStyle w:val="Tabletext"/>
              <w:jc w:val="right"/>
            </w:pPr>
          </w:p>
        </w:tc>
        <w:tc>
          <w:tcPr>
            <w:tcW w:w="1228" w:type="dxa"/>
            <w:shd w:val="clear" w:color="auto" w:fill="auto"/>
          </w:tcPr>
          <w:p w:rsidR="00617CB0" w:rsidRPr="00022D33" w:rsidRDefault="00617CB0" w:rsidP="000D7011">
            <w:pPr>
              <w:pStyle w:val="Tabletext"/>
              <w:jc w:val="right"/>
            </w:pPr>
          </w:p>
        </w:tc>
        <w:tc>
          <w:tcPr>
            <w:tcW w:w="1141" w:type="dxa"/>
            <w:shd w:val="clear" w:color="auto" w:fill="auto"/>
          </w:tcPr>
          <w:p w:rsidR="00617CB0" w:rsidRPr="00022D33" w:rsidRDefault="00617CB0" w:rsidP="000D7011">
            <w:pPr>
              <w:pStyle w:val="Tabletext"/>
              <w:jc w:val="right"/>
            </w:pPr>
          </w:p>
        </w:tc>
        <w:tc>
          <w:tcPr>
            <w:tcW w:w="1144" w:type="dxa"/>
            <w:shd w:val="clear" w:color="auto" w:fill="auto"/>
          </w:tcPr>
          <w:p w:rsidR="00617CB0" w:rsidRPr="00022D33" w:rsidRDefault="00617CB0" w:rsidP="000D7011">
            <w:pPr>
              <w:pStyle w:val="Tabletext"/>
              <w:jc w:val="right"/>
            </w:pPr>
          </w:p>
        </w:tc>
      </w:tr>
      <w:tr w:rsidR="00617CB0" w:rsidRPr="00022D33" w:rsidTr="000E1586">
        <w:tc>
          <w:tcPr>
            <w:tcW w:w="2104" w:type="dxa"/>
            <w:shd w:val="clear" w:color="auto" w:fill="auto"/>
          </w:tcPr>
          <w:p w:rsidR="00617CB0" w:rsidRPr="00022D33" w:rsidRDefault="00617CB0" w:rsidP="000D7011">
            <w:pPr>
              <w:pStyle w:val="Tabletext"/>
            </w:pPr>
            <w:r w:rsidRPr="00022D33">
              <w:t xml:space="preserve">Proceeds from borrowings </w:t>
            </w:r>
          </w:p>
        </w:tc>
        <w:tc>
          <w:tcPr>
            <w:tcW w:w="1065" w:type="dxa"/>
            <w:shd w:val="clear" w:color="auto" w:fill="auto"/>
          </w:tcPr>
          <w:p w:rsidR="00617CB0" w:rsidRPr="00022D33" w:rsidRDefault="00617CB0" w:rsidP="000D7011">
            <w:pPr>
              <w:pStyle w:val="Tabletext"/>
              <w:jc w:val="right"/>
            </w:pPr>
          </w:p>
        </w:tc>
        <w:tc>
          <w:tcPr>
            <w:tcW w:w="1172" w:type="dxa"/>
            <w:shd w:val="clear" w:color="auto" w:fill="auto"/>
          </w:tcPr>
          <w:p w:rsidR="00617CB0" w:rsidRPr="00022D33" w:rsidRDefault="00617CB0" w:rsidP="000D7011">
            <w:pPr>
              <w:pStyle w:val="Tabletext"/>
              <w:jc w:val="right"/>
            </w:pPr>
            <w:r w:rsidRPr="00022D33">
              <w:t>8,020</w:t>
            </w:r>
          </w:p>
        </w:tc>
        <w:tc>
          <w:tcPr>
            <w:tcW w:w="1172" w:type="dxa"/>
            <w:shd w:val="clear" w:color="auto" w:fill="auto"/>
          </w:tcPr>
          <w:p w:rsidR="00617CB0" w:rsidRPr="00022D33" w:rsidRDefault="00617CB0" w:rsidP="000D7011">
            <w:pPr>
              <w:pStyle w:val="Tabletext"/>
              <w:jc w:val="right"/>
            </w:pPr>
            <w:r w:rsidRPr="00022D33">
              <w:t>4,408</w:t>
            </w:r>
          </w:p>
        </w:tc>
        <w:tc>
          <w:tcPr>
            <w:tcW w:w="1228" w:type="dxa"/>
            <w:shd w:val="clear" w:color="auto" w:fill="auto"/>
          </w:tcPr>
          <w:p w:rsidR="00617CB0" w:rsidRPr="00022D33" w:rsidRDefault="00617CB0" w:rsidP="000D7011">
            <w:pPr>
              <w:pStyle w:val="Tabletext"/>
              <w:jc w:val="right"/>
            </w:pPr>
            <w:r w:rsidRPr="00022D33">
              <w:t>17</w:t>
            </w:r>
          </w:p>
        </w:tc>
        <w:tc>
          <w:tcPr>
            <w:tcW w:w="1141" w:type="dxa"/>
            <w:shd w:val="clear" w:color="auto" w:fill="auto"/>
          </w:tcPr>
          <w:p w:rsidR="00617CB0" w:rsidRPr="00022D33" w:rsidRDefault="00617CB0" w:rsidP="000D7011">
            <w:pPr>
              <w:pStyle w:val="Tabletext"/>
              <w:jc w:val="right"/>
            </w:pPr>
            <w:r w:rsidRPr="00022D33">
              <w:t>(8,003)</w:t>
            </w:r>
          </w:p>
        </w:tc>
        <w:tc>
          <w:tcPr>
            <w:tcW w:w="1144" w:type="dxa"/>
            <w:shd w:val="clear" w:color="auto" w:fill="auto"/>
          </w:tcPr>
          <w:p w:rsidR="00617CB0" w:rsidRPr="00022D33" w:rsidRDefault="00617CB0" w:rsidP="000D7011">
            <w:pPr>
              <w:pStyle w:val="Tabletext"/>
              <w:jc w:val="right"/>
            </w:pPr>
            <w:r w:rsidRPr="00022D33">
              <w:t>-</w:t>
            </w:r>
          </w:p>
        </w:tc>
      </w:tr>
      <w:tr w:rsidR="00617CB0" w:rsidRPr="00022D33" w:rsidTr="000E1586">
        <w:tc>
          <w:tcPr>
            <w:tcW w:w="2104" w:type="dxa"/>
            <w:shd w:val="clear" w:color="auto" w:fill="auto"/>
          </w:tcPr>
          <w:p w:rsidR="00617CB0" w:rsidRPr="00022D33" w:rsidRDefault="00617CB0" w:rsidP="000D7011">
            <w:pPr>
              <w:pStyle w:val="Tabletext"/>
            </w:pPr>
            <w:r w:rsidRPr="00022D33">
              <w:t>Finance Leases Receipts</w:t>
            </w:r>
          </w:p>
        </w:tc>
        <w:tc>
          <w:tcPr>
            <w:tcW w:w="1065" w:type="dxa"/>
            <w:shd w:val="clear" w:color="auto" w:fill="auto"/>
          </w:tcPr>
          <w:p w:rsidR="00617CB0" w:rsidRPr="00022D33" w:rsidRDefault="00617CB0" w:rsidP="000D7011">
            <w:pPr>
              <w:pStyle w:val="Tabletext"/>
              <w:jc w:val="right"/>
            </w:pPr>
          </w:p>
        </w:tc>
        <w:tc>
          <w:tcPr>
            <w:tcW w:w="1172" w:type="dxa"/>
            <w:tcBorders>
              <w:bottom w:val="single" w:sz="4" w:space="0" w:color="auto"/>
            </w:tcBorders>
            <w:shd w:val="clear" w:color="auto" w:fill="auto"/>
          </w:tcPr>
          <w:p w:rsidR="00617CB0" w:rsidRPr="00022D33" w:rsidRDefault="00617CB0" w:rsidP="000D7011">
            <w:pPr>
              <w:pStyle w:val="Tabletext"/>
              <w:jc w:val="right"/>
            </w:pPr>
            <w:r w:rsidRPr="00022D33">
              <w:t>2,475</w:t>
            </w:r>
          </w:p>
        </w:tc>
        <w:tc>
          <w:tcPr>
            <w:tcW w:w="1172" w:type="dxa"/>
            <w:tcBorders>
              <w:bottom w:val="single" w:sz="4" w:space="0" w:color="auto"/>
            </w:tcBorders>
            <w:shd w:val="clear" w:color="auto" w:fill="auto"/>
          </w:tcPr>
          <w:p w:rsidR="00617CB0" w:rsidRPr="00022D33" w:rsidRDefault="00617CB0" w:rsidP="000D7011">
            <w:pPr>
              <w:pStyle w:val="Tabletext"/>
              <w:jc w:val="right"/>
            </w:pPr>
            <w:r w:rsidRPr="00022D33">
              <w:t>598</w:t>
            </w:r>
          </w:p>
        </w:tc>
        <w:tc>
          <w:tcPr>
            <w:tcW w:w="1228" w:type="dxa"/>
            <w:tcBorders>
              <w:bottom w:val="single" w:sz="4" w:space="0" w:color="auto"/>
            </w:tcBorders>
            <w:shd w:val="clear" w:color="auto" w:fill="auto"/>
          </w:tcPr>
          <w:p w:rsidR="00617CB0" w:rsidRPr="00022D33" w:rsidRDefault="00617CB0" w:rsidP="000D7011">
            <w:pPr>
              <w:pStyle w:val="Tabletext"/>
              <w:jc w:val="right"/>
            </w:pPr>
            <w:r w:rsidRPr="00022D33">
              <w:t>742</w:t>
            </w:r>
          </w:p>
        </w:tc>
        <w:tc>
          <w:tcPr>
            <w:tcW w:w="1141" w:type="dxa"/>
            <w:tcBorders>
              <w:bottom w:val="single" w:sz="4" w:space="0" w:color="auto"/>
            </w:tcBorders>
            <w:shd w:val="clear" w:color="auto" w:fill="auto"/>
          </w:tcPr>
          <w:p w:rsidR="00617CB0" w:rsidRPr="00022D33" w:rsidRDefault="00617CB0" w:rsidP="000D7011">
            <w:pPr>
              <w:pStyle w:val="Tabletext"/>
              <w:jc w:val="right"/>
            </w:pPr>
            <w:r w:rsidRPr="00022D33">
              <w:t>(1,877)</w:t>
            </w:r>
          </w:p>
        </w:tc>
        <w:tc>
          <w:tcPr>
            <w:tcW w:w="1144" w:type="dxa"/>
            <w:tcBorders>
              <w:bottom w:val="single" w:sz="4" w:space="0" w:color="auto"/>
            </w:tcBorders>
            <w:shd w:val="clear" w:color="auto" w:fill="auto"/>
          </w:tcPr>
          <w:p w:rsidR="00617CB0" w:rsidRPr="00022D33" w:rsidRDefault="00617CB0" w:rsidP="000D7011">
            <w:pPr>
              <w:pStyle w:val="Tabletext"/>
              <w:jc w:val="right"/>
            </w:pPr>
            <w:r w:rsidRPr="00022D33">
              <w:t>(144)</w:t>
            </w:r>
          </w:p>
        </w:tc>
      </w:tr>
      <w:tr w:rsidR="00617CB0" w:rsidRPr="00022D33" w:rsidTr="000E1586">
        <w:tc>
          <w:tcPr>
            <w:tcW w:w="2104" w:type="dxa"/>
            <w:shd w:val="clear" w:color="auto" w:fill="auto"/>
          </w:tcPr>
          <w:p w:rsidR="00617CB0" w:rsidRPr="00022D33" w:rsidRDefault="00617CB0" w:rsidP="000D7011">
            <w:pPr>
              <w:pStyle w:val="Tabletext"/>
              <w:rPr>
                <w:b/>
              </w:rPr>
            </w:pPr>
            <w:r w:rsidRPr="00022D33">
              <w:rPr>
                <w:b/>
              </w:rPr>
              <w:t>Net cash used in financing activities</w:t>
            </w:r>
          </w:p>
        </w:tc>
        <w:tc>
          <w:tcPr>
            <w:tcW w:w="1065" w:type="dxa"/>
            <w:shd w:val="clear" w:color="auto" w:fill="auto"/>
          </w:tcPr>
          <w:p w:rsidR="00617CB0" w:rsidRPr="00022D33" w:rsidRDefault="00617CB0" w:rsidP="000D7011">
            <w:pPr>
              <w:pStyle w:val="Tabletext"/>
              <w:jc w:val="right"/>
            </w:pPr>
          </w:p>
        </w:tc>
        <w:tc>
          <w:tcPr>
            <w:tcW w:w="1172"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(13,016)</w:t>
            </w:r>
          </w:p>
        </w:tc>
        <w:tc>
          <w:tcPr>
            <w:tcW w:w="1172"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(15,481)</w:t>
            </w:r>
          </w:p>
        </w:tc>
        <w:tc>
          <w:tcPr>
            <w:tcW w:w="1228"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(28,098)</w:t>
            </w:r>
          </w:p>
        </w:tc>
        <w:tc>
          <w:tcPr>
            <w:tcW w:w="1141"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(2,465)</w:t>
            </w:r>
          </w:p>
        </w:tc>
        <w:tc>
          <w:tcPr>
            <w:tcW w:w="1144"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12,617</w:t>
            </w:r>
          </w:p>
        </w:tc>
      </w:tr>
      <w:tr w:rsidR="00617CB0" w:rsidRPr="00022D33" w:rsidTr="000E1586">
        <w:tc>
          <w:tcPr>
            <w:tcW w:w="2104" w:type="dxa"/>
            <w:shd w:val="clear" w:color="auto" w:fill="auto"/>
          </w:tcPr>
          <w:p w:rsidR="00617CB0" w:rsidRPr="00022D33" w:rsidRDefault="00617CB0" w:rsidP="000D7011">
            <w:pPr>
              <w:pStyle w:val="Tabletext"/>
            </w:pPr>
            <w:r w:rsidRPr="00022D33">
              <w:t>Net increase/(decreased) in cash and cash equivalents</w:t>
            </w:r>
          </w:p>
        </w:tc>
        <w:tc>
          <w:tcPr>
            <w:tcW w:w="1065" w:type="dxa"/>
            <w:shd w:val="clear" w:color="auto" w:fill="auto"/>
          </w:tcPr>
          <w:p w:rsidR="00617CB0" w:rsidRPr="00022D33" w:rsidRDefault="00617CB0" w:rsidP="000D7011">
            <w:pPr>
              <w:pStyle w:val="Tabletext"/>
              <w:jc w:val="right"/>
            </w:pPr>
          </w:p>
        </w:tc>
        <w:tc>
          <w:tcPr>
            <w:tcW w:w="1172" w:type="dxa"/>
            <w:tcBorders>
              <w:top w:val="single" w:sz="4" w:space="0" w:color="auto"/>
            </w:tcBorders>
            <w:shd w:val="clear" w:color="auto" w:fill="auto"/>
          </w:tcPr>
          <w:p w:rsidR="00617CB0" w:rsidRPr="00022D33" w:rsidRDefault="00617CB0" w:rsidP="000D7011">
            <w:pPr>
              <w:pStyle w:val="Tabletext"/>
              <w:jc w:val="right"/>
            </w:pPr>
            <w:r w:rsidRPr="00022D33">
              <w:t>3,595</w:t>
            </w:r>
          </w:p>
        </w:tc>
        <w:tc>
          <w:tcPr>
            <w:tcW w:w="1172" w:type="dxa"/>
            <w:tcBorders>
              <w:top w:val="single" w:sz="4" w:space="0" w:color="auto"/>
            </w:tcBorders>
            <w:shd w:val="clear" w:color="auto" w:fill="auto"/>
          </w:tcPr>
          <w:p w:rsidR="00617CB0" w:rsidRPr="00022D33" w:rsidRDefault="00617CB0" w:rsidP="000D7011">
            <w:pPr>
              <w:pStyle w:val="Tabletext"/>
              <w:jc w:val="right"/>
            </w:pPr>
            <w:r w:rsidRPr="00022D33">
              <w:t>24,439</w:t>
            </w:r>
          </w:p>
        </w:tc>
        <w:tc>
          <w:tcPr>
            <w:tcW w:w="1228" w:type="dxa"/>
            <w:tcBorders>
              <w:top w:val="single" w:sz="4" w:space="0" w:color="auto"/>
            </w:tcBorders>
            <w:shd w:val="clear" w:color="auto" w:fill="auto"/>
          </w:tcPr>
          <w:p w:rsidR="00617CB0" w:rsidRPr="00022D33" w:rsidRDefault="00617CB0" w:rsidP="000D7011">
            <w:pPr>
              <w:pStyle w:val="Tabletext"/>
              <w:jc w:val="right"/>
            </w:pPr>
            <w:r w:rsidRPr="00022D33">
              <w:t>(102,428)</w:t>
            </w:r>
          </w:p>
        </w:tc>
        <w:tc>
          <w:tcPr>
            <w:tcW w:w="1141" w:type="dxa"/>
            <w:tcBorders>
              <w:top w:val="single" w:sz="4" w:space="0" w:color="auto"/>
            </w:tcBorders>
            <w:shd w:val="clear" w:color="auto" w:fill="auto"/>
          </w:tcPr>
          <w:p w:rsidR="00617CB0" w:rsidRPr="00022D33" w:rsidRDefault="00617CB0" w:rsidP="000D7011">
            <w:pPr>
              <w:pStyle w:val="Tabletext"/>
              <w:jc w:val="right"/>
            </w:pPr>
            <w:r w:rsidRPr="00022D33">
              <w:t>20,843</w:t>
            </w:r>
          </w:p>
        </w:tc>
        <w:tc>
          <w:tcPr>
            <w:tcW w:w="1144" w:type="dxa"/>
            <w:tcBorders>
              <w:top w:val="single" w:sz="4" w:space="0" w:color="auto"/>
            </w:tcBorders>
            <w:shd w:val="clear" w:color="auto" w:fill="auto"/>
          </w:tcPr>
          <w:p w:rsidR="00617CB0" w:rsidRPr="00022D33" w:rsidRDefault="00617CB0" w:rsidP="000D7011">
            <w:pPr>
              <w:pStyle w:val="Tabletext"/>
              <w:jc w:val="right"/>
            </w:pPr>
            <w:r w:rsidRPr="00022D33">
              <w:t>126,865</w:t>
            </w:r>
          </w:p>
        </w:tc>
      </w:tr>
      <w:tr w:rsidR="00617CB0" w:rsidRPr="00022D33" w:rsidTr="000E1586">
        <w:tc>
          <w:tcPr>
            <w:tcW w:w="2104" w:type="dxa"/>
            <w:shd w:val="clear" w:color="auto" w:fill="auto"/>
          </w:tcPr>
          <w:p w:rsidR="00617CB0" w:rsidRPr="00022D33" w:rsidRDefault="00617CB0" w:rsidP="000D7011">
            <w:pPr>
              <w:pStyle w:val="Tabletext"/>
            </w:pPr>
            <w:r w:rsidRPr="00022D33">
              <w:t>Cash and cash equivalents at the beginning of the period</w:t>
            </w:r>
          </w:p>
        </w:tc>
        <w:tc>
          <w:tcPr>
            <w:tcW w:w="1065" w:type="dxa"/>
            <w:shd w:val="clear" w:color="auto" w:fill="auto"/>
          </w:tcPr>
          <w:p w:rsidR="00617CB0" w:rsidRPr="00022D33" w:rsidRDefault="00617CB0" w:rsidP="000D7011">
            <w:pPr>
              <w:pStyle w:val="Tabletext"/>
              <w:jc w:val="right"/>
            </w:pPr>
          </w:p>
        </w:tc>
        <w:tc>
          <w:tcPr>
            <w:tcW w:w="1172" w:type="dxa"/>
            <w:tcBorders>
              <w:bottom w:val="single" w:sz="4" w:space="0" w:color="auto"/>
            </w:tcBorders>
            <w:shd w:val="clear" w:color="auto" w:fill="auto"/>
          </w:tcPr>
          <w:p w:rsidR="00617CB0" w:rsidRPr="00022D33" w:rsidRDefault="00617CB0" w:rsidP="000D7011">
            <w:pPr>
              <w:pStyle w:val="Tabletext"/>
              <w:jc w:val="right"/>
            </w:pPr>
            <w:r w:rsidRPr="00022D33">
              <w:t>175,077</w:t>
            </w:r>
          </w:p>
        </w:tc>
        <w:tc>
          <w:tcPr>
            <w:tcW w:w="1172" w:type="dxa"/>
            <w:tcBorders>
              <w:bottom w:val="single" w:sz="4" w:space="0" w:color="auto"/>
            </w:tcBorders>
            <w:shd w:val="clear" w:color="auto" w:fill="auto"/>
          </w:tcPr>
          <w:p w:rsidR="00617CB0" w:rsidRPr="00022D33" w:rsidRDefault="00617CB0" w:rsidP="000D7011">
            <w:pPr>
              <w:pStyle w:val="Tabletext"/>
              <w:jc w:val="right"/>
            </w:pPr>
            <w:r w:rsidRPr="00022D33">
              <w:t>73,792</w:t>
            </w:r>
          </w:p>
        </w:tc>
        <w:tc>
          <w:tcPr>
            <w:tcW w:w="1228" w:type="dxa"/>
            <w:tcBorders>
              <w:bottom w:val="single" w:sz="4" w:space="0" w:color="auto"/>
            </w:tcBorders>
            <w:shd w:val="clear" w:color="auto" w:fill="auto"/>
          </w:tcPr>
          <w:p w:rsidR="00617CB0" w:rsidRPr="00022D33" w:rsidRDefault="00617CB0" w:rsidP="000D7011">
            <w:pPr>
              <w:pStyle w:val="Tabletext"/>
              <w:jc w:val="right"/>
            </w:pPr>
            <w:r w:rsidRPr="00022D33">
              <w:t>176,220</w:t>
            </w:r>
          </w:p>
        </w:tc>
        <w:tc>
          <w:tcPr>
            <w:tcW w:w="1141" w:type="dxa"/>
            <w:tcBorders>
              <w:bottom w:val="single" w:sz="4" w:space="0" w:color="auto"/>
            </w:tcBorders>
            <w:shd w:val="clear" w:color="auto" w:fill="auto"/>
          </w:tcPr>
          <w:p w:rsidR="00617CB0" w:rsidRPr="00022D33" w:rsidRDefault="00617CB0" w:rsidP="000D7011">
            <w:pPr>
              <w:pStyle w:val="Tabletext"/>
              <w:jc w:val="right"/>
            </w:pPr>
            <w:r w:rsidRPr="00022D33">
              <w:t>(101,285)</w:t>
            </w:r>
          </w:p>
        </w:tc>
        <w:tc>
          <w:tcPr>
            <w:tcW w:w="1144" w:type="dxa"/>
            <w:tcBorders>
              <w:bottom w:val="single" w:sz="4" w:space="0" w:color="auto"/>
            </w:tcBorders>
            <w:shd w:val="clear" w:color="auto" w:fill="auto"/>
          </w:tcPr>
          <w:p w:rsidR="00617CB0" w:rsidRPr="00022D33" w:rsidRDefault="00617CB0" w:rsidP="000D7011">
            <w:pPr>
              <w:pStyle w:val="Tabletext"/>
              <w:jc w:val="right"/>
            </w:pPr>
            <w:r w:rsidRPr="00022D33">
              <w:t>(102,428)</w:t>
            </w:r>
          </w:p>
        </w:tc>
      </w:tr>
    </w:tbl>
    <w:p w:rsidR="00617CB0" w:rsidRDefault="00617CB0" w:rsidP="00617CB0"/>
    <w:tbl>
      <w:tblPr>
        <w:tblW w:w="0" w:type="auto"/>
        <w:tblLook w:val="04A0" w:firstRow="1" w:lastRow="0" w:firstColumn="1" w:lastColumn="0" w:noHBand="0" w:noVBand="1"/>
      </w:tblPr>
      <w:tblGrid>
        <w:gridCol w:w="2119"/>
        <w:gridCol w:w="1073"/>
        <w:gridCol w:w="1228"/>
        <w:gridCol w:w="1228"/>
        <w:gridCol w:w="1228"/>
        <w:gridCol w:w="1181"/>
        <w:gridCol w:w="1185"/>
      </w:tblGrid>
      <w:tr w:rsidR="00617CB0" w:rsidRPr="008872BC" w:rsidTr="000D7011">
        <w:tc>
          <w:tcPr>
            <w:tcW w:w="2119" w:type="dxa"/>
            <w:shd w:val="clear" w:color="auto" w:fill="auto"/>
          </w:tcPr>
          <w:p w:rsidR="00617CB0" w:rsidRPr="008872BC" w:rsidRDefault="00617CB0" w:rsidP="000D7011">
            <w:pPr>
              <w:pStyle w:val="Tabletext"/>
              <w:jc w:val="right"/>
              <w:rPr>
                <w:b/>
              </w:rPr>
            </w:pPr>
          </w:p>
        </w:tc>
        <w:tc>
          <w:tcPr>
            <w:tcW w:w="1073" w:type="dxa"/>
            <w:shd w:val="clear" w:color="auto" w:fill="auto"/>
          </w:tcPr>
          <w:p w:rsidR="00617CB0" w:rsidRPr="008872BC" w:rsidRDefault="00617CB0" w:rsidP="000D7011">
            <w:pPr>
              <w:pStyle w:val="Tabletext"/>
              <w:jc w:val="right"/>
              <w:rPr>
                <w:b/>
              </w:rPr>
            </w:pPr>
            <w:r w:rsidRPr="008872BC">
              <w:rPr>
                <w:b/>
              </w:rPr>
              <w:t>Variance</w:t>
            </w:r>
          </w:p>
          <w:p w:rsidR="00617CB0" w:rsidRPr="008872BC" w:rsidRDefault="00617CB0" w:rsidP="000D7011">
            <w:pPr>
              <w:pStyle w:val="Tabletext"/>
              <w:jc w:val="right"/>
              <w:rPr>
                <w:b/>
              </w:rPr>
            </w:pPr>
            <w:r w:rsidRPr="008872BC">
              <w:rPr>
                <w:b/>
              </w:rPr>
              <w:t>Note</w:t>
            </w:r>
          </w:p>
        </w:tc>
        <w:tc>
          <w:tcPr>
            <w:tcW w:w="1228" w:type="dxa"/>
            <w:tcBorders>
              <w:bottom w:val="single" w:sz="4" w:space="0" w:color="auto"/>
            </w:tcBorders>
            <w:shd w:val="clear" w:color="auto" w:fill="auto"/>
          </w:tcPr>
          <w:p w:rsidR="00617CB0" w:rsidRPr="008872BC" w:rsidRDefault="00617CB0" w:rsidP="000D7011">
            <w:pPr>
              <w:pStyle w:val="Tabletext"/>
              <w:jc w:val="right"/>
              <w:rPr>
                <w:b/>
              </w:rPr>
            </w:pPr>
            <w:r w:rsidRPr="008872BC">
              <w:rPr>
                <w:b/>
              </w:rPr>
              <w:t>Estimate 2016   $000</w:t>
            </w:r>
          </w:p>
        </w:tc>
        <w:tc>
          <w:tcPr>
            <w:tcW w:w="1228" w:type="dxa"/>
            <w:tcBorders>
              <w:bottom w:val="single" w:sz="4" w:space="0" w:color="auto"/>
            </w:tcBorders>
            <w:shd w:val="clear" w:color="auto" w:fill="auto"/>
          </w:tcPr>
          <w:p w:rsidR="00617CB0" w:rsidRPr="008872BC" w:rsidRDefault="00617CB0" w:rsidP="000D7011">
            <w:pPr>
              <w:pStyle w:val="Tabletext"/>
              <w:jc w:val="right"/>
              <w:rPr>
                <w:b/>
              </w:rPr>
            </w:pPr>
            <w:r w:rsidRPr="008872BC">
              <w:rPr>
                <w:b/>
              </w:rPr>
              <w:t>Actual 2016   $000</w:t>
            </w:r>
          </w:p>
        </w:tc>
        <w:tc>
          <w:tcPr>
            <w:tcW w:w="1228" w:type="dxa"/>
            <w:tcBorders>
              <w:bottom w:val="single" w:sz="4" w:space="0" w:color="auto"/>
            </w:tcBorders>
            <w:shd w:val="clear" w:color="auto" w:fill="auto"/>
          </w:tcPr>
          <w:p w:rsidR="00617CB0" w:rsidRPr="008872BC" w:rsidRDefault="00617CB0" w:rsidP="000D7011">
            <w:pPr>
              <w:pStyle w:val="Tabletext"/>
              <w:jc w:val="right"/>
              <w:rPr>
                <w:b/>
              </w:rPr>
            </w:pPr>
            <w:r w:rsidRPr="008872BC">
              <w:rPr>
                <w:b/>
              </w:rPr>
              <w:t>Actual 2015   $000</w:t>
            </w:r>
          </w:p>
        </w:tc>
        <w:tc>
          <w:tcPr>
            <w:tcW w:w="1181" w:type="dxa"/>
            <w:tcBorders>
              <w:bottom w:val="single" w:sz="4" w:space="0" w:color="auto"/>
            </w:tcBorders>
            <w:shd w:val="clear" w:color="auto" w:fill="auto"/>
          </w:tcPr>
          <w:p w:rsidR="00617CB0" w:rsidRPr="008872BC" w:rsidRDefault="00617CB0" w:rsidP="000D7011">
            <w:pPr>
              <w:pStyle w:val="Tabletext"/>
              <w:jc w:val="right"/>
              <w:rPr>
                <w:b/>
              </w:rPr>
            </w:pPr>
            <w:r w:rsidRPr="008872BC">
              <w:rPr>
                <w:b/>
              </w:rPr>
              <w:t>Variance between estimate and actual $000</w:t>
            </w:r>
          </w:p>
        </w:tc>
        <w:tc>
          <w:tcPr>
            <w:tcW w:w="1185" w:type="dxa"/>
            <w:tcBorders>
              <w:bottom w:val="single" w:sz="4" w:space="0" w:color="auto"/>
            </w:tcBorders>
            <w:shd w:val="clear" w:color="auto" w:fill="auto"/>
          </w:tcPr>
          <w:p w:rsidR="00617CB0" w:rsidRPr="008872BC" w:rsidRDefault="00617CB0" w:rsidP="000D7011">
            <w:pPr>
              <w:pStyle w:val="Tabletext"/>
              <w:jc w:val="right"/>
              <w:rPr>
                <w:b/>
              </w:rPr>
            </w:pPr>
            <w:r w:rsidRPr="008872BC">
              <w:rPr>
                <w:b/>
              </w:rPr>
              <w:t>Variance between actual results for 2016 and 2015 $000</w:t>
            </w:r>
          </w:p>
        </w:tc>
      </w:tr>
      <w:tr w:rsidR="00617CB0" w:rsidRPr="00022D33" w:rsidTr="000D7011">
        <w:tc>
          <w:tcPr>
            <w:tcW w:w="2119" w:type="dxa"/>
            <w:shd w:val="clear" w:color="auto" w:fill="auto"/>
          </w:tcPr>
          <w:p w:rsidR="00617CB0" w:rsidRPr="00022D33" w:rsidRDefault="00617CB0" w:rsidP="000D7011">
            <w:pPr>
              <w:pStyle w:val="Tabletext"/>
              <w:rPr>
                <w:b/>
              </w:rPr>
            </w:pPr>
            <w:r w:rsidRPr="00022D33">
              <w:rPr>
                <w:b/>
              </w:rPr>
              <w:t>CASH AND CASH EQUIVALENTS AT THE END OF THE PERIOD</w:t>
            </w:r>
          </w:p>
        </w:tc>
        <w:tc>
          <w:tcPr>
            <w:tcW w:w="1073" w:type="dxa"/>
            <w:shd w:val="clear" w:color="auto" w:fill="auto"/>
          </w:tcPr>
          <w:p w:rsidR="00617CB0" w:rsidRPr="00022D33" w:rsidRDefault="00617CB0" w:rsidP="000D7011">
            <w:pPr>
              <w:pStyle w:val="Tabletext"/>
              <w:jc w:val="right"/>
            </w:pPr>
          </w:p>
        </w:tc>
        <w:tc>
          <w:tcPr>
            <w:tcW w:w="1228" w:type="dxa"/>
            <w:tcBorders>
              <w:top w:val="single" w:sz="4" w:space="0" w:color="auto"/>
              <w:bottom w:val="double" w:sz="4" w:space="0" w:color="auto"/>
            </w:tcBorders>
            <w:shd w:val="clear" w:color="auto" w:fill="auto"/>
          </w:tcPr>
          <w:p w:rsidR="00617CB0" w:rsidRPr="00022D33" w:rsidRDefault="00617CB0" w:rsidP="000D7011">
            <w:pPr>
              <w:pStyle w:val="Tabletext"/>
              <w:jc w:val="right"/>
              <w:rPr>
                <w:b/>
              </w:rPr>
            </w:pPr>
            <w:r w:rsidRPr="00022D33">
              <w:rPr>
                <w:b/>
              </w:rPr>
              <w:t>178,672</w:t>
            </w:r>
          </w:p>
        </w:tc>
        <w:tc>
          <w:tcPr>
            <w:tcW w:w="1228" w:type="dxa"/>
            <w:tcBorders>
              <w:top w:val="single" w:sz="4" w:space="0" w:color="auto"/>
              <w:bottom w:val="double" w:sz="4" w:space="0" w:color="auto"/>
            </w:tcBorders>
            <w:shd w:val="clear" w:color="auto" w:fill="auto"/>
          </w:tcPr>
          <w:p w:rsidR="00617CB0" w:rsidRPr="00022D33" w:rsidRDefault="00617CB0" w:rsidP="000D7011">
            <w:pPr>
              <w:pStyle w:val="Tabletext"/>
              <w:jc w:val="right"/>
              <w:rPr>
                <w:b/>
              </w:rPr>
            </w:pPr>
            <w:r w:rsidRPr="00022D33">
              <w:rPr>
                <w:b/>
              </w:rPr>
              <w:t>98,230</w:t>
            </w:r>
          </w:p>
        </w:tc>
        <w:tc>
          <w:tcPr>
            <w:tcW w:w="1228" w:type="dxa"/>
            <w:tcBorders>
              <w:top w:val="single" w:sz="4" w:space="0" w:color="auto"/>
              <w:bottom w:val="double" w:sz="4" w:space="0" w:color="auto"/>
            </w:tcBorders>
            <w:shd w:val="clear" w:color="auto" w:fill="auto"/>
          </w:tcPr>
          <w:p w:rsidR="00617CB0" w:rsidRPr="00022D33" w:rsidRDefault="00617CB0" w:rsidP="000D7011">
            <w:pPr>
              <w:pStyle w:val="Tabletext"/>
              <w:jc w:val="right"/>
              <w:rPr>
                <w:b/>
              </w:rPr>
            </w:pPr>
            <w:r w:rsidRPr="00022D33">
              <w:rPr>
                <w:b/>
              </w:rPr>
              <w:t>73,792</w:t>
            </w:r>
          </w:p>
        </w:tc>
        <w:tc>
          <w:tcPr>
            <w:tcW w:w="1181" w:type="dxa"/>
            <w:tcBorders>
              <w:top w:val="single" w:sz="4" w:space="0" w:color="auto"/>
              <w:bottom w:val="double" w:sz="4" w:space="0" w:color="auto"/>
            </w:tcBorders>
            <w:shd w:val="clear" w:color="auto" w:fill="auto"/>
          </w:tcPr>
          <w:p w:rsidR="00617CB0" w:rsidRPr="00022D33" w:rsidRDefault="00617CB0" w:rsidP="000D7011">
            <w:pPr>
              <w:pStyle w:val="Tabletext"/>
              <w:jc w:val="right"/>
              <w:rPr>
                <w:b/>
              </w:rPr>
            </w:pPr>
            <w:r w:rsidRPr="00022D33">
              <w:rPr>
                <w:b/>
              </w:rPr>
              <w:t>(80,442)</w:t>
            </w:r>
          </w:p>
        </w:tc>
        <w:tc>
          <w:tcPr>
            <w:tcW w:w="1185" w:type="dxa"/>
            <w:tcBorders>
              <w:top w:val="single" w:sz="4" w:space="0" w:color="auto"/>
              <w:bottom w:val="double" w:sz="4" w:space="0" w:color="auto"/>
            </w:tcBorders>
            <w:shd w:val="clear" w:color="auto" w:fill="auto"/>
          </w:tcPr>
          <w:p w:rsidR="00617CB0" w:rsidRPr="00022D33" w:rsidRDefault="00617CB0" w:rsidP="000D7011">
            <w:pPr>
              <w:pStyle w:val="Tabletext"/>
              <w:jc w:val="right"/>
              <w:rPr>
                <w:b/>
              </w:rPr>
            </w:pPr>
            <w:r w:rsidRPr="00022D33">
              <w:rPr>
                <w:b/>
              </w:rPr>
              <w:t>24,437</w:t>
            </w:r>
          </w:p>
        </w:tc>
      </w:tr>
    </w:tbl>
    <w:p w:rsidR="00617CB0" w:rsidRPr="00760100" w:rsidRDefault="00617CB0" w:rsidP="00760100">
      <w:pPr>
        <w:pStyle w:val="BodyText"/>
        <w:spacing w:before="0"/>
        <w:rPr>
          <w:sz w:val="16"/>
          <w:szCs w:val="16"/>
        </w:rPr>
      </w:pPr>
    </w:p>
    <w:p w:rsidR="00617CB0" w:rsidRPr="00022D33" w:rsidRDefault="00617CB0" w:rsidP="00617CB0">
      <w:pPr>
        <w:pStyle w:val="BodyText"/>
        <w:rPr>
          <w:bCs/>
          <w:i/>
          <w:iCs/>
          <w:szCs w:val="26"/>
          <w:lang w:eastAsia="en-US"/>
        </w:rPr>
      </w:pPr>
      <w:r w:rsidRPr="00022D33">
        <w:rPr>
          <w:bCs/>
          <w:i/>
          <w:iCs/>
          <w:szCs w:val="26"/>
          <w:lang w:eastAsia="en-US"/>
        </w:rPr>
        <w:t>Major Estimate and Actual (2016) Variance Narratives</w:t>
      </w:r>
    </w:p>
    <w:p w:rsidR="00617CB0" w:rsidRPr="00022D33" w:rsidRDefault="00617CB0" w:rsidP="00617CB0">
      <w:pPr>
        <w:pStyle w:val="BodyText"/>
        <w:rPr>
          <w:bCs/>
          <w:iCs/>
          <w:szCs w:val="26"/>
          <w:lang w:eastAsia="en-US"/>
        </w:rPr>
      </w:pPr>
      <w:r w:rsidRPr="00022D33">
        <w:rPr>
          <w:bCs/>
          <w:iCs/>
          <w:szCs w:val="26"/>
          <w:lang w:eastAsia="en-US"/>
        </w:rPr>
        <w:t>1) Capital works expenditure for 2016, managed by Building Management and Works on behalf of government agencies, was lower than anticipated 2016 estimates, resulting in a lower recoup of costs from agencies.</w:t>
      </w:r>
    </w:p>
    <w:p w:rsidR="00617CB0" w:rsidRPr="00022D33" w:rsidRDefault="00617CB0" w:rsidP="00617CB0">
      <w:pPr>
        <w:pStyle w:val="BodyText"/>
        <w:rPr>
          <w:bCs/>
          <w:iCs/>
          <w:szCs w:val="26"/>
          <w:lang w:eastAsia="en-US"/>
        </w:rPr>
      </w:pPr>
      <w:r w:rsidRPr="00022D33">
        <w:rPr>
          <w:bCs/>
          <w:iCs/>
          <w:szCs w:val="26"/>
          <w:lang w:eastAsia="en-US"/>
        </w:rPr>
        <w:t>2) Unbudgeted cash lease incentive receipts relating to the St George's Cathedral Heritage Precinct, provided for office fit-outs.</w:t>
      </w:r>
    </w:p>
    <w:p w:rsidR="00617CB0" w:rsidRPr="00022D33" w:rsidRDefault="00617CB0" w:rsidP="00617CB0">
      <w:pPr>
        <w:pStyle w:val="BodyText"/>
        <w:rPr>
          <w:bCs/>
          <w:i/>
          <w:iCs/>
          <w:szCs w:val="26"/>
          <w:lang w:eastAsia="en-US"/>
        </w:rPr>
      </w:pPr>
      <w:r w:rsidRPr="00022D33">
        <w:rPr>
          <w:bCs/>
          <w:i/>
          <w:iCs/>
          <w:szCs w:val="26"/>
          <w:lang w:eastAsia="en-US"/>
        </w:rPr>
        <w:t>Major Actual (2016) and Comparative (2015) Variance Narratives</w:t>
      </w:r>
    </w:p>
    <w:p w:rsidR="00617CB0" w:rsidRPr="00022D33" w:rsidRDefault="00617CB0" w:rsidP="00617CB0">
      <w:pPr>
        <w:pStyle w:val="BodyText"/>
        <w:rPr>
          <w:bCs/>
          <w:iCs/>
          <w:szCs w:val="26"/>
          <w:lang w:eastAsia="en-US"/>
        </w:rPr>
      </w:pPr>
      <w:r w:rsidRPr="00022D33">
        <w:rPr>
          <w:bCs/>
          <w:iCs/>
          <w:szCs w:val="26"/>
          <w:lang w:eastAsia="en-US"/>
        </w:rPr>
        <w:t>A) Cash appropriations have increased in line with budgeted supplies and services payment requirements.</w:t>
      </w:r>
    </w:p>
    <w:p w:rsidR="00617CB0" w:rsidRPr="00022D33" w:rsidRDefault="00617CB0" w:rsidP="00617CB0">
      <w:pPr>
        <w:pStyle w:val="BodyText"/>
        <w:rPr>
          <w:bCs/>
          <w:iCs/>
          <w:szCs w:val="26"/>
          <w:lang w:eastAsia="en-US"/>
        </w:rPr>
      </w:pPr>
      <w:r w:rsidRPr="00022D33">
        <w:rPr>
          <w:bCs/>
          <w:iCs/>
          <w:szCs w:val="26"/>
          <w:lang w:eastAsia="en-US"/>
        </w:rPr>
        <w:t>B) Capital appropriations have increased primarily due to the St George's Cathedral Heritage Precinct development requirements.</w:t>
      </w:r>
    </w:p>
    <w:p w:rsidR="00617CB0" w:rsidRPr="00022D33" w:rsidRDefault="00617CB0" w:rsidP="00617CB0">
      <w:pPr>
        <w:pStyle w:val="BodyText"/>
        <w:rPr>
          <w:bCs/>
          <w:iCs/>
          <w:szCs w:val="26"/>
          <w:lang w:eastAsia="en-US"/>
        </w:rPr>
      </w:pPr>
      <w:r w:rsidRPr="00022D33">
        <w:rPr>
          <w:bCs/>
          <w:iCs/>
          <w:szCs w:val="26"/>
          <w:lang w:eastAsia="en-US"/>
        </w:rPr>
        <w:t>C) The Department was not required to draw on the Treasurer's Advance during 2016.</w:t>
      </w:r>
    </w:p>
    <w:p w:rsidR="00617CB0" w:rsidRPr="00022D33" w:rsidRDefault="00617CB0" w:rsidP="00617CB0">
      <w:pPr>
        <w:pStyle w:val="BodyText"/>
      </w:pPr>
      <w:r w:rsidRPr="00022D33">
        <w:t>D) Capital works expenditure for 2016, managed by Building Management and Works on behalf of government agencies, was lower than 2015 actuals due to a reduced number of projects.</w:t>
      </w:r>
    </w:p>
    <w:p w:rsidR="00617CB0" w:rsidRPr="00022D33" w:rsidRDefault="00617CB0" w:rsidP="00617CB0">
      <w:pPr>
        <w:pStyle w:val="BodyText"/>
      </w:pPr>
      <w:r w:rsidRPr="00022D33">
        <w:t>E) Capital works expenditure for 2016, managed by Building Management and Works on behalf of government agencies, was lower than 2015, resulting in lower recoup of costs from agencies.</w:t>
      </w:r>
    </w:p>
    <w:p w:rsidR="00617CB0" w:rsidRPr="00022D33" w:rsidRDefault="00617CB0" w:rsidP="00617CB0">
      <w:pPr>
        <w:pStyle w:val="BodyText"/>
      </w:pPr>
      <w:r w:rsidRPr="00022D33">
        <w:t>F) Increase in other receipts in 2016 due to cash lease incentive receipts relating to the St George's Cathedral Heritage Precinct provided for office fit-outs.</w:t>
      </w:r>
    </w:p>
    <w:p w:rsidR="00617CB0" w:rsidRPr="00022D33" w:rsidRDefault="00617CB0" w:rsidP="00760100">
      <w:pPr>
        <w:pStyle w:val="BodyText"/>
      </w:pPr>
      <w:r w:rsidRPr="00022D33">
        <w:t>G) Capital expenditure has increased primarily due to the St George's Cathedral Heritage Precinct development.</w:t>
      </w:r>
    </w:p>
    <w:p w:rsidR="00617CB0" w:rsidRDefault="00617CB0" w:rsidP="00617CB0">
      <w:pPr>
        <w:pStyle w:val="Heading3"/>
        <w:sectPr w:rsidR="00617CB0" w:rsidSect="000E1586">
          <w:pgSz w:w="11906" w:h="16838" w:code="9"/>
          <w:pgMar w:top="1440" w:right="1440" w:bottom="568" w:left="1440" w:header="0" w:footer="709" w:gutter="0"/>
          <w:cols w:space="708"/>
          <w:docGrid w:linePitch="360"/>
        </w:sectPr>
      </w:pPr>
    </w:p>
    <w:p w:rsidR="00617CB0" w:rsidRDefault="00617CB0" w:rsidP="00617CB0">
      <w:pPr>
        <w:pStyle w:val="Heading3"/>
      </w:pPr>
      <w:r w:rsidRPr="00022D33">
        <w:t xml:space="preserve">Note 44. Special Purpose Accounts </w:t>
      </w:r>
      <w:r>
        <w:t>–</w:t>
      </w:r>
      <w:r w:rsidRPr="00022D33">
        <w:t xml:space="preserve"> controlled</w:t>
      </w:r>
    </w:p>
    <w:p w:rsidR="00617CB0" w:rsidRPr="00022D33" w:rsidRDefault="00196F4C" w:rsidP="00617CB0">
      <w:pPr>
        <w:pStyle w:val="Caption"/>
        <w:keepNext/>
        <w:spacing w:after="60"/>
      </w:pPr>
      <w:fldSimple w:instr=" SEQ Table \* ARABIC ">
        <w:r w:rsidR="00D8778B">
          <w:rPr>
            <w:noProof/>
          </w:rPr>
          <w:t>67</w:t>
        </w:r>
      </w:fldSimple>
      <w:r w:rsidR="00617CB0" w:rsidRPr="00022D33">
        <w:t xml:space="preserve"> Special Purpose Accounts - controlled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8577" w:type="dxa"/>
            <w:gridSpan w:val="3"/>
            <w:tcBorders>
              <w:top w:val="nil"/>
              <w:left w:val="nil"/>
              <w:bottom w:val="nil"/>
              <w:right w:val="nil"/>
            </w:tcBorders>
            <w:shd w:val="clear" w:color="auto" w:fill="auto"/>
          </w:tcPr>
          <w:p w:rsidR="00617CB0" w:rsidRPr="00022D33" w:rsidRDefault="00617CB0" w:rsidP="000D7011">
            <w:pPr>
              <w:autoSpaceDE w:val="0"/>
              <w:autoSpaceDN w:val="0"/>
              <w:adjustRightInd w:val="0"/>
              <w:spacing w:after="0" w:line="240" w:lineRule="auto"/>
              <w:rPr>
                <w:rFonts w:ascii="HelveticaNeueLT-LightItalic" w:hAnsi="HelveticaNeueLT-LightItalic" w:cs="HelveticaNeueLT-LightItalic"/>
                <w:i/>
                <w:iCs/>
                <w:sz w:val="20"/>
                <w:szCs w:val="20"/>
                <w:lang w:eastAsia="en-AU"/>
              </w:rPr>
            </w:pPr>
            <w:r w:rsidRPr="00022D33">
              <w:rPr>
                <w:rFonts w:ascii="HelveticaNeueLT-LightItalic" w:hAnsi="HelveticaNeueLT-LightItalic" w:cs="HelveticaNeueLT-LightItalic"/>
                <w:i/>
                <w:iCs/>
                <w:sz w:val="20"/>
                <w:szCs w:val="20"/>
                <w:lang w:eastAsia="en-AU"/>
              </w:rPr>
              <w:t>Sunset Reserve Account</w:t>
            </w:r>
          </w:p>
          <w:p w:rsidR="00617CB0" w:rsidRPr="00022D33" w:rsidRDefault="00617CB0" w:rsidP="000D7011">
            <w:pPr>
              <w:autoSpaceDE w:val="0"/>
              <w:autoSpaceDN w:val="0"/>
              <w:adjustRightInd w:val="0"/>
              <w:spacing w:after="0" w:line="240" w:lineRule="auto"/>
            </w:pPr>
            <w:r w:rsidRPr="00022D33">
              <w:rPr>
                <w:rFonts w:ascii="HelveticaNeueLT-Light" w:hAnsi="HelveticaNeueLT-Light" w:cs="HelveticaNeueLT-Light"/>
                <w:sz w:val="20"/>
                <w:szCs w:val="20"/>
                <w:lang w:eastAsia="en-AU"/>
              </w:rPr>
              <w:t>The purpose of the account is to record receipts in respect of leasings, proceeds from the disposal of the excised land, amounts appropriated by Parliament, and payments incurred in the conservation and management of Sunset Reserve.</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Balance at the start of the period</w:t>
            </w:r>
          </w:p>
        </w:tc>
        <w:tc>
          <w:tcPr>
            <w:tcW w:w="1474" w:type="dxa"/>
            <w:tcBorders>
              <w:top w:val="nil"/>
              <w:left w:val="nil"/>
              <w:bottom w:val="nil"/>
              <w:right w:val="nil"/>
            </w:tcBorders>
          </w:tcPr>
          <w:p w:rsidR="00617CB0" w:rsidRPr="00022D33" w:rsidRDefault="00617CB0" w:rsidP="000D7011">
            <w:pPr>
              <w:pStyle w:val="Tabletext"/>
              <w:jc w:val="right"/>
            </w:pPr>
            <w:r w:rsidRPr="00022D33">
              <w:t>8,512</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141</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Receipts</w:t>
            </w:r>
          </w:p>
        </w:tc>
        <w:tc>
          <w:tcPr>
            <w:tcW w:w="1474" w:type="dxa"/>
            <w:tcBorders>
              <w:top w:val="nil"/>
              <w:left w:val="nil"/>
              <w:bottom w:val="nil"/>
              <w:right w:val="nil"/>
            </w:tcBorders>
          </w:tcPr>
          <w:p w:rsidR="00617CB0" w:rsidRPr="00022D33" w:rsidRDefault="00617CB0" w:rsidP="000D7011">
            <w:pPr>
              <w:pStyle w:val="Tabletext"/>
              <w:jc w:val="right"/>
            </w:pPr>
            <w:r w:rsidRPr="00022D33">
              <w:t>503</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8,925</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Payments</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(1,797)</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(554)</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b/>
              </w:rPr>
            </w:pPr>
            <w:r w:rsidRPr="00022D33">
              <w:rPr>
                <w:b/>
              </w:rPr>
              <w:t>Balance at the end of period</w:t>
            </w:r>
          </w:p>
        </w:tc>
        <w:tc>
          <w:tcPr>
            <w:tcW w:w="1474" w:type="dxa"/>
            <w:tcBorders>
              <w:top w:val="single" w:sz="4" w:space="0" w:color="auto"/>
              <w:left w:val="nil"/>
              <w:bottom w:val="double" w:sz="4" w:space="0" w:color="auto"/>
              <w:right w:val="nil"/>
            </w:tcBorders>
          </w:tcPr>
          <w:p w:rsidR="00617CB0" w:rsidRPr="00022D33" w:rsidRDefault="00617CB0" w:rsidP="000D7011">
            <w:pPr>
              <w:pStyle w:val="Tabletext"/>
              <w:jc w:val="right"/>
              <w:rPr>
                <w:b/>
              </w:rPr>
            </w:pPr>
            <w:r w:rsidRPr="00022D33">
              <w:rPr>
                <w:b/>
              </w:rPr>
              <w:t>7,218</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text"/>
              <w:jc w:val="right"/>
              <w:rPr>
                <w:b/>
              </w:rPr>
            </w:pPr>
            <w:r w:rsidRPr="00022D33">
              <w:rPr>
                <w:b/>
              </w:rPr>
              <w:t>8,512</w:t>
            </w:r>
          </w:p>
        </w:tc>
      </w:tr>
    </w:tbl>
    <w:p w:rsidR="00617CB0" w:rsidRPr="00022D33" w:rsidRDefault="00617CB0" w:rsidP="00617CB0">
      <w:pPr>
        <w:pStyle w:val="Heading3"/>
      </w:pPr>
      <w:r w:rsidRPr="00022D33">
        <w:t>Note 45. Explanatory statement for Administered Items - Income and Expenses</w:t>
      </w:r>
    </w:p>
    <w:p w:rsidR="00617CB0" w:rsidRPr="00022D33" w:rsidRDefault="00617CB0" w:rsidP="00617CB0">
      <w:pPr>
        <w:pStyle w:val="BodyText"/>
      </w:pPr>
      <w:r w:rsidRPr="00022D33">
        <w:t>All variances between estimates (original budget) and actual results for 2016, and between the actual results for 2016 and 2015 are shown below. Narratives are provided for key major variances, which are generally greater than 5% and $25 million.</w:t>
      </w:r>
      <w:r>
        <w:br/>
      </w:r>
    </w:p>
    <w:p w:rsidR="00617CB0" w:rsidRPr="00022D33" w:rsidRDefault="00196F4C" w:rsidP="00617CB0">
      <w:pPr>
        <w:pStyle w:val="Caption"/>
        <w:keepNext/>
        <w:spacing w:after="60"/>
      </w:pPr>
      <w:fldSimple w:instr=" SEQ Table \* ARABIC ">
        <w:r w:rsidR="00D8778B">
          <w:rPr>
            <w:noProof/>
          </w:rPr>
          <w:t>68</w:t>
        </w:r>
      </w:fldSimple>
      <w:r w:rsidR="00617CB0" w:rsidRPr="00022D33">
        <w:t xml:space="preserve"> Explanatory statements for administered items – Income and Expenses</w:t>
      </w:r>
    </w:p>
    <w:tbl>
      <w:tblPr>
        <w:tblW w:w="0" w:type="auto"/>
        <w:tblLook w:val="04A0" w:firstRow="1" w:lastRow="0" w:firstColumn="1" w:lastColumn="0" w:noHBand="0" w:noVBand="1"/>
      </w:tblPr>
      <w:tblGrid>
        <w:gridCol w:w="2119"/>
        <w:gridCol w:w="1073"/>
        <w:gridCol w:w="1228"/>
        <w:gridCol w:w="1228"/>
        <w:gridCol w:w="1228"/>
        <w:gridCol w:w="1181"/>
        <w:gridCol w:w="982"/>
        <w:gridCol w:w="203"/>
      </w:tblGrid>
      <w:tr w:rsidR="00617CB0" w:rsidRPr="00022D33" w:rsidTr="000D7011">
        <w:tc>
          <w:tcPr>
            <w:tcW w:w="2119" w:type="dxa"/>
            <w:shd w:val="clear" w:color="auto" w:fill="auto"/>
          </w:tcPr>
          <w:p w:rsidR="00617CB0" w:rsidRPr="00022D33" w:rsidRDefault="00617CB0" w:rsidP="000D7011">
            <w:pPr>
              <w:pStyle w:val="BodyText"/>
            </w:pPr>
          </w:p>
        </w:tc>
        <w:tc>
          <w:tcPr>
            <w:tcW w:w="1073" w:type="dxa"/>
            <w:shd w:val="clear" w:color="auto" w:fill="auto"/>
          </w:tcPr>
          <w:p w:rsidR="00617CB0" w:rsidRDefault="00617CB0" w:rsidP="000D7011">
            <w:pPr>
              <w:pStyle w:val="Tableboldedtext"/>
              <w:jc w:val="right"/>
            </w:pPr>
            <w:r>
              <w:t>Variance</w:t>
            </w:r>
          </w:p>
          <w:p w:rsidR="00617CB0" w:rsidRPr="00022D33" w:rsidRDefault="00617CB0" w:rsidP="000D7011">
            <w:pPr>
              <w:pStyle w:val="Tableboldedtext"/>
              <w:jc w:val="right"/>
            </w:pPr>
            <w:r w:rsidRPr="00022D33">
              <w:t>Note</w:t>
            </w:r>
          </w:p>
        </w:tc>
        <w:tc>
          <w:tcPr>
            <w:tcW w:w="1228" w:type="dxa"/>
            <w:shd w:val="clear" w:color="auto" w:fill="auto"/>
          </w:tcPr>
          <w:p w:rsidR="00617CB0" w:rsidRPr="00022D33" w:rsidRDefault="00617CB0" w:rsidP="000D7011">
            <w:pPr>
              <w:pStyle w:val="Tableboldedtext"/>
              <w:jc w:val="right"/>
            </w:pPr>
            <w:r w:rsidRPr="00022D33">
              <w:t>Estimate 2016   $000</w:t>
            </w:r>
          </w:p>
        </w:tc>
        <w:tc>
          <w:tcPr>
            <w:tcW w:w="1228" w:type="dxa"/>
            <w:shd w:val="clear" w:color="auto" w:fill="auto"/>
          </w:tcPr>
          <w:p w:rsidR="00617CB0" w:rsidRPr="00022D33" w:rsidRDefault="00617CB0" w:rsidP="000D7011">
            <w:pPr>
              <w:pStyle w:val="Tableboldedtext"/>
              <w:jc w:val="right"/>
            </w:pPr>
            <w:r w:rsidRPr="00022D33">
              <w:t>Actual 2016   $000</w:t>
            </w:r>
          </w:p>
        </w:tc>
        <w:tc>
          <w:tcPr>
            <w:tcW w:w="1228" w:type="dxa"/>
            <w:shd w:val="clear" w:color="auto" w:fill="auto"/>
          </w:tcPr>
          <w:p w:rsidR="00617CB0" w:rsidRPr="00022D33" w:rsidRDefault="00617CB0" w:rsidP="000D7011">
            <w:pPr>
              <w:pStyle w:val="Tableboldedtext"/>
              <w:jc w:val="right"/>
            </w:pPr>
            <w:r w:rsidRPr="00022D33">
              <w:t>Actual 2015   $000</w:t>
            </w:r>
          </w:p>
        </w:tc>
        <w:tc>
          <w:tcPr>
            <w:tcW w:w="1181" w:type="dxa"/>
            <w:shd w:val="clear" w:color="auto" w:fill="auto"/>
          </w:tcPr>
          <w:p w:rsidR="00617CB0" w:rsidRPr="00022D33" w:rsidRDefault="00617CB0" w:rsidP="000D7011">
            <w:pPr>
              <w:pStyle w:val="Tableboldedtext"/>
              <w:jc w:val="right"/>
            </w:pPr>
            <w:r w:rsidRPr="00022D33">
              <w:t>Variance between estimate and actual $000</w:t>
            </w:r>
          </w:p>
        </w:tc>
        <w:tc>
          <w:tcPr>
            <w:tcW w:w="1185" w:type="dxa"/>
            <w:gridSpan w:val="2"/>
            <w:shd w:val="clear" w:color="auto" w:fill="auto"/>
          </w:tcPr>
          <w:p w:rsidR="00617CB0" w:rsidRPr="00022D33" w:rsidRDefault="00617CB0" w:rsidP="000D7011">
            <w:pPr>
              <w:pStyle w:val="Tableboldedtext"/>
              <w:jc w:val="right"/>
            </w:pPr>
            <w:r w:rsidRPr="00022D33">
              <w:t>Variance between actual results for 2016 and 2015 $000</w:t>
            </w:r>
          </w:p>
        </w:tc>
      </w:tr>
      <w:tr w:rsidR="00617CB0" w:rsidRPr="00022D33" w:rsidTr="000D7011">
        <w:trPr>
          <w:gridAfter w:val="1"/>
          <w:wAfter w:w="203" w:type="dxa"/>
        </w:trPr>
        <w:tc>
          <w:tcPr>
            <w:tcW w:w="9039" w:type="dxa"/>
            <w:gridSpan w:val="7"/>
            <w:shd w:val="clear" w:color="auto" w:fill="auto"/>
          </w:tcPr>
          <w:p w:rsidR="00617CB0" w:rsidRPr="00022D33" w:rsidRDefault="00617CB0" w:rsidP="000D7011">
            <w:pPr>
              <w:pStyle w:val="Tabletext"/>
              <w:rPr>
                <w:b/>
              </w:rPr>
            </w:pPr>
            <w:r w:rsidRPr="00022D33">
              <w:rPr>
                <w:b/>
              </w:rPr>
              <w:t>INCOME FROM ADMINISTERED ITEMS</w:t>
            </w:r>
          </w:p>
          <w:p w:rsidR="00617CB0" w:rsidRPr="00022D33" w:rsidRDefault="00617CB0" w:rsidP="000D7011">
            <w:pPr>
              <w:pStyle w:val="Tabletext"/>
              <w:rPr>
                <w:b/>
              </w:rPr>
            </w:pPr>
            <w:r w:rsidRPr="00022D33">
              <w:rPr>
                <w:b/>
              </w:rPr>
              <w:t>INCOME</w:t>
            </w:r>
          </w:p>
        </w:tc>
      </w:tr>
      <w:tr w:rsidR="00617CB0" w:rsidRPr="00022D33" w:rsidTr="000D7011">
        <w:tc>
          <w:tcPr>
            <w:tcW w:w="2119" w:type="dxa"/>
            <w:shd w:val="clear" w:color="auto" w:fill="auto"/>
          </w:tcPr>
          <w:p w:rsidR="00617CB0" w:rsidRPr="00022D33" w:rsidRDefault="00617CB0" w:rsidP="000D7011">
            <w:pPr>
              <w:pStyle w:val="Tabletext"/>
            </w:pPr>
            <w:r w:rsidRPr="00022D33">
              <w:t xml:space="preserve">Taxation </w:t>
            </w:r>
          </w:p>
        </w:tc>
        <w:tc>
          <w:tcPr>
            <w:tcW w:w="1073" w:type="dxa"/>
            <w:shd w:val="clear" w:color="auto" w:fill="auto"/>
          </w:tcPr>
          <w:p w:rsidR="00617CB0" w:rsidRPr="00022D33" w:rsidRDefault="00617CB0" w:rsidP="000D7011">
            <w:pPr>
              <w:pStyle w:val="Tabletext"/>
              <w:jc w:val="right"/>
            </w:pPr>
          </w:p>
        </w:tc>
        <w:tc>
          <w:tcPr>
            <w:tcW w:w="1228" w:type="dxa"/>
            <w:shd w:val="clear" w:color="auto" w:fill="auto"/>
          </w:tcPr>
          <w:p w:rsidR="00617CB0" w:rsidRPr="00022D33" w:rsidRDefault="00617CB0" w:rsidP="000D7011">
            <w:pPr>
              <w:pStyle w:val="Tabletext"/>
              <w:jc w:val="right"/>
            </w:pPr>
          </w:p>
        </w:tc>
        <w:tc>
          <w:tcPr>
            <w:tcW w:w="1228" w:type="dxa"/>
            <w:shd w:val="clear" w:color="auto" w:fill="auto"/>
          </w:tcPr>
          <w:p w:rsidR="00617CB0" w:rsidRPr="00022D33" w:rsidRDefault="00617CB0" w:rsidP="000D7011">
            <w:pPr>
              <w:pStyle w:val="Tabletext"/>
              <w:jc w:val="right"/>
            </w:pPr>
          </w:p>
        </w:tc>
        <w:tc>
          <w:tcPr>
            <w:tcW w:w="1228" w:type="dxa"/>
            <w:shd w:val="clear" w:color="auto" w:fill="auto"/>
          </w:tcPr>
          <w:p w:rsidR="00617CB0" w:rsidRPr="00022D33" w:rsidRDefault="00617CB0" w:rsidP="000D7011">
            <w:pPr>
              <w:pStyle w:val="Tabletext"/>
              <w:jc w:val="right"/>
            </w:pPr>
          </w:p>
        </w:tc>
        <w:tc>
          <w:tcPr>
            <w:tcW w:w="1181" w:type="dxa"/>
            <w:shd w:val="clear" w:color="auto" w:fill="auto"/>
          </w:tcPr>
          <w:p w:rsidR="00617CB0" w:rsidRPr="00022D33" w:rsidRDefault="00617CB0" w:rsidP="000D7011">
            <w:pPr>
              <w:pStyle w:val="Tabletext"/>
              <w:jc w:val="right"/>
            </w:pPr>
          </w:p>
        </w:tc>
        <w:tc>
          <w:tcPr>
            <w:tcW w:w="1185" w:type="dxa"/>
            <w:gridSpan w:val="2"/>
            <w:shd w:val="clear" w:color="auto" w:fill="auto"/>
          </w:tcPr>
          <w:p w:rsidR="00617CB0" w:rsidRPr="00022D33" w:rsidRDefault="00617CB0" w:rsidP="000D7011">
            <w:pPr>
              <w:pStyle w:val="Tabletext"/>
              <w:jc w:val="right"/>
            </w:pPr>
          </w:p>
        </w:tc>
      </w:tr>
      <w:tr w:rsidR="00617CB0" w:rsidRPr="00022D33" w:rsidTr="000D7011">
        <w:tc>
          <w:tcPr>
            <w:tcW w:w="2119" w:type="dxa"/>
            <w:shd w:val="clear" w:color="auto" w:fill="auto"/>
          </w:tcPr>
          <w:p w:rsidR="00617CB0" w:rsidRPr="00022D33" w:rsidRDefault="00617CB0" w:rsidP="000D7011">
            <w:pPr>
              <w:pStyle w:val="Tabletext"/>
            </w:pPr>
            <w:r w:rsidRPr="00022D33">
              <w:t>Insurance Duty</w:t>
            </w:r>
          </w:p>
        </w:tc>
        <w:tc>
          <w:tcPr>
            <w:tcW w:w="1073" w:type="dxa"/>
            <w:shd w:val="clear" w:color="auto" w:fill="auto"/>
          </w:tcPr>
          <w:p w:rsidR="00617CB0" w:rsidRPr="00022D33" w:rsidRDefault="00617CB0" w:rsidP="000D7011">
            <w:pPr>
              <w:pStyle w:val="Tabletext"/>
              <w:jc w:val="right"/>
            </w:pPr>
            <w:r w:rsidRPr="00022D33">
              <w:t>1</w:t>
            </w:r>
          </w:p>
        </w:tc>
        <w:tc>
          <w:tcPr>
            <w:tcW w:w="1228" w:type="dxa"/>
            <w:shd w:val="clear" w:color="auto" w:fill="auto"/>
          </w:tcPr>
          <w:p w:rsidR="00617CB0" w:rsidRPr="00022D33" w:rsidRDefault="00617CB0" w:rsidP="000D7011">
            <w:pPr>
              <w:pStyle w:val="Tabletext"/>
              <w:jc w:val="right"/>
            </w:pPr>
            <w:r w:rsidRPr="00022D33">
              <w:t>660,319</w:t>
            </w:r>
          </w:p>
        </w:tc>
        <w:tc>
          <w:tcPr>
            <w:tcW w:w="1228" w:type="dxa"/>
            <w:shd w:val="clear" w:color="auto" w:fill="auto"/>
          </w:tcPr>
          <w:p w:rsidR="00617CB0" w:rsidRPr="00022D33" w:rsidRDefault="00617CB0" w:rsidP="000D7011">
            <w:pPr>
              <w:pStyle w:val="Tabletext"/>
              <w:jc w:val="right"/>
            </w:pPr>
            <w:r w:rsidRPr="00022D33">
              <w:t>591,502</w:t>
            </w:r>
          </w:p>
        </w:tc>
        <w:tc>
          <w:tcPr>
            <w:tcW w:w="1228" w:type="dxa"/>
            <w:shd w:val="clear" w:color="auto" w:fill="auto"/>
          </w:tcPr>
          <w:p w:rsidR="00617CB0" w:rsidRPr="00022D33" w:rsidRDefault="00617CB0" w:rsidP="000D7011">
            <w:pPr>
              <w:pStyle w:val="Tabletext"/>
              <w:jc w:val="right"/>
            </w:pPr>
            <w:r w:rsidRPr="00022D33">
              <w:t>603,788</w:t>
            </w:r>
          </w:p>
        </w:tc>
        <w:tc>
          <w:tcPr>
            <w:tcW w:w="1181" w:type="dxa"/>
            <w:shd w:val="clear" w:color="auto" w:fill="auto"/>
          </w:tcPr>
          <w:p w:rsidR="00617CB0" w:rsidRPr="00022D33" w:rsidRDefault="00617CB0" w:rsidP="000D7011">
            <w:pPr>
              <w:pStyle w:val="Tabletext"/>
              <w:jc w:val="right"/>
            </w:pPr>
            <w:r w:rsidRPr="00022D33">
              <w:t>(68,817)</w:t>
            </w:r>
          </w:p>
        </w:tc>
        <w:tc>
          <w:tcPr>
            <w:tcW w:w="1185" w:type="dxa"/>
            <w:gridSpan w:val="2"/>
            <w:shd w:val="clear" w:color="auto" w:fill="auto"/>
          </w:tcPr>
          <w:p w:rsidR="00617CB0" w:rsidRPr="00022D33" w:rsidRDefault="00617CB0" w:rsidP="000D7011">
            <w:pPr>
              <w:pStyle w:val="Tabletext"/>
              <w:jc w:val="right"/>
            </w:pPr>
            <w:r w:rsidRPr="00022D33">
              <w:t>(12,286</w:t>
            </w:r>
            <w:r>
              <w:t>)</w:t>
            </w:r>
          </w:p>
        </w:tc>
      </w:tr>
      <w:tr w:rsidR="00617CB0" w:rsidRPr="00022D33" w:rsidTr="000D7011">
        <w:tc>
          <w:tcPr>
            <w:tcW w:w="2119" w:type="dxa"/>
            <w:shd w:val="clear" w:color="auto" w:fill="auto"/>
          </w:tcPr>
          <w:p w:rsidR="00617CB0" w:rsidRPr="00022D33" w:rsidRDefault="00617CB0" w:rsidP="000D7011">
            <w:pPr>
              <w:pStyle w:val="Tabletext"/>
            </w:pPr>
            <w:r w:rsidRPr="00022D33">
              <w:t>Land Tax</w:t>
            </w:r>
          </w:p>
        </w:tc>
        <w:tc>
          <w:tcPr>
            <w:tcW w:w="1073" w:type="dxa"/>
            <w:shd w:val="clear" w:color="auto" w:fill="auto"/>
          </w:tcPr>
          <w:p w:rsidR="00617CB0" w:rsidRPr="00022D33" w:rsidRDefault="00617CB0" w:rsidP="000D7011">
            <w:pPr>
              <w:pStyle w:val="Tabletext"/>
              <w:jc w:val="right"/>
            </w:pPr>
            <w:r w:rsidRPr="00022D33">
              <w:t>A</w:t>
            </w:r>
          </w:p>
        </w:tc>
        <w:tc>
          <w:tcPr>
            <w:tcW w:w="1228" w:type="dxa"/>
            <w:shd w:val="clear" w:color="auto" w:fill="auto"/>
          </w:tcPr>
          <w:p w:rsidR="00617CB0" w:rsidRPr="00022D33" w:rsidRDefault="00617CB0" w:rsidP="000D7011">
            <w:pPr>
              <w:pStyle w:val="Tabletext"/>
              <w:jc w:val="right"/>
            </w:pPr>
            <w:r w:rsidRPr="00022D33">
              <w:t>936,416</w:t>
            </w:r>
          </w:p>
        </w:tc>
        <w:tc>
          <w:tcPr>
            <w:tcW w:w="1228" w:type="dxa"/>
            <w:shd w:val="clear" w:color="auto" w:fill="auto"/>
          </w:tcPr>
          <w:p w:rsidR="00617CB0" w:rsidRPr="00022D33" w:rsidRDefault="00617CB0" w:rsidP="000D7011">
            <w:pPr>
              <w:pStyle w:val="Tabletext"/>
              <w:jc w:val="right"/>
            </w:pPr>
            <w:r w:rsidRPr="00022D33">
              <w:t>945,532</w:t>
            </w:r>
          </w:p>
        </w:tc>
        <w:tc>
          <w:tcPr>
            <w:tcW w:w="1228" w:type="dxa"/>
            <w:shd w:val="clear" w:color="auto" w:fill="auto"/>
          </w:tcPr>
          <w:p w:rsidR="00617CB0" w:rsidRPr="00022D33" w:rsidRDefault="00617CB0" w:rsidP="000D7011">
            <w:pPr>
              <w:pStyle w:val="Tabletext"/>
              <w:jc w:val="right"/>
            </w:pPr>
            <w:r w:rsidRPr="00022D33">
              <w:t>741,642</w:t>
            </w:r>
          </w:p>
        </w:tc>
        <w:tc>
          <w:tcPr>
            <w:tcW w:w="1181" w:type="dxa"/>
            <w:shd w:val="clear" w:color="auto" w:fill="auto"/>
          </w:tcPr>
          <w:p w:rsidR="00617CB0" w:rsidRPr="00022D33" w:rsidRDefault="00617CB0" w:rsidP="000D7011">
            <w:pPr>
              <w:pStyle w:val="Tabletext"/>
              <w:jc w:val="right"/>
            </w:pPr>
            <w:r w:rsidRPr="00022D33">
              <w:t>9,116</w:t>
            </w:r>
          </w:p>
        </w:tc>
        <w:tc>
          <w:tcPr>
            <w:tcW w:w="1185" w:type="dxa"/>
            <w:gridSpan w:val="2"/>
            <w:shd w:val="clear" w:color="auto" w:fill="auto"/>
          </w:tcPr>
          <w:p w:rsidR="00617CB0" w:rsidRPr="00022D33" w:rsidRDefault="00617CB0" w:rsidP="000D7011">
            <w:pPr>
              <w:pStyle w:val="Tabletext"/>
              <w:jc w:val="right"/>
            </w:pPr>
            <w:r w:rsidRPr="00022D33">
              <w:t>203,890</w:t>
            </w:r>
          </w:p>
        </w:tc>
      </w:tr>
      <w:tr w:rsidR="00617CB0" w:rsidRPr="00022D33" w:rsidTr="000D7011">
        <w:tc>
          <w:tcPr>
            <w:tcW w:w="2119" w:type="dxa"/>
            <w:shd w:val="clear" w:color="auto" w:fill="auto"/>
          </w:tcPr>
          <w:p w:rsidR="00617CB0" w:rsidRPr="00022D33" w:rsidRDefault="00617CB0" w:rsidP="000D7011">
            <w:pPr>
              <w:pStyle w:val="Tabletext"/>
            </w:pPr>
            <w:r w:rsidRPr="00022D33">
              <w:t>Payroll Tax</w:t>
            </w:r>
          </w:p>
        </w:tc>
        <w:tc>
          <w:tcPr>
            <w:tcW w:w="1073" w:type="dxa"/>
            <w:shd w:val="clear" w:color="auto" w:fill="auto"/>
          </w:tcPr>
          <w:p w:rsidR="00617CB0" w:rsidRPr="00022D33" w:rsidRDefault="00617CB0" w:rsidP="000D7011">
            <w:pPr>
              <w:pStyle w:val="Tabletext"/>
              <w:jc w:val="right"/>
            </w:pPr>
            <w:r w:rsidRPr="00022D33">
              <w:t>2</w:t>
            </w:r>
          </w:p>
        </w:tc>
        <w:tc>
          <w:tcPr>
            <w:tcW w:w="1228" w:type="dxa"/>
            <w:shd w:val="clear" w:color="auto" w:fill="auto"/>
          </w:tcPr>
          <w:p w:rsidR="00617CB0" w:rsidRPr="00022D33" w:rsidRDefault="00617CB0" w:rsidP="000D7011">
            <w:pPr>
              <w:pStyle w:val="Tabletext"/>
              <w:jc w:val="right"/>
            </w:pPr>
            <w:r w:rsidRPr="00022D33">
              <w:t>3,980,754</w:t>
            </w:r>
          </w:p>
        </w:tc>
        <w:tc>
          <w:tcPr>
            <w:tcW w:w="1228" w:type="dxa"/>
            <w:shd w:val="clear" w:color="auto" w:fill="auto"/>
          </w:tcPr>
          <w:p w:rsidR="00617CB0" w:rsidRPr="00022D33" w:rsidRDefault="00617CB0" w:rsidP="000D7011">
            <w:pPr>
              <w:pStyle w:val="Tabletext"/>
              <w:jc w:val="right"/>
            </w:pPr>
            <w:r w:rsidRPr="00022D33">
              <w:t>3,492,369</w:t>
            </w:r>
          </w:p>
        </w:tc>
        <w:tc>
          <w:tcPr>
            <w:tcW w:w="1228" w:type="dxa"/>
            <w:shd w:val="clear" w:color="auto" w:fill="auto"/>
          </w:tcPr>
          <w:p w:rsidR="00617CB0" w:rsidRPr="00022D33" w:rsidRDefault="00617CB0" w:rsidP="000D7011">
            <w:pPr>
              <w:pStyle w:val="Tabletext"/>
              <w:jc w:val="right"/>
            </w:pPr>
            <w:r w:rsidRPr="00022D33">
              <w:t>3,592,020</w:t>
            </w:r>
          </w:p>
        </w:tc>
        <w:tc>
          <w:tcPr>
            <w:tcW w:w="1181" w:type="dxa"/>
            <w:shd w:val="clear" w:color="auto" w:fill="auto"/>
          </w:tcPr>
          <w:p w:rsidR="00617CB0" w:rsidRPr="00022D33" w:rsidRDefault="00617CB0" w:rsidP="000D7011">
            <w:pPr>
              <w:pStyle w:val="Tabletext"/>
              <w:jc w:val="right"/>
            </w:pPr>
            <w:r w:rsidRPr="00022D33">
              <w:t>(488,385)</w:t>
            </w:r>
          </w:p>
        </w:tc>
        <w:tc>
          <w:tcPr>
            <w:tcW w:w="1185" w:type="dxa"/>
            <w:gridSpan w:val="2"/>
            <w:shd w:val="clear" w:color="auto" w:fill="auto"/>
          </w:tcPr>
          <w:p w:rsidR="00617CB0" w:rsidRPr="00022D33" w:rsidRDefault="00617CB0" w:rsidP="000D7011">
            <w:pPr>
              <w:pStyle w:val="Tabletext"/>
              <w:jc w:val="right"/>
            </w:pPr>
            <w:r w:rsidRPr="00022D33">
              <w:t>(99,651)</w:t>
            </w:r>
          </w:p>
        </w:tc>
      </w:tr>
      <w:tr w:rsidR="00617CB0" w:rsidRPr="00022D33" w:rsidTr="000D7011">
        <w:tc>
          <w:tcPr>
            <w:tcW w:w="2119" w:type="dxa"/>
            <w:shd w:val="clear" w:color="auto" w:fill="auto"/>
          </w:tcPr>
          <w:p w:rsidR="00617CB0" w:rsidRPr="00022D33" w:rsidRDefault="00617CB0" w:rsidP="000D7011">
            <w:pPr>
              <w:pStyle w:val="Tabletext"/>
            </w:pPr>
            <w:r w:rsidRPr="00022D33">
              <w:t>Transfer Duty</w:t>
            </w:r>
          </w:p>
        </w:tc>
        <w:tc>
          <w:tcPr>
            <w:tcW w:w="1073" w:type="dxa"/>
            <w:shd w:val="clear" w:color="auto" w:fill="auto"/>
          </w:tcPr>
          <w:p w:rsidR="00617CB0" w:rsidRPr="00022D33" w:rsidRDefault="00617CB0" w:rsidP="000D7011">
            <w:pPr>
              <w:pStyle w:val="Tabletext"/>
              <w:jc w:val="right"/>
            </w:pPr>
            <w:r w:rsidRPr="00022D33">
              <w:t>3, B</w:t>
            </w:r>
          </w:p>
        </w:tc>
        <w:tc>
          <w:tcPr>
            <w:tcW w:w="1228" w:type="dxa"/>
            <w:shd w:val="clear" w:color="auto" w:fill="auto"/>
          </w:tcPr>
          <w:p w:rsidR="00617CB0" w:rsidRPr="00022D33" w:rsidRDefault="00617CB0" w:rsidP="000D7011">
            <w:pPr>
              <w:pStyle w:val="Tabletext"/>
              <w:jc w:val="right"/>
            </w:pPr>
            <w:r w:rsidRPr="00022D33">
              <w:t>1,613,627</w:t>
            </w:r>
          </w:p>
        </w:tc>
        <w:tc>
          <w:tcPr>
            <w:tcW w:w="1228" w:type="dxa"/>
            <w:shd w:val="clear" w:color="auto" w:fill="auto"/>
          </w:tcPr>
          <w:p w:rsidR="00617CB0" w:rsidRPr="00022D33" w:rsidRDefault="00617CB0" w:rsidP="000D7011">
            <w:pPr>
              <w:pStyle w:val="Tabletext"/>
              <w:jc w:val="right"/>
            </w:pPr>
            <w:r w:rsidRPr="00022D33">
              <w:t>1,337,635</w:t>
            </w:r>
          </w:p>
        </w:tc>
        <w:tc>
          <w:tcPr>
            <w:tcW w:w="1228" w:type="dxa"/>
            <w:shd w:val="clear" w:color="auto" w:fill="auto"/>
          </w:tcPr>
          <w:p w:rsidR="00617CB0" w:rsidRPr="00022D33" w:rsidRDefault="00617CB0" w:rsidP="000D7011">
            <w:pPr>
              <w:pStyle w:val="Tabletext"/>
              <w:jc w:val="right"/>
            </w:pPr>
            <w:r w:rsidRPr="00022D33">
              <w:t>1,598,411</w:t>
            </w:r>
          </w:p>
        </w:tc>
        <w:tc>
          <w:tcPr>
            <w:tcW w:w="1181" w:type="dxa"/>
            <w:shd w:val="clear" w:color="auto" w:fill="auto"/>
          </w:tcPr>
          <w:p w:rsidR="00617CB0" w:rsidRPr="00022D33" w:rsidRDefault="00617CB0" w:rsidP="000D7011">
            <w:pPr>
              <w:pStyle w:val="Tabletext"/>
              <w:jc w:val="right"/>
            </w:pPr>
            <w:r w:rsidRPr="00022D33">
              <w:t>(275,992)</w:t>
            </w:r>
          </w:p>
        </w:tc>
        <w:tc>
          <w:tcPr>
            <w:tcW w:w="1185" w:type="dxa"/>
            <w:gridSpan w:val="2"/>
            <w:shd w:val="clear" w:color="auto" w:fill="auto"/>
          </w:tcPr>
          <w:p w:rsidR="00617CB0" w:rsidRPr="00022D33" w:rsidRDefault="00617CB0" w:rsidP="000D7011">
            <w:pPr>
              <w:pStyle w:val="Tabletext"/>
              <w:jc w:val="right"/>
            </w:pPr>
            <w:r w:rsidRPr="00022D33">
              <w:t>(260,776)</w:t>
            </w:r>
          </w:p>
        </w:tc>
      </w:tr>
      <w:tr w:rsidR="00617CB0" w:rsidRPr="00022D33" w:rsidTr="000D7011">
        <w:tc>
          <w:tcPr>
            <w:tcW w:w="2119" w:type="dxa"/>
            <w:shd w:val="clear" w:color="auto" w:fill="auto"/>
          </w:tcPr>
          <w:p w:rsidR="00617CB0" w:rsidRPr="00022D33" w:rsidRDefault="00617CB0" w:rsidP="000D7011">
            <w:pPr>
              <w:pStyle w:val="Tabletext"/>
            </w:pPr>
            <w:r w:rsidRPr="00022D33">
              <w:t>Vehicle Licence Duty</w:t>
            </w:r>
          </w:p>
        </w:tc>
        <w:tc>
          <w:tcPr>
            <w:tcW w:w="1073" w:type="dxa"/>
            <w:shd w:val="clear" w:color="auto" w:fill="auto"/>
          </w:tcPr>
          <w:p w:rsidR="00617CB0" w:rsidRPr="00022D33" w:rsidRDefault="00617CB0" w:rsidP="000D7011">
            <w:pPr>
              <w:pStyle w:val="Tabletext"/>
              <w:jc w:val="right"/>
            </w:pPr>
            <w:r w:rsidRPr="00022D33">
              <w:t>4</w:t>
            </w:r>
          </w:p>
        </w:tc>
        <w:tc>
          <w:tcPr>
            <w:tcW w:w="1228" w:type="dxa"/>
            <w:shd w:val="clear" w:color="auto" w:fill="auto"/>
          </w:tcPr>
          <w:p w:rsidR="00617CB0" w:rsidRPr="00022D33" w:rsidRDefault="00617CB0" w:rsidP="000D7011">
            <w:pPr>
              <w:pStyle w:val="Tabletext"/>
              <w:jc w:val="right"/>
            </w:pPr>
            <w:r w:rsidRPr="00022D33">
              <w:t>394,937</w:t>
            </w:r>
          </w:p>
        </w:tc>
        <w:tc>
          <w:tcPr>
            <w:tcW w:w="1228" w:type="dxa"/>
            <w:shd w:val="clear" w:color="auto" w:fill="auto"/>
          </w:tcPr>
          <w:p w:rsidR="00617CB0" w:rsidRPr="00022D33" w:rsidRDefault="00617CB0" w:rsidP="000D7011">
            <w:pPr>
              <w:pStyle w:val="Tabletext"/>
              <w:jc w:val="right"/>
            </w:pPr>
            <w:r w:rsidRPr="00022D33">
              <w:t>345,655</w:t>
            </w:r>
          </w:p>
        </w:tc>
        <w:tc>
          <w:tcPr>
            <w:tcW w:w="1228" w:type="dxa"/>
            <w:shd w:val="clear" w:color="auto" w:fill="auto"/>
          </w:tcPr>
          <w:p w:rsidR="00617CB0" w:rsidRPr="00022D33" w:rsidRDefault="00617CB0" w:rsidP="000D7011">
            <w:pPr>
              <w:pStyle w:val="Tabletext"/>
              <w:jc w:val="right"/>
            </w:pPr>
            <w:r w:rsidRPr="00022D33">
              <w:t>362,952</w:t>
            </w:r>
          </w:p>
        </w:tc>
        <w:tc>
          <w:tcPr>
            <w:tcW w:w="1181" w:type="dxa"/>
            <w:shd w:val="clear" w:color="auto" w:fill="auto"/>
          </w:tcPr>
          <w:p w:rsidR="00617CB0" w:rsidRPr="00022D33" w:rsidRDefault="00617CB0" w:rsidP="000D7011">
            <w:pPr>
              <w:pStyle w:val="Tabletext"/>
              <w:jc w:val="right"/>
            </w:pPr>
            <w:r w:rsidRPr="00022D33">
              <w:t>(49,282)</w:t>
            </w:r>
          </w:p>
        </w:tc>
        <w:tc>
          <w:tcPr>
            <w:tcW w:w="1185" w:type="dxa"/>
            <w:gridSpan w:val="2"/>
            <w:shd w:val="clear" w:color="auto" w:fill="auto"/>
          </w:tcPr>
          <w:p w:rsidR="00617CB0" w:rsidRPr="00022D33" w:rsidRDefault="00617CB0" w:rsidP="000D7011">
            <w:pPr>
              <w:pStyle w:val="Tabletext"/>
              <w:jc w:val="right"/>
            </w:pPr>
            <w:r w:rsidRPr="00022D33">
              <w:t>(17,297)</w:t>
            </w:r>
          </w:p>
        </w:tc>
      </w:tr>
      <w:tr w:rsidR="00617CB0" w:rsidRPr="00022D33" w:rsidTr="000D7011">
        <w:tc>
          <w:tcPr>
            <w:tcW w:w="2119" w:type="dxa"/>
            <w:shd w:val="clear" w:color="auto" w:fill="auto"/>
          </w:tcPr>
          <w:p w:rsidR="00617CB0" w:rsidRPr="00022D33" w:rsidRDefault="00617CB0" w:rsidP="000D7011">
            <w:pPr>
              <w:pStyle w:val="Tabletext"/>
            </w:pPr>
            <w:r w:rsidRPr="00022D33">
              <w:t>Other income</w:t>
            </w:r>
            <w:r w:rsidRPr="00022D33">
              <w:rPr>
                <w:vertAlign w:val="superscript"/>
              </w:rPr>
              <w:t xml:space="preserve"> (a)</w:t>
            </w:r>
          </w:p>
        </w:tc>
        <w:tc>
          <w:tcPr>
            <w:tcW w:w="1073" w:type="dxa"/>
            <w:shd w:val="clear" w:color="auto" w:fill="auto"/>
          </w:tcPr>
          <w:p w:rsidR="00617CB0" w:rsidRPr="00022D33" w:rsidRDefault="00617CB0" w:rsidP="000D7011">
            <w:pPr>
              <w:pStyle w:val="Tabletext"/>
              <w:jc w:val="right"/>
            </w:pPr>
            <w:r w:rsidRPr="00022D33">
              <w:t>5, C</w:t>
            </w:r>
          </w:p>
        </w:tc>
        <w:tc>
          <w:tcPr>
            <w:tcW w:w="1228" w:type="dxa"/>
            <w:shd w:val="clear" w:color="auto" w:fill="auto"/>
          </w:tcPr>
          <w:p w:rsidR="00617CB0" w:rsidRPr="00022D33" w:rsidRDefault="00617CB0" w:rsidP="000D7011">
            <w:pPr>
              <w:pStyle w:val="Tabletext"/>
              <w:jc w:val="right"/>
            </w:pPr>
            <w:r w:rsidRPr="00022D33">
              <w:t>311,875</w:t>
            </w:r>
          </w:p>
        </w:tc>
        <w:tc>
          <w:tcPr>
            <w:tcW w:w="1228" w:type="dxa"/>
            <w:shd w:val="clear" w:color="auto" w:fill="auto"/>
          </w:tcPr>
          <w:p w:rsidR="00617CB0" w:rsidRPr="00022D33" w:rsidRDefault="00617CB0" w:rsidP="000D7011">
            <w:pPr>
              <w:pStyle w:val="Tabletext"/>
              <w:jc w:val="right"/>
            </w:pPr>
            <w:r w:rsidRPr="00022D33">
              <w:t>602,423</w:t>
            </w:r>
          </w:p>
        </w:tc>
        <w:tc>
          <w:tcPr>
            <w:tcW w:w="1228" w:type="dxa"/>
            <w:shd w:val="clear" w:color="auto" w:fill="auto"/>
          </w:tcPr>
          <w:p w:rsidR="00617CB0" w:rsidRPr="00022D33" w:rsidRDefault="00617CB0" w:rsidP="000D7011">
            <w:pPr>
              <w:pStyle w:val="Tabletext"/>
              <w:jc w:val="right"/>
            </w:pPr>
            <w:r w:rsidRPr="00022D33">
              <w:t>280,467</w:t>
            </w:r>
          </w:p>
        </w:tc>
        <w:tc>
          <w:tcPr>
            <w:tcW w:w="1181" w:type="dxa"/>
            <w:shd w:val="clear" w:color="auto" w:fill="auto"/>
          </w:tcPr>
          <w:p w:rsidR="00617CB0" w:rsidRPr="00022D33" w:rsidRDefault="00617CB0" w:rsidP="000D7011">
            <w:pPr>
              <w:pStyle w:val="Tabletext"/>
              <w:jc w:val="right"/>
            </w:pPr>
            <w:r w:rsidRPr="00022D33">
              <w:t>290,548</w:t>
            </w:r>
          </w:p>
        </w:tc>
        <w:tc>
          <w:tcPr>
            <w:tcW w:w="1185" w:type="dxa"/>
            <w:gridSpan w:val="2"/>
            <w:shd w:val="clear" w:color="auto" w:fill="auto"/>
          </w:tcPr>
          <w:p w:rsidR="00617CB0" w:rsidRPr="00022D33" w:rsidRDefault="00617CB0" w:rsidP="000D7011">
            <w:pPr>
              <w:pStyle w:val="Tabletext"/>
              <w:jc w:val="right"/>
            </w:pPr>
            <w:r w:rsidRPr="00022D33">
              <w:t>321,956</w:t>
            </w:r>
          </w:p>
        </w:tc>
      </w:tr>
      <w:tr w:rsidR="00617CB0" w:rsidRPr="00022D33" w:rsidTr="000D7011">
        <w:tc>
          <w:tcPr>
            <w:tcW w:w="2119" w:type="dxa"/>
            <w:shd w:val="clear" w:color="auto" w:fill="auto"/>
          </w:tcPr>
          <w:p w:rsidR="00617CB0" w:rsidRPr="00022D33" w:rsidRDefault="00617CB0" w:rsidP="000D7011">
            <w:pPr>
              <w:pStyle w:val="Tabletext"/>
            </w:pPr>
            <w:r w:rsidRPr="00022D33">
              <w:t>Other revenue</w:t>
            </w:r>
          </w:p>
        </w:tc>
        <w:tc>
          <w:tcPr>
            <w:tcW w:w="1073" w:type="dxa"/>
            <w:shd w:val="clear" w:color="auto" w:fill="auto"/>
          </w:tcPr>
          <w:p w:rsidR="00617CB0" w:rsidRPr="00022D33" w:rsidRDefault="00617CB0" w:rsidP="000D7011">
            <w:pPr>
              <w:pStyle w:val="Tabletext"/>
              <w:jc w:val="right"/>
            </w:pPr>
          </w:p>
        </w:tc>
        <w:tc>
          <w:tcPr>
            <w:tcW w:w="1228" w:type="dxa"/>
            <w:shd w:val="clear" w:color="auto" w:fill="auto"/>
          </w:tcPr>
          <w:p w:rsidR="00617CB0" w:rsidRPr="00022D33" w:rsidRDefault="00617CB0" w:rsidP="000D7011">
            <w:pPr>
              <w:pStyle w:val="Tabletext"/>
              <w:jc w:val="right"/>
            </w:pPr>
            <w:r w:rsidRPr="00022D33">
              <w:t>45,351</w:t>
            </w:r>
          </w:p>
        </w:tc>
        <w:tc>
          <w:tcPr>
            <w:tcW w:w="1228" w:type="dxa"/>
            <w:shd w:val="clear" w:color="auto" w:fill="auto"/>
          </w:tcPr>
          <w:p w:rsidR="00617CB0" w:rsidRPr="00022D33" w:rsidRDefault="00617CB0" w:rsidP="000D7011">
            <w:pPr>
              <w:pStyle w:val="Tabletext"/>
              <w:jc w:val="right"/>
            </w:pPr>
            <w:r w:rsidRPr="00022D33">
              <w:t>41,623</w:t>
            </w:r>
          </w:p>
        </w:tc>
        <w:tc>
          <w:tcPr>
            <w:tcW w:w="1228" w:type="dxa"/>
            <w:shd w:val="clear" w:color="auto" w:fill="auto"/>
          </w:tcPr>
          <w:p w:rsidR="00617CB0" w:rsidRPr="00022D33" w:rsidRDefault="00617CB0" w:rsidP="000D7011">
            <w:pPr>
              <w:pStyle w:val="Tabletext"/>
              <w:jc w:val="right"/>
            </w:pPr>
            <w:r w:rsidRPr="00022D33">
              <w:t>41,768</w:t>
            </w:r>
          </w:p>
        </w:tc>
        <w:tc>
          <w:tcPr>
            <w:tcW w:w="1181" w:type="dxa"/>
            <w:shd w:val="clear" w:color="auto" w:fill="auto"/>
          </w:tcPr>
          <w:p w:rsidR="00617CB0" w:rsidRPr="00022D33" w:rsidRDefault="00617CB0" w:rsidP="000D7011">
            <w:pPr>
              <w:pStyle w:val="Tabletext"/>
              <w:jc w:val="right"/>
            </w:pPr>
            <w:r w:rsidRPr="00022D33">
              <w:t>(3,728)</w:t>
            </w:r>
          </w:p>
        </w:tc>
        <w:tc>
          <w:tcPr>
            <w:tcW w:w="1185" w:type="dxa"/>
            <w:gridSpan w:val="2"/>
            <w:shd w:val="clear" w:color="auto" w:fill="auto"/>
          </w:tcPr>
          <w:p w:rsidR="00617CB0" w:rsidRPr="00022D33" w:rsidRDefault="00617CB0" w:rsidP="000D7011">
            <w:pPr>
              <w:pStyle w:val="Tabletext"/>
              <w:jc w:val="right"/>
            </w:pPr>
            <w:r w:rsidRPr="00022D33">
              <w:t>(146)</w:t>
            </w:r>
          </w:p>
        </w:tc>
      </w:tr>
      <w:tr w:rsidR="00617CB0" w:rsidRPr="00022D33" w:rsidTr="000D7011">
        <w:tc>
          <w:tcPr>
            <w:tcW w:w="2119" w:type="dxa"/>
            <w:shd w:val="clear" w:color="auto" w:fill="auto"/>
          </w:tcPr>
          <w:p w:rsidR="00617CB0" w:rsidRPr="000B70D2" w:rsidRDefault="00617CB0" w:rsidP="000D7011">
            <w:pPr>
              <w:pStyle w:val="Tabletext"/>
            </w:pPr>
            <w:r w:rsidRPr="000B70D2">
              <w:t>Appropriations</w:t>
            </w:r>
          </w:p>
        </w:tc>
        <w:tc>
          <w:tcPr>
            <w:tcW w:w="1073" w:type="dxa"/>
            <w:shd w:val="clear" w:color="auto" w:fill="auto"/>
          </w:tcPr>
          <w:p w:rsidR="00617CB0" w:rsidRPr="00022D33" w:rsidRDefault="00617CB0" w:rsidP="000D7011">
            <w:pPr>
              <w:pStyle w:val="Tabletext"/>
              <w:jc w:val="right"/>
            </w:pPr>
          </w:p>
        </w:tc>
        <w:tc>
          <w:tcPr>
            <w:tcW w:w="1228" w:type="dxa"/>
            <w:shd w:val="clear" w:color="auto" w:fill="auto"/>
          </w:tcPr>
          <w:p w:rsidR="00617CB0" w:rsidRPr="00022D33" w:rsidRDefault="00617CB0" w:rsidP="000D7011">
            <w:pPr>
              <w:pStyle w:val="Tabletext"/>
              <w:jc w:val="right"/>
            </w:pPr>
          </w:p>
        </w:tc>
        <w:tc>
          <w:tcPr>
            <w:tcW w:w="1228" w:type="dxa"/>
            <w:shd w:val="clear" w:color="auto" w:fill="auto"/>
          </w:tcPr>
          <w:p w:rsidR="00617CB0" w:rsidRPr="00022D33" w:rsidRDefault="00617CB0" w:rsidP="000D7011">
            <w:pPr>
              <w:pStyle w:val="Tabletext"/>
              <w:jc w:val="right"/>
            </w:pPr>
          </w:p>
        </w:tc>
        <w:tc>
          <w:tcPr>
            <w:tcW w:w="1228" w:type="dxa"/>
            <w:shd w:val="clear" w:color="auto" w:fill="auto"/>
          </w:tcPr>
          <w:p w:rsidR="00617CB0" w:rsidRPr="00022D33" w:rsidRDefault="00617CB0" w:rsidP="000D7011">
            <w:pPr>
              <w:pStyle w:val="Tabletext"/>
              <w:jc w:val="right"/>
            </w:pPr>
          </w:p>
        </w:tc>
        <w:tc>
          <w:tcPr>
            <w:tcW w:w="1181" w:type="dxa"/>
            <w:shd w:val="clear" w:color="auto" w:fill="auto"/>
          </w:tcPr>
          <w:p w:rsidR="00617CB0" w:rsidRPr="00022D33" w:rsidRDefault="00617CB0" w:rsidP="000D7011">
            <w:pPr>
              <w:pStyle w:val="Tabletext"/>
              <w:jc w:val="right"/>
            </w:pPr>
          </w:p>
        </w:tc>
        <w:tc>
          <w:tcPr>
            <w:tcW w:w="1185" w:type="dxa"/>
            <w:gridSpan w:val="2"/>
            <w:shd w:val="clear" w:color="auto" w:fill="auto"/>
          </w:tcPr>
          <w:p w:rsidR="00617CB0" w:rsidRPr="00022D33" w:rsidRDefault="00617CB0" w:rsidP="000D7011">
            <w:pPr>
              <w:pStyle w:val="Tabletext"/>
              <w:jc w:val="right"/>
            </w:pPr>
          </w:p>
        </w:tc>
      </w:tr>
      <w:tr w:rsidR="00617CB0" w:rsidRPr="00022D33" w:rsidTr="000D7011">
        <w:tc>
          <w:tcPr>
            <w:tcW w:w="2119" w:type="dxa"/>
            <w:shd w:val="clear" w:color="auto" w:fill="auto"/>
          </w:tcPr>
          <w:p w:rsidR="00617CB0" w:rsidRPr="00022D33" w:rsidRDefault="00617CB0" w:rsidP="000D7011">
            <w:pPr>
              <w:pStyle w:val="Tabletext"/>
              <w:rPr>
                <w:i/>
              </w:rPr>
            </w:pPr>
            <w:r w:rsidRPr="00022D33">
              <w:rPr>
                <w:i/>
              </w:rPr>
              <w:t>First home Owners Grant Act 2000</w:t>
            </w:r>
          </w:p>
        </w:tc>
        <w:tc>
          <w:tcPr>
            <w:tcW w:w="1073" w:type="dxa"/>
            <w:shd w:val="clear" w:color="auto" w:fill="auto"/>
          </w:tcPr>
          <w:p w:rsidR="00617CB0" w:rsidRPr="00022D33" w:rsidRDefault="00617CB0" w:rsidP="000D7011">
            <w:pPr>
              <w:pStyle w:val="Tabletext"/>
              <w:jc w:val="right"/>
            </w:pPr>
          </w:p>
        </w:tc>
        <w:tc>
          <w:tcPr>
            <w:tcW w:w="1228" w:type="dxa"/>
            <w:shd w:val="clear" w:color="auto" w:fill="auto"/>
          </w:tcPr>
          <w:p w:rsidR="00617CB0" w:rsidRPr="00022D33" w:rsidRDefault="00617CB0" w:rsidP="000D7011">
            <w:pPr>
              <w:pStyle w:val="Tabletext"/>
              <w:jc w:val="right"/>
            </w:pPr>
            <w:r w:rsidRPr="00022D33">
              <w:t>88,117</w:t>
            </w:r>
          </w:p>
        </w:tc>
        <w:tc>
          <w:tcPr>
            <w:tcW w:w="1228" w:type="dxa"/>
            <w:shd w:val="clear" w:color="auto" w:fill="auto"/>
          </w:tcPr>
          <w:p w:rsidR="00617CB0" w:rsidRPr="00022D33" w:rsidRDefault="00617CB0" w:rsidP="000D7011">
            <w:pPr>
              <w:pStyle w:val="Tabletext"/>
              <w:jc w:val="right"/>
            </w:pPr>
            <w:r w:rsidRPr="00022D33">
              <w:t>98,582</w:t>
            </w:r>
          </w:p>
        </w:tc>
        <w:tc>
          <w:tcPr>
            <w:tcW w:w="1228" w:type="dxa"/>
            <w:shd w:val="clear" w:color="auto" w:fill="auto"/>
          </w:tcPr>
          <w:p w:rsidR="00617CB0" w:rsidRPr="00022D33" w:rsidRDefault="00617CB0" w:rsidP="000D7011">
            <w:pPr>
              <w:pStyle w:val="Tabletext"/>
              <w:jc w:val="right"/>
            </w:pPr>
            <w:r w:rsidRPr="00022D33">
              <w:t>115,904</w:t>
            </w:r>
          </w:p>
        </w:tc>
        <w:tc>
          <w:tcPr>
            <w:tcW w:w="1181" w:type="dxa"/>
            <w:shd w:val="clear" w:color="auto" w:fill="auto"/>
          </w:tcPr>
          <w:p w:rsidR="00617CB0" w:rsidRPr="00022D33" w:rsidRDefault="00617CB0" w:rsidP="000D7011">
            <w:pPr>
              <w:pStyle w:val="Tabletext"/>
              <w:jc w:val="right"/>
            </w:pPr>
            <w:r w:rsidRPr="00022D33">
              <w:t>10,465</w:t>
            </w:r>
          </w:p>
        </w:tc>
        <w:tc>
          <w:tcPr>
            <w:tcW w:w="1185" w:type="dxa"/>
            <w:gridSpan w:val="2"/>
            <w:shd w:val="clear" w:color="auto" w:fill="auto"/>
          </w:tcPr>
          <w:p w:rsidR="00617CB0" w:rsidRPr="00022D33" w:rsidRDefault="00617CB0" w:rsidP="000D7011">
            <w:pPr>
              <w:pStyle w:val="Tabletext"/>
              <w:jc w:val="right"/>
            </w:pPr>
            <w:r w:rsidRPr="00022D33">
              <w:t>(17,322)</w:t>
            </w:r>
          </w:p>
        </w:tc>
      </w:tr>
      <w:tr w:rsidR="00617CB0" w:rsidRPr="00022D33" w:rsidTr="000D7011">
        <w:tc>
          <w:tcPr>
            <w:tcW w:w="2119" w:type="dxa"/>
            <w:shd w:val="clear" w:color="auto" w:fill="auto"/>
          </w:tcPr>
          <w:p w:rsidR="00617CB0" w:rsidRPr="00022D33" w:rsidRDefault="00617CB0" w:rsidP="000D7011">
            <w:pPr>
              <w:pStyle w:val="Tabletext"/>
            </w:pPr>
            <w:r w:rsidRPr="00022D33">
              <w:t>Administered Grants and Transfer Payments</w:t>
            </w:r>
          </w:p>
        </w:tc>
        <w:tc>
          <w:tcPr>
            <w:tcW w:w="1073" w:type="dxa"/>
            <w:shd w:val="clear" w:color="auto" w:fill="auto"/>
          </w:tcPr>
          <w:p w:rsidR="00617CB0" w:rsidRPr="00022D33" w:rsidRDefault="00617CB0" w:rsidP="000D7011">
            <w:pPr>
              <w:pStyle w:val="Tabletext"/>
              <w:jc w:val="right"/>
            </w:pPr>
            <w:r w:rsidRPr="00022D33">
              <w:t>6</w:t>
            </w:r>
          </w:p>
        </w:tc>
        <w:tc>
          <w:tcPr>
            <w:tcW w:w="1228" w:type="dxa"/>
            <w:shd w:val="clear" w:color="auto" w:fill="auto"/>
          </w:tcPr>
          <w:p w:rsidR="00617CB0" w:rsidRPr="00022D33" w:rsidRDefault="00617CB0" w:rsidP="000D7011">
            <w:pPr>
              <w:pStyle w:val="Tabletext"/>
              <w:jc w:val="right"/>
            </w:pPr>
            <w:r w:rsidRPr="00022D33">
              <w:t>203,208</w:t>
            </w:r>
          </w:p>
        </w:tc>
        <w:tc>
          <w:tcPr>
            <w:tcW w:w="1228" w:type="dxa"/>
            <w:shd w:val="clear" w:color="auto" w:fill="auto"/>
          </w:tcPr>
          <w:p w:rsidR="00617CB0" w:rsidRPr="00022D33" w:rsidRDefault="00617CB0" w:rsidP="000D7011">
            <w:pPr>
              <w:pStyle w:val="Tabletext"/>
              <w:jc w:val="right"/>
            </w:pPr>
            <w:r w:rsidRPr="00022D33">
              <w:t>148,881</w:t>
            </w:r>
          </w:p>
        </w:tc>
        <w:tc>
          <w:tcPr>
            <w:tcW w:w="1228" w:type="dxa"/>
            <w:shd w:val="clear" w:color="auto" w:fill="auto"/>
          </w:tcPr>
          <w:p w:rsidR="00617CB0" w:rsidRPr="00022D33" w:rsidRDefault="00617CB0" w:rsidP="000D7011">
            <w:pPr>
              <w:pStyle w:val="Tabletext"/>
              <w:jc w:val="right"/>
            </w:pPr>
            <w:r w:rsidRPr="00022D33">
              <w:t>148,030</w:t>
            </w:r>
          </w:p>
        </w:tc>
        <w:tc>
          <w:tcPr>
            <w:tcW w:w="1181" w:type="dxa"/>
            <w:shd w:val="clear" w:color="auto" w:fill="auto"/>
          </w:tcPr>
          <w:p w:rsidR="00617CB0" w:rsidRPr="00022D33" w:rsidRDefault="00617CB0" w:rsidP="000D7011">
            <w:pPr>
              <w:pStyle w:val="Tabletext"/>
              <w:jc w:val="right"/>
            </w:pPr>
            <w:r w:rsidRPr="00022D33">
              <w:t>(54,327)</w:t>
            </w:r>
          </w:p>
        </w:tc>
        <w:tc>
          <w:tcPr>
            <w:tcW w:w="1185" w:type="dxa"/>
            <w:gridSpan w:val="2"/>
            <w:shd w:val="clear" w:color="auto" w:fill="auto"/>
          </w:tcPr>
          <w:p w:rsidR="00617CB0" w:rsidRPr="00022D33" w:rsidRDefault="00617CB0" w:rsidP="000D7011">
            <w:pPr>
              <w:pStyle w:val="Tabletext"/>
              <w:jc w:val="right"/>
            </w:pPr>
            <w:r w:rsidRPr="00022D33">
              <w:t>851</w:t>
            </w:r>
          </w:p>
        </w:tc>
      </w:tr>
    </w:tbl>
    <w:p w:rsidR="00617CB0" w:rsidRDefault="00617CB0" w:rsidP="00617CB0"/>
    <w:tbl>
      <w:tblPr>
        <w:tblW w:w="0" w:type="auto"/>
        <w:tblLook w:val="04A0" w:firstRow="1" w:lastRow="0" w:firstColumn="1" w:lastColumn="0" w:noHBand="0" w:noVBand="1"/>
      </w:tblPr>
      <w:tblGrid>
        <w:gridCol w:w="2119"/>
        <w:gridCol w:w="541"/>
        <w:gridCol w:w="532"/>
        <w:gridCol w:w="743"/>
        <w:gridCol w:w="485"/>
        <w:gridCol w:w="791"/>
        <w:gridCol w:w="437"/>
        <w:gridCol w:w="839"/>
        <w:gridCol w:w="389"/>
        <w:gridCol w:w="887"/>
        <w:gridCol w:w="294"/>
        <w:gridCol w:w="982"/>
        <w:gridCol w:w="203"/>
      </w:tblGrid>
      <w:tr w:rsidR="00617CB0" w:rsidRPr="00B77F1B" w:rsidTr="000D7011">
        <w:tc>
          <w:tcPr>
            <w:tcW w:w="2119" w:type="dxa"/>
            <w:shd w:val="clear" w:color="auto" w:fill="auto"/>
          </w:tcPr>
          <w:p w:rsidR="00617CB0" w:rsidRPr="00B77F1B" w:rsidRDefault="00617CB0" w:rsidP="000D7011">
            <w:pPr>
              <w:pStyle w:val="Tabletext"/>
              <w:jc w:val="right"/>
              <w:rPr>
                <w:b/>
              </w:rPr>
            </w:pPr>
          </w:p>
        </w:tc>
        <w:tc>
          <w:tcPr>
            <w:tcW w:w="1073" w:type="dxa"/>
            <w:gridSpan w:val="2"/>
            <w:shd w:val="clear" w:color="auto" w:fill="auto"/>
          </w:tcPr>
          <w:p w:rsidR="00617CB0" w:rsidRPr="00B77F1B" w:rsidRDefault="00617CB0" w:rsidP="000D7011">
            <w:pPr>
              <w:pStyle w:val="Tabletext"/>
              <w:jc w:val="right"/>
              <w:rPr>
                <w:b/>
              </w:rPr>
            </w:pPr>
            <w:r w:rsidRPr="00B77F1B">
              <w:rPr>
                <w:b/>
              </w:rPr>
              <w:t>Variance</w:t>
            </w:r>
          </w:p>
          <w:p w:rsidR="00617CB0" w:rsidRPr="00B77F1B" w:rsidRDefault="00617CB0" w:rsidP="000D7011">
            <w:pPr>
              <w:pStyle w:val="Tabletext"/>
              <w:jc w:val="right"/>
              <w:rPr>
                <w:b/>
              </w:rPr>
            </w:pPr>
            <w:r w:rsidRPr="00B77F1B">
              <w:rPr>
                <w:b/>
              </w:rPr>
              <w:t>Note</w:t>
            </w:r>
          </w:p>
        </w:tc>
        <w:tc>
          <w:tcPr>
            <w:tcW w:w="1228" w:type="dxa"/>
            <w:gridSpan w:val="2"/>
            <w:tcBorders>
              <w:bottom w:val="single" w:sz="4" w:space="0" w:color="auto"/>
            </w:tcBorders>
            <w:shd w:val="clear" w:color="auto" w:fill="auto"/>
          </w:tcPr>
          <w:p w:rsidR="00617CB0" w:rsidRPr="00B77F1B" w:rsidRDefault="00617CB0" w:rsidP="000D7011">
            <w:pPr>
              <w:pStyle w:val="Tabletext"/>
              <w:jc w:val="right"/>
              <w:rPr>
                <w:b/>
              </w:rPr>
            </w:pPr>
            <w:r w:rsidRPr="00B77F1B">
              <w:rPr>
                <w:b/>
              </w:rPr>
              <w:t>Estimate 2016   $000</w:t>
            </w:r>
          </w:p>
        </w:tc>
        <w:tc>
          <w:tcPr>
            <w:tcW w:w="1228" w:type="dxa"/>
            <w:gridSpan w:val="2"/>
            <w:tcBorders>
              <w:bottom w:val="single" w:sz="4" w:space="0" w:color="auto"/>
            </w:tcBorders>
            <w:shd w:val="clear" w:color="auto" w:fill="auto"/>
          </w:tcPr>
          <w:p w:rsidR="00617CB0" w:rsidRPr="00B77F1B" w:rsidRDefault="00617CB0" w:rsidP="000D7011">
            <w:pPr>
              <w:pStyle w:val="Tabletext"/>
              <w:jc w:val="right"/>
              <w:rPr>
                <w:b/>
              </w:rPr>
            </w:pPr>
            <w:r w:rsidRPr="00B77F1B">
              <w:rPr>
                <w:b/>
              </w:rPr>
              <w:t>Actual 2016   $000</w:t>
            </w:r>
          </w:p>
        </w:tc>
        <w:tc>
          <w:tcPr>
            <w:tcW w:w="1228" w:type="dxa"/>
            <w:gridSpan w:val="2"/>
            <w:tcBorders>
              <w:bottom w:val="single" w:sz="4" w:space="0" w:color="auto"/>
            </w:tcBorders>
            <w:shd w:val="clear" w:color="auto" w:fill="auto"/>
          </w:tcPr>
          <w:p w:rsidR="00617CB0" w:rsidRPr="00B77F1B" w:rsidRDefault="00617CB0" w:rsidP="000D7011">
            <w:pPr>
              <w:pStyle w:val="Tabletext"/>
              <w:jc w:val="right"/>
              <w:rPr>
                <w:b/>
              </w:rPr>
            </w:pPr>
            <w:r w:rsidRPr="00B77F1B">
              <w:rPr>
                <w:b/>
              </w:rPr>
              <w:t>Actual 2015   $000</w:t>
            </w:r>
          </w:p>
        </w:tc>
        <w:tc>
          <w:tcPr>
            <w:tcW w:w="1181" w:type="dxa"/>
            <w:gridSpan w:val="2"/>
            <w:tcBorders>
              <w:bottom w:val="single" w:sz="4" w:space="0" w:color="auto"/>
            </w:tcBorders>
            <w:shd w:val="clear" w:color="auto" w:fill="auto"/>
          </w:tcPr>
          <w:p w:rsidR="00617CB0" w:rsidRPr="00B77F1B" w:rsidRDefault="00617CB0" w:rsidP="000D7011">
            <w:pPr>
              <w:pStyle w:val="Tabletext"/>
              <w:jc w:val="right"/>
              <w:rPr>
                <w:b/>
              </w:rPr>
            </w:pPr>
            <w:r w:rsidRPr="00B77F1B">
              <w:rPr>
                <w:b/>
              </w:rPr>
              <w:t>Variance between estimate and actual $000</w:t>
            </w:r>
          </w:p>
        </w:tc>
        <w:tc>
          <w:tcPr>
            <w:tcW w:w="1185" w:type="dxa"/>
            <w:gridSpan w:val="2"/>
            <w:tcBorders>
              <w:bottom w:val="single" w:sz="4" w:space="0" w:color="auto"/>
            </w:tcBorders>
            <w:shd w:val="clear" w:color="auto" w:fill="auto"/>
          </w:tcPr>
          <w:p w:rsidR="00617CB0" w:rsidRPr="00B77F1B" w:rsidRDefault="00617CB0" w:rsidP="000D7011">
            <w:pPr>
              <w:pStyle w:val="Tabletext"/>
              <w:jc w:val="right"/>
              <w:rPr>
                <w:b/>
              </w:rPr>
            </w:pPr>
            <w:r w:rsidRPr="00B77F1B">
              <w:rPr>
                <w:b/>
              </w:rPr>
              <w:t>Variance between actual results for 2016 and 2015 $000</w:t>
            </w:r>
          </w:p>
        </w:tc>
      </w:tr>
      <w:tr w:rsidR="00617CB0" w:rsidRPr="00022D33" w:rsidTr="000D7011">
        <w:tc>
          <w:tcPr>
            <w:tcW w:w="2119" w:type="dxa"/>
            <w:shd w:val="clear" w:color="auto" w:fill="auto"/>
          </w:tcPr>
          <w:p w:rsidR="00617CB0" w:rsidRPr="00022D33" w:rsidRDefault="00617CB0" w:rsidP="000D7011">
            <w:pPr>
              <w:pStyle w:val="Tabletext"/>
              <w:rPr>
                <w:i/>
              </w:rPr>
            </w:pPr>
            <w:r w:rsidRPr="00022D33">
              <w:t>Collections raised on behalf of other agencies</w:t>
            </w:r>
          </w:p>
        </w:tc>
        <w:tc>
          <w:tcPr>
            <w:tcW w:w="1073" w:type="dxa"/>
            <w:gridSpan w:val="2"/>
            <w:shd w:val="clear" w:color="auto" w:fill="auto"/>
          </w:tcPr>
          <w:p w:rsidR="00617CB0" w:rsidRPr="00022D33" w:rsidRDefault="00617CB0" w:rsidP="000D7011">
            <w:pPr>
              <w:pStyle w:val="Tabletext"/>
              <w:jc w:val="right"/>
            </w:pPr>
          </w:p>
        </w:tc>
        <w:tc>
          <w:tcPr>
            <w:tcW w:w="1228" w:type="dxa"/>
            <w:gridSpan w:val="2"/>
            <w:tcBorders>
              <w:bottom w:val="single" w:sz="4" w:space="0" w:color="auto"/>
            </w:tcBorders>
            <w:shd w:val="clear" w:color="auto" w:fill="auto"/>
          </w:tcPr>
          <w:p w:rsidR="00617CB0" w:rsidRPr="00022D33" w:rsidRDefault="00617CB0" w:rsidP="000D7011">
            <w:pPr>
              <w:pStyle w:val="Tabletext"/>
              <w:jc w:val="right"/>
            </w:pPr>
            <w:r w:rsidRPr="00022D33">
              <w:t>64,464</w:t>
            </w:r>
          </w:p>
        </w:tc>
        <w:tc>
          <w:tcPr>
            <w:tcW w:w="1228" w:type="dxa"/>
            <w:gridSpan w:val="2"/>
            <w:tcBorders>
              <w:bottom w:val="single" w:sz="4" w:space="0" w:color="auto"/>
            </w:tcBorders>
            <w:shd w:val="clear" w:color="auto" w:fill="auto"/>
          </w:tcPr>
          <w:p w:rsidR="00617CB0" w:rsidRPr="00022D33" w:rsidRDefault="00617CB0" w:rsidP="000D7011">
            <w:pPr>
              <w:pStyle w:val="Tabletext"/>
              <w:jc w:val="right"/>
            </w:pPr>
            <w:r w:rsidRPr="00022D33">
              <w:t>63,043</w:t>
            </w:r>
          </w:p>
        </w:tc>
        <w:tc>
          <w:tcPr>
            <w:tcW w:w="1228" w:type="dxa"/>
            <w:gridSpan w:val="2"/>
            <w:tcBorders>
              <w:bottom w:val="single" w:sz="4" w:space="0" w:color="auto"/>
            </w:tcBorders>
            <w:shd w:val="clear" w:color="auto" w:fill="auto"/>
          </w:tcPr>
          <w:p w:rsidR="00617CB0" w:rsidRPr="00022D33" w:rsidRDefault="00617CB0" w:rsidP="000D7011">
            <w:pPr>
              <w:pStyle w:val="Tabletext"/>
              <w:jc w:val="right"/>
            </w:pPr>
            <w:r w:rsidRPr="00022D33">
              <w:t>63,230</w:t>
            </w:r>
          </w:p>
        </w:tc>
        <w:tc>
          <w:tcPr>
            <w:tcW w:w="1181" w:type="dxa"/>
            <w:gridSpan w:val="2"/>
            <w:tcBorders>
              <w:bottom w:val="single" w:sz="4" w:space="0" w:color="auto"/>
            </w:tcBorders>
            <w:shd w:val="clear" w:color="auto" w:fill="auto"/>
          </w:tcPr>
          <w:p w:rsidR="00617CB0" w:rsidRPr="00022D33" w:rsidRDefault="00617CB0" w:rsidP="000D7011">
            <w:pPr>
              <w:pStyle w:val="Tabletext"/>
              <w:jc w:val="right"/>
            </w:pPr>
            <w:r w:rsidRPr="00022D33">
              <w:t>(1,421)</w:t>
            </w:r>
          </w:p>
        </w:tc>
        <w:tc>
          <w:tcPr>
            <w:tcW w:w="1185" w:type="dxa"/>
            <w:gridSpan w:val="2"/>
            <w:tcBorders>
              <w:bottom w:val="single" w:sz="4" w:space="0" w:color="auto"/>
            </w:tcBorders>
            <w:shd w:val="clear" w:color="auto" w:fill="auto"/>
          </w:tcPr>
          <w:p w:rsidR="00617CB0" w:rsidRPr="00022D33" w:rsidRDefault="00617CB0" w:rsidP="000D7011">
            <w:pPr>
              <w:pStyle w:val="Tabletext"/>
              <w:jc w:val="right"/>
            </w:pPr>
            <w:r w:rsidRPr="00022D33">
              <w:t>(187)</w:t>
            </w:r>
          </w:p>
        </w:tc>
      </w:tr>
      <w:tr w:rsidR="00617CB0" w:rsidRPr="00022D33" w:rsidTr="000D7011">
        <w:tc>
          <w:tcPr>
            <w:tcW w:w="2119" w:type="dxa"/>
            <w:shd w:val="clear" w:color="auto" w:fill="auto"/>
          </w:tcPr>
          <w:p w:rsidR="00617CB0" w:rsidRPr="00022D33" w:rsidRDefault="00617CB0" w:rsidP="000D7011">
            <w:pPr>
              <w:pStyle w:val="Tabletext"/>
              <w:rPr>
                <w:b/>
              </w:rPr>
            </w:pPr>
            <w:r w:rsidRPr="00022D33">
              <w:rPr>
                <w:b/>
              </w:rPr>
              <w:t>Total Administered Income</w:t>
            </w:r>
          </w:p>
        </w:tc>
        <w:tc>
          <w:tcPr>
            <w:tcW w:w="1073" w:type="dxa"/>
            <w:gridSpan w:val="2"/>
            <w:shd w:val="clear" w:color="auto" w:fill="auto"/>
          </w:tcPr>
          <w:p w:rsidR="00617CB0" w:rsidRPr="00022D33" w:rsidRDefault="00617CB0" w:rsidP="000D7011">
            <w:pPr>
              <w:pStyle w:val="Tabletext"/>
              <w:jc w:val="right"/>
              <w:rPr>
                <w:b/>
              </w:rPr>
            </w:pPr>
          </w:p>
        </w:tc>
        <w:tc>
          <w:tcPr>
            <w:tcW w:w="1228" w:type="dxa"/>
            <w:gridSpan w:val="2"/>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8,299,068</w:t>
            </w:r>
          </w:p>
        </w:tc>
        <w:tc>
          <w:tcPr>
            <w:tcW w:w="1228" w:type="dxa"/>
            <w:gridSpan w:val="2"/>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7,667,246</w:t>
            </w:r>
          </w:p>
        </w:tc>
        <w:tc>
          <w:tcPr>
            <w:tcW w:w="1228" w:type="dxa"/>
            <w:gridSpan w:val="2"/>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7,548,213</w:t>
            </w:r>
          </w:p>
        </w:tc>
        <w:tc>
          <w:tcPr>
            <w:tcW w:w="1181" w:type="dxa"/>
            <w:gridSpan w:val="2"/>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(631,822)</w:t>
            </w:r>
          </w:p>
        </w:tc>
        <w:tc>
          <w:tcPr>
            <w:tcW w:w="1185" w:type="dxa"/>
            <w:gridSpan w:val="2"/>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119,033</w:t>
            </w:r>
          </w:p>
        </w:tc>
      </w:tr>
      <w:tr w:rsidR="00617CB0" w:rsidRPr="00022D33" w:rsidTr="000D7011">
        <w:trPr>
          <w:gridAfter w:val="1"/>
          <w:wAfter w:w="203" w:type="dxa"/>
        </w:trPr>
        <w:tc>
          <w:tcPr>
            <w:tcW w:w="2660" w:type="dxa"/>
            <w:gridSpan w:val="2"/>
            <w:shd w:val="clear" w:color="auto" w:fill="auto"/>
          </w:tcPr>
          <w:p w:rsidR="00617CB0" w:rsidRPr="00022D33" w:rsidRDefault="00617CB0" w:rsidP="000D7011">
            <w:pPr>
              <w:pStyle w:val="Tabletext"/>
              <w:rPr>
                <w:i/>
              </w:rPr>
            </w:pPr>
          </w:p>
        </w:tc>
        <w:tc>
          <w:tcPr>
            <w:tcW w:w="1275" w:type="dxa"/>
            <w:gridSpan w:val="2"/>
            <w:shd w:val="clear" w:color="auto" w:fill="auto"/>
          </w:tcPr>
          <w:p w:rsidR="00617CB0" w:rsidRPr="00022D33" w:rsidRDefault="00617CB0" w:rsidP="000D7011">
            <w:pPr>
              <w:pStyle w:val="Tabletext"/>
              <w:jc w:val="right"/>
            </w:pPr>
          </w:p>
        </w:tc>
        <w:tc>
          <w:tcPr>
            <w:tcW w:w="1276" w:type="dxa"/>
            <w:gridSpan w:val="2"/>
            <w:shd w:val="clear" w:color="auto" w:fill="auto"/>
          </w:tcPr>
          <w:p w:rsidR="00617CB0" w:rsidRPr="00022D33" w:rsidRDefault="00617CB0" w:rsidP="000D7011">
            <w:pPr>
              <w:pStyle w:val="Tabletext"/>
              <w:jc w:val="right"/>
            </w:pPr>
          </w:p>
        </w:tc>
        <w:tc>
          <w:tcPr>
            <w:tcW w:w="1276" w:type="dxa"/>
            <w:gridSpan w:val="2"/>
            <w:shd w:val="clear" w:color="auto" w:fill="auto"/>
          </w:tcPr>
          <w:p w:rsidR="00617CB0" w:rsidRPr="00022D33" w:rsidRDefault="00617CB0" w:rsidP="000D7011">
            <w:pPr>
              <w:pStyle w:val="Tabletext"/>
              <w:jc w:val="right"/>
            </w:pPr>
          </w:p>
        </w:tc>
        <w:tc>
          <w:tcPr>
            <w:tcW w:w="1276" w:type="dxa"/>
            <w:gridSpan w:val="2"/>
            <w:shd w:val="clear" w:color="auto" w:fill="auto"/>
          </w:tcPr>
          <w:p w:rsidR="00617CB0" w:rsidRPr="00022D33" w:rsidRDefault="00617CB0" w:rsidP="000D7011">
            <w:pPr>
              <w:pStyle w:val="Tabletext"/>
              <w:jc w:val="right"/>
            </w:pPr>
          </w:p>
        </w:tc>
        <w:tc>
          <w:tcPr>
            <w:tcW w:w="1276" w:type="dxa"/>
            <w:gridSpan w:val="2"/>
            <w:shd w:val="clear" w:color="auto" w:fill="auto"/>
          </w:tcPr>
          <w:p w:rsidR="00617CB0" w:rsidRPr="00022D33" w:rsidRDefault="00617CB0" w:rsidP="000D7011">
            <w:pPr>
              <w:pStyle w:val="Tabletext"/>
              <w:jc w:val="right"/>
            </w:pPr>
          </w:p>
        </w:tc>
      </w:tr>
      <w:tr w:rsidR="00617CB0" w:rsidRPr="00022D33" w:rsidTr="000D7011">
        <w:tc>
          <w:tcPr>
            <w:tcW w:w="2119" w:type="dxa"/>
            <w:shd w:val="clear" w:color="auto" w:fill="auto"/>
          </w:tcPr>
          <w:p w:rsidR="00617CB0" w:rsidRPr="00022D33" w:rsidRDefault="00617CB0" w:rsidP="000D7011">
            <w:pPr>
              <w:pStyle w:val="Tabletext"/>
              <w:rPr>
                <w:b/>
              </w:rPr>
            </w:pPr>
            <w:r w:rsidRPr="00022D33">
              <w:rPr>
                <w:b/>
              </w:rPr>
              <w:t>EXPENSES</w:t>
            </w:r>
          </w:p>
        </w:tc>
        <w:tc>
          <w:tcPr>
            <w:tcW w:w="1073" w:type="dxa"/>
            <w:gridSpan w:val="2"/>
            <w:shd w:val="clear" w:color="auto" w:fill="auto"/>
          </w:tcPr>
          <w:p w:rsidR="00617CB0" w:rsidRPr="00022D33" w:rsidRDefault="00617CB0" w:rsidP="000D7011">
            <w:pPr>
              <w:pStyle w:val="Tabletext"/>
              <w:jc w:val="right"/>
              <w:rPr>
                <w:b/>
              </w:rPr>
            </w:pPr>
          </w:p>
        </w:tc>
        <w:tc>
          <w:tcPr>
            <w:tcW w:w="1228" w:type="dxa"/>
            <w:gridSpan w:val="2"/>
            <w:shd w:val="clear" w:color="auto" w:fill="auto"/>
          </w:tcPr>
          <w:p w:rsidR="00617CB0" w:rsidRPr="00022D33" w:rsidRDefault="00617CB0" w:rsidP="000D7011">
            <w:pPr>
              <w:pStyle w:val="Tabletext"/>
              <w:jc w:val="right"/>
              <w:rPr>
                <w:b/>
              </w:rPr>
            </w:pPr>
          </w:p>
        </w:tc>
        <w:tc>
          <w:tcPr>
            <w:tcW w:w="1228" w:type="dxa"/>
            <w:gridSpan w:val="2"/>
            <w:shd w:val="clear" w:color="auto" w:fill="auto"/>
          </w:tcPr>
          <w:p w:rsidR="00617CB0" w:rsidRPr="00022D33" w:rsidRDefault="00617CB0" w:rsidP="000D7011">
            <w:pPr>
              <w:pStyle w:val="Tabletext"/>
              <w:jc w:val="right"/>
              <w:rPr>
                <w:b/>
              </w:rPr>
            </w:pPr>
          </w:p>
        </w:tc>
        <w:tc>
          <w:tcPr>
            <w:tcW w:w="1228" w:type="dxa"/>
            <w:gridSpan w:val="2"/>
            <w:shd w:val="clear" w:color="auto" w:fill="auto"/>
          </w:tcPr>
          <w:p w:rsidR="00617CB0" w:rsidRPr="00022D33" w:rsidRDefault="00617CB0" w:rsidP="000D7011">
            <w:pPr>
              <w:pStyle w:val="Tabletext"/>
              <w:jc w:val="right"/>
              <w:rPr>
                <w:b/>
              </w:rPr>
            </w:pPr>
          </w:p>
        </w:tc>
        <w:tc>
          <w:tcPr>
            <w:tcW w:w="1181" w:type="dxa"/>
            <w:gridSpan w:val="2"/>
            <w:shd w:val="clear" w:color="auto" w:fill="auto"/>
          </w:tcPr>
          <w:p w:rsidR="00617CB0" w:rsidRPr="00022D33" w:rsidRDefault="00617CB0" w:rsidP="000D7011">
            <w:pPr>
              <w:pStyle w:val="Tabletext"/>
              <w:jc w:val="right"/>
              <w:rPr>
                <w:b/>
              </w:rPr>
            </w:pPr>
          </w:p>
        </w:tc>
        <w:tc>
          <w:tcPr>
            <w:tcW w:w="1185" w:type="dxa"/>
            <w:gridSpan w:val="2"/>
            <w:shd w:val="clear" w:color="auto" w:fill="auto"/>
          </w:tcPr>
          <w:p w:rsidR="00617CB0" w:rsidRPr="00022D33" w:rsidRDefault="00617CB0" w:rsidP="000D7011">
            <w:pPr>
              <w:pStyle w:val="Tabletext"/>
              <w:jc w:val="right"/>
              <w:rPr>
                <w:b/>
              </w:rPr>
            </w:pPr>
          </w:p>
        </w:tc>
      </w:tr>
      <w:tr w:rsidR="00617CB0" w:rsidRPr="00022D33" w:rsidTr="000D7011">
        <w:tc>
          <w:tcPr>
            <w:tcW w:w="9242" w:type="dxa"/>
            <w:gridSpan w:val="13"/>
            <w:shd w:val="clear" w:color="auto" w:fill="auto"/>
          </w:tcPr>
          <w:p w:rsidR="00617CB0" w:rsidRPr="00022D33" w:rsidRDefault="00617CB0" w:rsidP="000D7011">
            <w:pPr>
              <w:pStyle w:val="Tabletext"/>
            </w:pPr>
            <w:r w:rsidRPr="00022D33">
              <w:t>Grants, subsidies and transfers</w:t>
            </w:r>
          </w:p>
        </w:tc>
      </w:tr>
      <w:tr w:rsidR="00617CB0" w:rsidRPr="00022D33" w:rsidTr="000D7011">
        <w:tc>
          <w:tcPr>
            <w:tcW w:w="2119" w:type="dxa"/>
            <w:shd w:val="clear" w:color="auto" w:fill="auto"/>
          </w:tcPr>
          <w:p w:rsidR="00617CB0" w:rsidRPr="00022D33" w:rsidRDefault="00617CB0" w:rsidP="000D7011">
            <w:pPr>
              <w:pStyle w:val="Tabletext"/>
              <w:rPr>
                <w:vertAlign w:val="superscript"/>
              </w:rPr>
            </w:pPr>
            <w:r w:rsidRPr="00022D33">
              <w:t xml:space="preserve">Item 59 Amount provided for Administered Grants, Subsidies and Other Transfer Payments </w:t>
            </w:r>
            <w:r w:rsidRPr="00022D33">
              <w:rPr>
                <w:vertAlign w:val="superscript"/>
              </w:rPr>
              <w:t>(b)</w:t>
            </w:r>
          </w:p>
        </w:tc>
        <w:tc>
          <w:tcPr>
            <w:tcW w:w="1073" w:type="dxa"/>
            <w:gridSpan w:val="2"/>
            <w:shd w:val="clear" w:color="auto" w:fill="auto"/>
          </w:tcPr>
          <w:p w:rsidR="00617CB0" w:rsidRPr="00022D33" w:rsidRDefault="00617CB0" w:rsidP="000D7011">
            <w:pPr>
              <w:pStyle w:val="Tabletext"/>
              <w:jc w:val="right"/>
            </w:pPr>
            <w:r w:rsidRPr="00022D33">
              <w:t>6</w:t>
            </w:r>
          </w:p>
        </w:tc>
        <w:tc>
          <w:tcPr>
            <w:tcW w:w="1228" w:type="dxa"/>
            <w:gridSpan w:val="2"/>
            <w:shd w:val="clear" w:color="auto" w:fill="auto"/>
          </w:tcPr>
          <w:p w:rsidR="00617CB0" w:rsidRPr="00022D33" w:rsidRDefault="00617CB0" w:rsidP="000D7011">
            <w:pPr>
              <w:pStyle w:val="Tabletext"/>
              <w:jc w:val="right"/>
            </w:pPr>
            <w:r w:rsidRPr="00022D33">
              <w:t>203,208</w:t>
            </w:r>
          </w:p>
        </w:tc>
        <w:tc>
          <w:tcPr>
            <w:tcW w:w="1228" w:type="dxa"/>
            <w:gridSpan w:val="2"/>
            <w:shd w:val="clear" w:color="auto" w:fill="auto"/>
          </w:tcPr>
          <w:p w:rsidR="00617CB0" w:rsidRPr="00022D33" w:rsidRDefault="00617CB0" w:rsidP="000D7011">
            <w:pPr>
              <w:pStyle w:val="Tabletext"/>
              <w:jc w:val="right"/>
            </w:pPr>
            <w:r w:rsidRPr="00022D33">
              <w:t>148,881</w:t>
            </w:r>
          </w:p>
        </w:tc>
        <w:tc>
          <w:tcPr>
            <w:tcW w:w="1228" w:type="dxa"/>
            <w:gridSpan w:val="2"/>
            <w:shd w:val="clear" w:color="auto" w:fill="auto"/>
          </w:tcPr>
          <w:p w:rsidR="00617CB0" w:rsidRPr="00022D33" w:rsidRDefault="00617CB0" w:rsidP="000D7011">
            <w:pPr>
              <w:pStyle w:val="Tabletext"/>
              <w:jc w:val="right"/>
            </w:pPr>
            <w:r w:rsidRPr="00022D33">
              <w:t>148,030</w:t>
            </w:r>
          </w:p>
        </w:tc>
        <w:tc>
          <w:tcPr>
            <w:tcW w:w="1181" w:type="dxa"/>
            <w:gridSpan w:val="2"/>
            <w:shd w:val="clear" w:color="auto" w:fill="auto"/>
          </w:tcPr>
          <w:p w:rsidR="00617CB0" w:rsidRPr="00022D33" w:rsidRDefault="00617CB0" w:rsidP="000D7011">
            <w:pPr>
              <w:pStyle w:val="Tabletext"/>
              <w:jc w:val="right"/>
            </w:pPr>
            <w:r w:rsidRPr="00022D33">
              <w:t>(54,327)</w:t>
            </w:r>
          </w:p>
        </w:tc>
        <w:tc>
          <w:tcPr>
            <w:tcW w:w="1185" w:type="dxa"/>
            <w:gridSpan w:val="2"/>
            <w:shd w:val="clear" w:color="auto" w:fill="auto"/>
          </w:tcPr>
          <w:p w:rsidR="00617CB0" w:rsidRPr="00022D33" w:rsidRDefault="00617CB0" w:rsidP="000D7011">
            <w:pPr>
              <w:pStyle w:val="Tabletext"/>
              <w:jc w:val="right"/>
            </w:pPr>
            <w:r w:rsidRPr="00022D33">
              <w:t>851</w:t>
            </w:r>
          </w:p>
        </w:tc>
      </w:tr>
      <w:tr w:rsidR="00617CB0" w:rsidRPr="00022D33" w:rsidTr="000D7011">
        <w:tc>
          <w:tcPr>
            <w:tcW w:w="2119" w:type="dxa"/>
            <w:shd w:val="clear" w:color="auto" w:fill="auto"/>
          </w:tcPr>
          <w:p w:rsidR="00617CB0" w:rsidRPr="00022D33" w:rsidRDefault="00617CB0" w:rsidP="000D7011">
            <w:pPr>
              <w:pStyle w:val="Tabletext"/>
              <w:rPr>
                <w:i/>
              </w:rPr>
            </w:pPr>
            <w:r w:rsidRPr="00022D33">
              <w:t xml:space="preserve">Authorised by Other Statutes – </w:t>
            </w:r>
            <w:r w:rsidRPr="00022D33">
              <w:rPr>
                <w:i/>
              </w:rPr>
              <w:t>First Home Owners Grant Act 2000</w:t>
            </w:r>
          </w:p>
        </w:tc>
        <w:tc>
          <w:tcPr>
            <w:tcW w:w="1073" w:type="dxa"/>
            <w:gridSpan w:val="2"/>
            <w:shd w:val="clear" w:color="auto" w:fill="auto"/>
          </w:tcPr>
          <w:p w:rsidR="00617CB0" w:rsidRPr="00022D33" w:rsidRDefault="00617CB0" w:rsidP="000D7011">
            <w:pPr>
              <w:pStyle w:val="Tabletext"/>
              <w:jc w:val="right"/>
            </w:pPr>
          </w:p>
        </w:tc>
        <w:tc>
          <w:tcPr>
            <w:tcW w:w="1228" w:type="dxa"/>
            <w:gridSpan w:val="2"/>
            <w:shd w:val="clear" w:color="auto" w:fill="auto"/>
          </w:tcPr>
          <w:p w:rsidR="00617CB0" w:rsidRPr="00022D33" w:rsidRDefault="00617CB0" w:rsidP="000D7011">
            <w:pPr>
              <w:pStyle w:val="Tabletext"/>
              <w:jc w:val="right"/>
            </w:pPr>
            <w:r w:rsidRPr="00022D33">
              <w:t>88,117</w:t>
            </w:r>
          </w:p>
        </w:tc>
        <w:tc>
          <w:tcPr>
            <w:tcW w:w="1228" w:type="dxa"/>
            <w:gridSpan w:val="2"/>
            <w:shd w:val="clear" w:color="auto" w:fill="auto"/>
          </w:tcPr>
          <w:p w:rsidR="00617CB0" w:rsidRPr="00022D33" w:rsidRDefault="00617CB0" w:rsidP="000D7011">
            <w:pPr>
              <w:pStyle w:val="Tabletext"/>
              <w:jc w:val="right"/>
            </w:pPr>
            <w:r w:rsidRPr="00022D33">
              <w:t>98,582</w:t>
            </w:r>
          </w:p>
        </w:tc>
        <w:tc>
          <w:tcPr>
            <w:tcW w:w="1228" w:type="dxa"/>
            <w:gridSpan w:val="2"/>
            <w:shd w:val="clear" w:color="auto" w:fill="auto"/>
          </w:tcPr>
          <w:p w:rsidR="00617CB0" w:rsidRPr="00022D33" w:rsidRDefault="00617CB0" w:rsidP="000D7011">
            <w:pPr>
              <w:pStyle w:val="Tabletext"/>
              <w:jc w:val="right"/>
            </w:pPr>
            <w:r w:rsidRPr="00022D33">
              <w:t>115,904</w:t>
            </w:r>
          </w:p>
        </w:tc>
        <w:tc>
          <w:tcPr>
            <w:tcW w:w="1181" w:type="dxa"/>
            <w:gridSpan w:val="2"/>
            <w:shd w:val="clear" w:color="auto" w:fill="auto"/>
          </w:tcPr>
          <w:p w:rsidR="00617CB0" w:rsidRPr="00022D33" w:rsidRDefault="00617CB0" w:rsidP="000D7011">
            <w:pPr>
              <w:pStyle w:val="Tabletext"/>
              <w:jc w:val="right"/>
            </w:pPr>
            <w:r w:rsidRPr="00022D33">
              <w:t>10,465</w:t>
            </w:r>
          </w:p>
        </w:tc>
        <w:tc>
          <w:tcPr>
            <w:tcW w:w="1185" w:type="dxa"/>
            <w:gridSpan w:val="2"/>
            <w:shd w:val="clear" w:color="auto" w:fill="auto"/>
          </w:tcPr>
          <w:p w:rsidR="00617CB0" w:rsidRPr="00022D33" w:rsidRDefault="00617CB0" w:rsidP="000D7011">
            <w:pPr>
              <w:pStyle w:val="Tabletext"/>
              <w:jc w:val="right"/>
            </w:pPr>
            <w:r w:rsidRPr="00022D33">
              <w:t>(17,322)</w:t>
            </w:r>
          </w:p>
        </w:tc>
      </w:tr>
      <w:tr w:rsidR="00617CB0" w:rsidRPr="00022D33" w:rsidTr="000D7011">
        <w:tc>
          <w:tcPr>
            <w:tcW w:w="2119" w:type="dxa"/>
            <w:shd w:val="clear" w:color="auto" w:fill="auto"/>
          </w:tcPr>
          <w:p w:rsidR="00617CB0" w:rsidRPr="00022D33" w:rsidRDefault="00617CB0" w:rsidP="000D7011">
            <w:pPr>
              <w:pStyle w:val="Tabletext"/>
            </w:pPr>
            <w:r w:rsidRPr="00022D33">
              <w:t>Other expenses</w:t>
            </w:r>
          </w:p>
        </w:tc>
        <w:tc>
          <w:tcPr>
            <w:tcW w:w="1073" w:type="dxa"/>
            <w:gridSpan w:val="2"/>
            <w:shd w:val="clear" w:color="auto" w:fill="auto"/>
          </w:tcPr>
          <w:p w:rsidR="00617CB0" w:rsidRPr="00022D33" w:rsidRDefault="00617CB0" w:rsidP="000D7011">
            <w:pPr>
              <w:pStyle w:val="Tabletext"/>
              <w:jc w:val="right"/>
            </w:pPr>
            <w:r w:rsidRPr="00022D33">
              <w:t>7</w:t>
            </w:r>
          </w:p>
        </w:tc>
        <w:tc>
          <w:tcPr>
            <w:tcW w:w="1228" w:type="dxa"/>
            <w:gridSpan w:val="2"/>
            <w:shd w:val="clear" w:color="auto" w:fill="auto"/>
          </w:tcPr>
          <w:p w:rsidR="00617CB0" w:rsidRPr="00022D33" w:rsidRDefault="00617CB0" w:rsidP="000D7011">
            <w:pPr>
              <w:pStyle w:val="Tabletext"/>
              <w:jc w:val="right"/>
            </w:pPr>
            <w:r w:rsidRPr="00022D33">
              <w:t>7,943,279</w:t>
            </w:r>
          </w:p>
        </w:tc>
        <w:tc>
          <w:tcPr>
            <w:tcW w:w="1228" w:type="dxa"/>
            <w:gridSpan w:val="2"/>
            <w:shd w:val="clear" w:color="auto" w:fill="auto"/>
          </w:tcPr>
          <w:p w:rsidR="00617CB0" w:rsidRPr="00022D33" w:rsidRDefault="00617CB0" w:rsidP="000D7011">
            <w:pPr>
              <w:pStyle w:val="Tabletext"/>
              <w:jc w:val="right"/>
            </w:pPr>
            <w:r w:rsidRPr="00022D33">
              <w:t>7,435,650</w:t>
            </w:r>
          </w:p>
        </w:tc>
        <w:tc>
          <w:tcPr>
            <w:tcW w:w="1228" w:type="dxa"/>
            <w:gridSpan w:val="2"/>
            <w:shd w:val="clear" w:color="auto" w:fill="auto"/>
          </w:tcPr>
          <w:p w:rsidR="00617CB0" w:rsidRPr="00022D33" w:rsidRDefault="00617CB0" w:rsidP="000D7011">
            <w:pPr>
              <w:pStyle w:val="Tabletext"/>
              <w:jc w:val="right"/>
            </w:pPr>
            <w:r w:rsidRPr="00022D33">
              <w:t>7,204,859</w:t>
            </w:r>
          </w:p>
        </w:tc>
        <w:tc>
          <w:tcPr>
            <w:tcW w:w="1181" w:type="dxa"/>
            <w:gridSpan w:val="2"/>
            <w:shd w:val="clear" w:color="auto" w:fill="auto"/>
          </w:tcPr>
          <w:p w:rsidR="00617CB0" w:rsidRPr="00022D33" w:rsidRDefault="00617CB0" w:rsidP="000D7011">
            <w:pPr>
              <w:pStyle w:val="Tabletext"/>
              <w:jc w:val="right"/>
            </w:pPr>
            <w:r w:rsidRPr="00022D33">
              <w:t>(507,629)</w:t>
            </w:r>
          </w:p>
        </w:tc>
        <w:tc>
          <w:tcPr>
            <w:tcW w:w="1185" w:type="dxa"/>
            <w:gridSpan w:val="2"/>
            <w:shd w:val="clear" w:color="auto" w:fill="auto"/>
          </w:tcPr>
          <w:p w:rsidR="00617CB0" w:rsidRPr="00022D33" w:rsidRDefault="00617CB0" w:rsidP="000D7011">
            <w:pPr>
              <w:pStyle w:val="Tabletext"/>
              <w:jc w:val="right"/>
            </w:pPr>
            <w:r w:rsidRPr="00022D33">
              <w:t>230,791</w:t>
            </w:r>
          </w:p>
        </w:tc>
      </w:tr>
      <w:tr w:rsidR="00617CB0" w:rsidRPr="00022D33" w:rsidTr="000D7011">
        <w:tc>
          <w:tcPr>
            <w:tcW w:w="2119" w:type="dxa"/>
            <w:shd w:val="clear" w:color="auto" w:fill="auto"/>
          </w:tcPr>
          <w:p w:rsidR="00617CB0" w:rsidRPr="00022D33" w:rsidRDefault="00617CB0" w:rsidP="000D7011">
            <w:pPr>
              <w:pStyle w:val="Tabletext"/>
            </w:pPr>
            <w:r w:rsidRPr="00022D33">
              <w:t>Collections transferred to other agencies</w:t>
            </w:r>
          </w:p>
        </w:tc>
        <w:tc>
          <w:tcPr>
            <w:tcW w:w="1073" w:type="dxa"/>
            <w:gridSpan w:val="2"/>
            <w:shd w:val="clear" w:color="auto" w:fill="auto"/>
          </w:tcPr>
          <w:p w:rsidR="00617CB0" w:rsidRPr="00022D33" w:rsidRDefault="00617CB0" w:rsidP="000D7011">
            <w:pPr>
              <w:pStyle w:val="Tabletext"/>
              <w:jc w:val="right"/>
            </w:pPr>
          </w:p>
        </w:tc>
        <w:tc>
          <w:tcPr>
            <w:tcW w:w="1228" w:type="dxa"/>
            <w:gridSpan w:val="2"/>
            <w:tcBorders>
              <w:bottom w:val="single" w:sz="4" w:space="0" w:color="auto"/>
            </w:tcBorders>
            <w:shd w:val="clear" w:color="auto" w:fill="auto"/>
          </w:tcPr>
          <w:p w:rsidR="00617CB0" w:rsidRPr="00022D33" w:rsidRDefault="00617CB0" w:rsidP="000D7011">
            <w:pPr>
              <w:pStyle w:val="Tabletext"/>
              <w:jc w:val="right"/>
            </w:pPr>
            <w:r w:rsidRPr="00022D33">
              <w:t>64,464</w:t>
            </w:r>
          </w:p>
        </w:tc>
        <w:tc>
          <w:tcPr>
            <w:tcW w:w="1228" w:type="dxa"/>
            <w:gridSpan w:val="2"/>
            <w:tcBorders>
              <w:bottom w:val="single" w:sz="4" w:space="0" w:color="auto"/>
            </w:tcBorders>
            <w:shd w:val="clear" w:color="auto" w:fill="auto"/>
          </w:tcPr>
          <w:p w:rsidR="00617CB0" w:rsidRPr="00022D33" w:rsidRDefault="00617CB0" w:rsidP="000D7011">
            <w:pPr>
              <w:pStyle w:val="Tabletext"/>
              <w:jc w:val="right"/>
            </w:pPr>
            <w:r w:rsidRPr="00022D33">
              <w:t>63,043</w:t>
            </w:r>
          </w:p>
        </w:tc>
        <w:tc>
          <w:tcPr>
            <w:tcW w:w="1228" w:type="dxa"/>
            <w:gridSpan w:val="2"/>
            <w:tcBorders>
              <w:bottom w:val="single" w:sz="4" w:space="0" w:color="auto"/>
            </w:tcBorders>
            <w:shd w:val="clear" w:color="auto" w:fill="auto"/>
          </w:tcPr>
          <w:p w:rsidR="00617CB0" w:rsidRPr="00022D33" w:rsidRDefault="00617CB0" w:rsidP="000D7011">
            <w:pPr>
              <w:pStyle w:val="Tabletext"/>
              <w:jc w:val="right"/>
            </w:pPr>
            <w:r w:rsidRPr="00022D33">
              <w:t>63,230</w:t>
            </w:r>
          </w:p>
        </w:tc>
        <w:tc>
          <w:tcPr>
            <w:tcW w:w="1181" w:type="dxa"/>
            <w:gridSpan w:val="2"/>
            <w:tcBorders>
              <w:bottom w:val="single" w:sz="4" w:space="0" w:color="auto"/>
            </w:tcBorders>
            <w:shd w:val="clear" w:color="auto" w:fill="auto"/>
          </w:tcPr>
          <w:p w:rsidR="00617CB0" w:rsidRPr="00022D33" w:rsidRDefault="00617CB0" w:rsidP="000D7011">
            <w:pPr>
              <w:pStyle w:val="Tabletext"/>
              <w:jc w:val="right"/>
            </w:pPr>
            <w:r w:rsidRPr="00022D33">
              <w:t>(1,421)</w:t>
            </w:r>
          </w:p>
        </w:tc>
        <w:tc>
          <w:tcPr>
            <w:tcW w:w="1185" w:type="dxa"/>
            <w:gridSpan w:val="2"/>
            <w:tcBorders>
              <w:bottom w:val="single" w:sz="4" w:space="0" w:color="auto"/>
            </w:tcBorders>
            <w:shd w:val="clear" w:color="auto" w:fill="auto"/>
          </w:tcPr>
          <w:p w:rsidR="00617CB0" w:rsidRPr="00022D33" w:rsidRDefault="00617CB0" w:rsidP="000D7011">
            <w:pPr>
              <w:pStyle w:val="Tabletext"/>
              <w:jc w:val="right"/>
            </w:pPr>
            <w:r w:rsidRPr="00022D33">
              <w:t>(187)</w:t>
            </w:r>
          </w:p>
        </w:tc>
      </w:tr>
      <w:tr w:rsidR="00617CB0" w:rsidRPr="00022D33" w:rsidTr="000D7011">
        <w:tc>
          <w:tcPr>
            <w:tcW w:w="2119" w:type="dxa"/>
            <w:shd w:val="clear" w:color="auto" w:fill="auto"/>
          </w:tcPr>
          <w:p w:rsidR="00617CB0" w:rsidRPr="00022D33" w:rsidRDefault="00617CB0" w:rsidP="000D7011">
            <w:pPr>
              <w:pStyle w:val="Tabletext"/>
              <w:rPr>
                <w:b/>
              </w:rPr>
            </w:pPr>
            <w:r w:rsidRPr="00022D33">
              <w:rPr>
                <w:b/>
              </w:rPr>
              <w:t>Total Administered Expenses</w:t>
            </w:r>
          </w:p>
        </w:tc>
        <w:tc>
          <w:tcPr>
            <w:tcW w:w="1073" w:type="dxa"/>
            <w:gridSpan w:val="2"/>
            <w:shd w:val="clear" w:color="auto" w:fill="auto"/>
          </w:tcPr>
          <w:p w:rsidR="00617CB0" w:rsidRPr="00022D33" w:rsidRDefault="00617CB0" w:rsidP="000D7011">
            <w:pPr>
              <w:pStyle w:val="Tabletext"/>
              <w:jc w:val="right"/>
              <w:rPr>
                <w:b/>
              </w:rPr>
            </w:pPr>
          </w:p>
        </w:tc>
        <w:tc>
          <w:tcPr>
            <w:tcW w:w="1228" w:type="dxa"/>
            <w:gridSpan w:val="2"/>
            <w:tcBorders>
              <w:top w:val="single" w:sz="4" w:space="0" w:color="auto"/>
            </w:tcBorders>
            <w:shd w:val="clear" w:color="auto" w:fill="auto"/>
          </w:tcPr>
          <w:p w:rsidR="00617CB0" w:rsidRPr="00022D33" w:rsidRDefault="00617CB0" w:rsidP="000D7011">
            <w:pPr>
              <w:pStyle w:val="Tabletext"/>
              <w:jc w:val="right"/>
              <w:rPr>
                <w:b/>
              </w:rPr>
            </w:pPr>
            <w:r w:rsidRPr="00022D33">
              <w:rPr>
                <w:b/>
              </w:rPr>
              <w:t>8,299,068</w:t>
            </w:r>
          </w:p>
        </w:tc>
        <w:tc>
          <w:tcPr>
            <w:tcW w:w="1228" w:type="dxa"/>
            <w:gridSpan w:val="2"/>
            <w:tcBorders>
              <w:top w:val="single" w:sz="4" w:space="0" w:color="auto"/>
            </w:tcBorders>
            <w:shd w:val="clear" w:color="auto" w:fill="auto"/>
          </w:tcPr>
          <w:p w:rsidR="00617CB0" w:rsidRPr="00022D33" w:rsidRDefault="00617CB0" w:rsidP="000D7011">
            <w:pPr>
              <w:pStyle w:val="Tabletext"/>
              <w:jc w:val="right"/>
              <w:rPr>
                <w:b/>
              </w:rPr>
            </w:pPr>
            <w:r w:rsidRPr="00022D33">
              <w:rPr>
                <w:b/>
              </w:rPr>
              <w:t>7,746,156</w:t>
            </w:r>
          </w:p>
        </w:tc>
        <w:tc>
          <w:tcPr>
            <w:tcW w:w="1228" w:type="dxa"/>
            <w:gridSpan w:val="2"/>
            <w:tcBorders>
              <w:top w:val="single" w:sz="4" w:space="0" w:color="auto"/>
            </w:tcBorders>
            <w:shd w:val="clear" w:color="auto" w:fill="auto"/>
          </w:tcPr>
          <w:p w:rsidR="00617CB0" w:rsidRPr="00022D33" w:rsidRDefault="00617CB0" w:rsidP="000D7011">
            <w:pPr>
              <w:pStyle w:val="Tabletext"/>
              <w:jc w:val="right"/>
              <w:rPr>
                <w:b/>
              </w:rPr>
            </w:pPr>
            <w:r w:rsidRPr="00022D33">
              <w:rPr>
                <w:b/>
              </w:rPr>
              <w:t>7,532,023</w:t>
            </w:r>
          </w:p>
        </w:tc>
        <w:tc>
          <w:tcPr>
            <w:tcW w:w="1181" w:type="dxa"/>
            <w:gridSpan w:val="2"/>
            <w:tcBorders>
              <w:top w:val="single" w:sz="4" w:space="0" w:color="auto"/>
            </w:tcBorders>
            <w:shd w:val="clear" w:color="auto" w:fill="auto"/>
          </w:tcPr>
          <w:p w:rsidR="00617CB0" w:rsidRPr="00022D33" w:rsidRDefault="00617CB0" w:rsidP="000D7011">
            <w:pPr>
              <w:pStyle w:val="Tabletext"/>
              <w:jc w:val="right"/>
              <w:rPr>
                <w:b/>
              </w:rPr>
            </w:pPr>
            <w:r w:rsidRPr="00022D33">
              <w:rPr>
                <w:b/>
              </w:rPr>
              <w:t>(552,912)</w:t>
            </w:r>
          </w:p>
        </w:tc>
        <w:tc>
          <w:tcPr>
            <w:tcW w:w="1185" w:type="dxa"/>
            <w:gridSpan w:val="2"/>
            <w:tcBorders>
              <w:top w:val="single" w:sz="4" w:space="0" w:color="auto"/>
            </w:tcBorders>
            <w:shd w:val="clear" w:color="auto" w:fill="auto"/>
          </w:tcPr>
          <w:p w:rsidR="00617CB0" w:rsidRPr="00022D33" w:rsidRDefault="00617CB0" w:rsidP="000D7011">
            <w:pPr>
              <w:pStyle w:val="Tabletext"/>
              <w:jc w:val="right"/>
              <w:rPr>
                <w:b/>
              </w:rPr>
            </w:pPr>
            <w:r w:rsidRPr="00022D33">
              <w:rPr>
                <w:b/>
              </w:rPr>
              <w:t>214,133</w:t>
            </w:r>
          </w:p>
        </w:tc>
      </w:tr>
      <w:tr w:rsidR="00617CB0" w:rsidRPr="00022D33" w:rsidTr="000D7011">
        <w:tc>
          <w:tcPr>
            <w:tcW w:w="2119" w:type="dxa"/>
            <w:shd w:val="clear" w:color="auto" w:fill="auto"/>
          </w:tcPr>
          <w:p w:rsidR="00617CB0" w:rsidRPr="00022D33" w:rsidRDefault="00617CB0" w:rsidP="000D7011">
            <w:pPr>
              <w:pStyle w:val="Tabletext"/>
              <w:rPr>
                <w:b/>
              </w:rPr>
            </w:pPr>
          </w:p>
        </w:tc>
        <w:tc>
          <w:tcPr>
            <w:tcW w:w="1073" w:type="dxa"/>
            <w:gridSpan w:val="2"/>
            <w:shd w:val="clear" w:color="auto" w:fill="auto"/>
          </w:tcPr>
          <w:p w:rsidR="00617CB0" w:rsidRPr="00022D33" w:rsidRDefault="00617CB0" w:rsidP="000D7011">
            <w:pPr>
              <w:pStyle w:val="Tabletext"/>
              <w:jc w:val="right"/>
              <w:rPr>
                <w:b/>
              </w:rPr>
            </w:pPr>
          </w:p>
        </w:tc>
        <w:tc>
          <w:tcPr>
            <w:tcW w:w="1228" w:type="dxa"/>
            <w:gridSpan w:val="2"/>
            <w:tcBorders>
              <w:bottom w:val="single" w:sz="4" w:space="0" w:color="auto"/>
            </w:tcBorders>
            <w:shd w:val="clear" w:color="auto" w:fill="auto"/>
          </w:tcPr>
          <w:p w:rsidR="00617CB0" w:rsidRPr="00022D33" w:rsidRDefault="00617CB0" w:rsidP="000D7011">
            <w:pPr>
              <w:pStyle w:val="Tabletext"/>
              <w:jc w:val="right"/>
              <w:rPr>
                <w:b/>
              </w:rPr>
            </w:pPr>
          </w:p>
        </w:tc>
        <w:tc>
          <w:tcPr>
            <w:tcW w:w="1228" w:type="dxa"/>
            <w:gridSpan w:val="2"/>
            <w:tcBorders>
              <w:bottom w:val="single" w:sz="4" w:space="0" w:color="auto"/>
            </w:tcBorders>
            <w:shd w:val="clear" w:color="auto" w:fill="auto"/>
          </w:tcPr>
          <w:p w:rsidR="00617CB0" w:rsidRPr="00022D33" w:rsidRDefault="00617CB0" w:rsidP="000D7011">
            <w:pPr>
              <w:pStyle w:val="Tabletext"/>
              <w:jc w:val="right"/>
              <w:rPr>
                <w:b/>
              </w:rPr>
            </w:pPr>
          </w:p>
        </w:tc>
        <w:tc>
          <w:tcPr>
            <w:tcW w:w="1228" w:type="dxa"/>
            <w:gridSpan w:val="2"/>
            <w:tcBorders>
              <w:bottom w:val="single" w:sz="4" w:space="0" w:color="auto"/>
            </w:tcBorders>
            <w:shd w:val="clear" w:color="auto" w:fill="auto"/>
          </w:tcPr>
          <w:p w:rsidR="00617CB0" w:rsidRPr="00022D33" w:rsidRDefault="00617CB0" w:rsidP="000D7011">
            <w:pPr>
              <w:pStyle w:val="Tabletext"/>
              <w:jc w:val="right"/>
              <w:rPr>
                <w:b/>
              </w:rPr>
            </w:pPr>
          </w:p>
        </w:tc>
        <w:tc>
          <w:tcPr>
            <w:tcW w:w="1181" w:type="dxa"/>
            <w:gridSpan w:val="2"/>
            <w:tcBorders>
              <w:bottom w:val="single" w:sz="4" w:space="0" w:color="auto"/>
            </w:tcBorders>
            <w:shd w:val="clear" w:color="auto" w:fill="auto"/>
          </w:tcPr>
          <w:p w:rsidR="00617CB0" w:rsidRPr="00022D33" w:rsidRDefault="00617CB0" w:rsidP="000D7011">
            <w:pPr>
              <w:pStyle w:val="Tabletext"/>
              <w:jc w:val="right"/>
              <w:rPr>
                <w:b/>
              </w:rPr>
            </w:pPr>
          </w:p>
        </w:tc>
        <w:tc>
          <w:tcPr>
            <w:tcW w:w="1185" w:type="dxa"/>
            <w:gridSpan w:val="2"/>
            <w:tcBorders>
              <w:bottom w:val="single" w:sz="4" w:space="0" w:color="auto"/>
            </w:tcBorders>
            <w:shd w:val="clear" w:color="auto" w:fill="auto"/>
          </w:tcPr>
          <w:p w:rsidR="00617CB0" w:rsidRPr="00022D33" w:rsidRDefault="00617CB0" w:rsidP="000D7011">
            <w:pPr>
              <w:pStyle w:val="Tabletext"/>
              <w:jc w:val="right"/>
              <w:rPr>
                <w:b/>
              </w:rPr>
            </w:pPr>
          </w:p>
        </w:tc>
      </w:tr>
      <w:tr w:rsidR="00617CB0" w:rsidRPr="00022D33" w:rsidTr="000D7011">
        <w:tc>
          <w:tcPr>
            <w:tcW w:w="2119" w:type="dxa"/>
            <w:shd w:val="clear" w:color="auto" w:fill="auto"/>
          </w:tcPr>
          <w:p w:rsidR="00617CB0" w:rsidRPr="00022D33" w:rsidRDefault="00617CB0" w:rsidP="000D7011">
            <w:pPr>
              <w:pStyle w:val="Tabletext"/>
              <w:rPr>
                <w:b/>
              </w:rPr>
            </w:pPr>
            <w:r w:rsidRPr="00022D33">
              <w:rPr>
                <w:b/>
              </w:rPr>
              <w:t>NET INCOME FROM ADMINISTERED ITEMS</w:t>
            </w:r>
          </w:p>
        </w:tc>
        <w:tc>
          <w:tcPr>
            <w:tcW w:w="1073" w:type="dxa"/>
            <w:gridSpan w:val="2"/>
            <w:shd w:val="clear" w:color="auto" w:fill="auto"/>
          </w:tcPr>
          <w:p w:rsidR="00617CB0" w:rsidRPr="00022D33" w:rsidRDefault="00617CB0" w:rsidP="000D7011">
            <w:pPr>
              <w:pStyle w:val="Tabletext"/>
              <w:jc w:val="right"/>
              <w:rPr>
                <w:b/>
              </w:rPr>
            </w:pPr>
          </w:p>
        </w:tc>
        <w:tc>
          <w:tcPr>
            <w:tcW w:w="1228" w:type="dxa"/>
            <w:gridSpan w:val="2"/>
            <w:tcBorders>
              <w:top w:val="single" w:sz="4" w:space="0" w:color="auto"/>
              <w:bottom w:val="double" w:sz="4" w:space="0" w:color="auto"/>
            </w:tcBorders>
            <w:shd w:val="clear" w:color="auto" w:fill="auto"/>
          </w:tcPr>
          <w:p w:rsidR="00617CB0" w:rsidRPr="00D67C2C" w:rsidRDefault="00617CB0" w:rsidP="000D7011">
            <w:pPr>
              <w:pStyle w:val="Tabletext"/>
              <w:jc w:val="right"/>
              <w:rPr>
                <w:b/>
              </w:rPr>
            </w:pPr>
            <w:r w:rsidRPr="00D67C2C">
              <w:rPr>
                <w:b/>
              </w:rPr>
              <w:t>-</w:t>
            </w:r>
          </w:p>
        </w:tc>
        <w:tc>
          <w:tcPr>
            <w:tcW w:w="1228" w:type="dxa"/>
            <w:gridSpan w:val="2"/>
            <w:tcBorders>
              <w:top w:val="single" w:sz="4" w:space="0" w:color="auto"/>
              <w:bottom w:val="double" w:sz="4" w:space="0" w:color="auto"/>
            </w:tcBorders>
            <w:shd w:val="clear" w:color="auto" w:fill="auto"/>
          </w:tcPr>
          <w:p w:rsidR="00617CB0" w:rsidRPr="00D67C2C" w:rsidRDefault="00617CB0" w:rsidP="000D7011">
            <w:pPr>
              <w:pStyle w:val="Tabletext"/>
              <w:jc w:val="right"/>
              <w:rPr>
                <w:b/>
              </w:rPr>
            </w:pPr>
            <w:r w:rsidRPr="00D67C2C">
              <w:rPr>
                <w:b/>
              </w:rPr>
              <w:t>(78,910)</w:t>
            </w:r>
          </w:p>
        </w:tc>
        <w:tc>
          <w:tcPr>
            <w:tcW w:w="1228" w:type="dxa"/>
            <w:gridSpan w:val="2"/>
            <w:tcBorders>
              <w:top w:val="single" w:sz="4" w:space="0" w:color="auto"/>
              <w:bottom w:val="double" w:sz="4" w:space="0" w:color="auto"/>
            </w:tcBorders>
            <w:shd w:val="clear" w:color="auto" w:fill="auto"/>
          </w:tcPr>
          <w:p w:rsidR="00617CB0" w:rsidRPr="00D67C2C" w:rsidRDefault="00617CB0" w:rsidP="000D7011">
            <w:pPr>
              <w:pStyle w:val="Tabletext"/>
              <w:jc w:val="right"/>
              <w:rPr>
                <w:b/>
              </w:rPr>
            </w:pPr>
            <w:r w:rsidRPr="00D67C2C">
              <w:rPr>
                <w:b/>
              </w:rPr>
              <w:t>16,190</w:t>
            </w:r>
          </w:p>
        </w:tc>
        <w:tc>
          <w:tcPr>
            <w:tcW w:w="1181" w:type="dxa"/>
            <w:gridSpan w:val="2"/>
            <w:tcBorders>
              <w:top w:val="single" w:sz="4" w:space="0" w:color="auto"/>
              <w:bottom w:val="double" w:sz="4" w:space="0" w:color="auto"/>
            </w:tcBorders>
            <w:shd w:val="clear" w:color="auto" w:fill="auto"/>
          </w:tcPr>
          <w:p w:rsidR="00617CB0" w:rsidRPr="00D67C2C" w:rsidRDefault="00617CB0" w:rsidP="000D7011">
            <w:pPr>
              <w:pStyle w:val="Tabletext"/>
              <w:jc w:val="right"/>
              <w:rPr>
                <w:b/>
              </w:rPr>
            </w:pPr>
            <w:r w:rsidRPr="00D67C2C">
              <w:rPr>
                <w:b/>
              </w:rPr>
              <w:t>(78,910)</w:t>
            </w:r>
          </w:p>
        </w:tc>
        <w:tc>
          <w:tcPr>
            <w:tcW w:w="1185" w:type="dxa"/>
            <w:gridSpan w:val="2"/>
            <w:tcBorders>
              <w:top w:val="single" w:sz="4" w:space="0" w:color="auto"/>
              <w:bottom w:val="double" w:sz="4" w:space="0" w:color="auto"/>
            </w:tcBorders>
            <w:shd w:val="clear" w:color="auto" w:fill="auto"/>
          </w:tcPr>
          <w:p w:rsidR="00617CB0" w:rsidRPr="00D67C2C" w:rsidRDefault="00617CB0" w:rsidP="000D7011">
            <w:pPr>
              <w:pStyle w:val="Tabletext"/>
              <w:jc w:val="right"/>
              <w:rPr>
                <w:b/>
              </w:rPr>
            </w:pPr>
            <w:r w:rsidRPr="00D67C2C">
              <w:rPr>
                <w:b/>
              </w:rPr>
              <w:t>(95,100)</w:t>
            </w:r>
          </w:p>
        </w:tc>
      </w:tr>
    </w:tbl>
    <w:p w:rsidR="00617CB0" w:rsidRPr="00022D33" w:rsidRDefault="00617CB0" w:rsidP="000D7011">
      <w:pPr>
        <w:pStyle w:val="Heading4"/>
        <w:numPr>
          <w:ilvl w:val="0"/>
          <w:numId w:val="29"/>
        </w:numPr>
        <w:rPr>
          <w:rStyle w:val="BodyTextChar"/>
          <w:b w:val="0"/>
          <w:bCs w:val="0"/>
          <w:sz w:val="20"/>
          <w:szCs w:val="20"/>
        </w:rPr>
      </w:pPr>
      <w:r w:rsidRPr="00022D33">
        <w:rPr>
          <w:rStyle w:val="BodyTextChar"/>
          <w:b w:val="0"/>
          <w:bCs w:val="0"/>
          <w:sz w:val="20"/>
          <w:szCs w:val="20"/>
        </w:rPr>
        <w:t>Other income includes Metropolitan Region Improvement Tax, Racing and Wagering Western Australia Tax, Landholder Duty, Other Duties and Commonwealth Mirror Taxes.</w:t>
      </w:r>
    </w:p>
    <w:p w:rsidR="00617CB0" w:rsidRPr="00022D33" w:rsidRDefault="00617CB0" w:rsidP="000D7011">
      <w:pPr>
        <w:pStyle w:val="Heading4"/>
        <w:numPr>
          <w:ilvl w:val="0"/>
          <w:numId w:val="29"/>
        </w:numPr>
        <w:rPr>
          <w:rStyle w:val="BodyTextChar"/>
          <w:b w:val="0"/>
          <w:bCs w:val="0"/>
          <w:sz w:val="20"/>
          <w:szCs w:val="20"/>
        </w:rPr>
      </w:pPr>
      <w:r w:rsidRPr="00022D33">
        <w:rPr>
          <w:rStyle w:val="BodyTextChar"/>
          <w:b w:val="0"/>
          <w:bCs w:val="0"/>
          <w:sz w:val="20"/>
          <w:szCs w:val="20"/>
        </w:rPr>
        <w:t>Subsidies and Other Transfer Payments includes Pensioner Concessions for Local Government, Water Rates and Refund of Past Years Revenue.</w:t>
      </w:r>
      <w:r>
        <w:rPr>
          <w:rStyle w:val="BodyTextChar"/>
          <w:b w:val="0"/>
          <w:bCs w:val="0"/>
          <w:sz w:val="20"/>
          <w:szCs w:val="20"/>
        </w:rPr>
        <w:br/>
      </w:r>
    </w:p>
    <w:p w:rsidR="00617CB0" w:rsidRPr="00022D33" w:rsidRDefault="00617CB0" w:rsidP="00617CB0">
      <w:pPr>
        <w:pStyle w:val="Heading3"/>
        <w:rPr>
          <w:b w:val="0"/>
          <w:i/>
          <w:sz w:val="24"/>
          <w:szCs w:val="24"/>
        </w:rPr>
      </w:pPr>
      <w:r w:rsidRPr="00022D33">
        <w:rPr>
          <w:b w:val="0"/>
          <w:i/>
          <w:sz w:val="24"/>
          <w:szCs w:val="24"/>
        </w:rPr>
        <w:t>Major Estimate and Actual (2016) Variance Narratives</w:t>
      </w:r>
    </w:p>
    <w:p w:rsidR="00617CB0" w:rsidRPr="00022D33" w:rsidRDefault="00617CB0" w:rsidP="000E1586">
      <w:pPr>
        <w:pStyle w:val="Heading3"/>
        <w:spacing w:before="141" w:after="0" w:line="240" w:lineRule="auto"/>
        <w:rPr>
          <w:b w:val="0"/>
          <w:sz w:val="24"/>
          <w:szCs w:val="24"/>
        </w:rPr>
      </w:pPr>
      <w:r w:rsidRPr="00022D33">
        <w:rPr>
          <w:b w:val="0"/>
          <w:sz w:val="24"/>
          <w:szCs w:val="24"/>
        </w:rPr>
        <w:t>1) Collections were lower than expected, reflecting softer economic conditions, particularly in the motor vehicle and property markets.</w:t>
      </w:r>
    </w:p>
    <w:p w:rsidR="00617CB0" w:rsidRPr="00022D33" w:rsidRDefault="00617CB0" w:rsidP="000E1586">
      <w:pPr>
        <w:pStyle w:val="Heading3"/>
        <w:spacing w:before="141" w:after="0" w:line="240" w:lineRule="auto"/>
        <w:rPr>
          <w:b w:val="0"/>
          <w:sz w:val="24"/>
          <w:szCs w:val="24"/>
        </w:rPr>
      </w:pPr>
      <w:r w:rsidRPr="00022D33">
        <w:rPr>
          <w:b w:val="0"/>
          <w:sz w:val="24"/>
          <w:szCs w:val="24"/>
        </w:rPr>
        <w:t>2) Revenue did not meet expectations due to weaker than expected employment and wages growth. This was compounded by changing compositional factors in the labour market, such as a shift towards part-time employment, and reduced employment in the mining and related sectors (which are the largest contributors to payroll tax collections).</w:t>
      </w:r>
    </w:p>
    <w:p w:rsidR="00617CB0" w:rsidRPr="00022D33" w:rsidRDefault="00617CB0" w:rsidP="000E1586">
      <w:pPr>
        <w:pStyle w:val="Heading3"/>
        <w:spacing w:before="141" w:after="0" w:line="240" w:lineRule="auto"/>
        <w:rPr>
          <w:b w:val="0"/>
          <w:sz w:val="24"/>
          <w:szCs w:val="24"/>
        </w:rPr>
      </w:pPr>
      <w:r w:rsidRPr="00022D33">
        <w:rPr>
          <w:b w:val="0"/>
          <w:sz w:val="24"/>
          <w:szCs w:val="24"/>
        </w:rPr>
        <w:t>3) Income was lower than anticipated due mainly to a sharper than anticipated decline in residential transaction volumes, and an unexpected decline in the Perth median house price.</w:t>
      </w:r>
    </w:p>
    <w:p w:rsidR="00617CB0" w:rsidRPr="00022D33" w:rsidRDefault="00617CB0" w:rsidP="000E1586">
      <w:pPr>
        <w:pStyle w:val="Heading3"/>
        <w:spacing w:before="141" w:after="0" w:line="240" w:lineRule="auto"/>
        <w:rPr>
          <w:b w:val="0"/>
          <w:sz w:val="24"/>
          <w:szCs w:val="24"/>
        </w:rPr>
      </w:pPr>
      <w:r w:rsidRPr="00022D33">
        <w:rPr>
          <w:b w:val="0"/>
          <w:sz w:val="24"/>
          <w:szCs w:val="24"/>
        </w:rPr>
        <w:t>4) Collections were lower than estimated due to slower than anticipated population growth and a decline in new car sales in 2016.</w:t>
      </w:r>
    </w:p>
    <w:p w:rsidR="00617CB0" w:rsidRPr="00022D33" w:rsidRDefault="00617CB0" w:rsidP="000E1586">
      <w:pPr>
        <w:pStyle w:val="Heading3"/>
        <w:spacing w:before="141" w:after="0" w:line="240" w:lineRule="auto"/>
        <w:rPr>
          <w:b w:val="0"/>
          <w:sz w:val="24"/>
          <w:szCs w:val="24"/>
        </w:rPr>
      </w:pPr>
      <w:r w:rsidRPr="00022D33">
        <w:rPr>
          <w:b w:val="0"/>
          <w:sz w:val="24"/>
          <w:szCs w:val="24"/>
        </w:rPr>
        <w:t>5) This group of income was $290.5 million higher than estimate, mainly due to higher income from landholder duty (up $301 million). This increase reflects higher than expected revenue from a number of unusually large commercial property transactions (large commercial transactions are few in volume and their occurrence is volatile within and between years).</w:t>
      </w:r>
    </w:p>
    <w:p w:rsidR="00617CB0" w:rsidRPr="00022D33" w:rsidRDefault="00617CB0" w:rsidP="000E1586">
      <w:pPr>
        <w:pStyle w:val="Heading3"/>
        <w:spacing w:before="141" w:after="0" w:line="240" w:lineRule="auto"/>
        <w:rPr>
          <w:b w:val="0"/>
          <w:sz w:val="24"/>
          <w:szCs w:val="24"/>
        </w:rPr>
      </w:pPr>
      <w:r w:rsidRPr="00022D33">
        <w:rPr>
          <w:b w:val="0"/>
          <w:sz w:val="24"/>
          <w:szCs w:val="24"/>
        </w:rPr>
        <w:t>6) Administered grants, subsidies and other transfer payments were $54.3 million lower than estimated at the time of the 2015-16 Budget, mainly reflecting lower than expected refunds of past years’ revenue (down $41.2 million) and the transfer of funding for the ICT Renewal and Reform Fund ($5.4 million) to the Office of the Government Chief Information Officer during the year. Lower refunds from past years’ revenue was primarily in the areas of conveyance duty but also payroll tax, land tax, insurance duty and other duties to a lesser extent.</w:t>
      </w:r>
    </w:p>
    <w:p w:rsidR="00617CB0" w:rsidRPr="00022D33" w:rsidRDefault="00617CB0" w:rsidP="000E1586">
      <w:pPr>
        <w:pStyle w:val="Heading3"/>
        <w:spacing w:before="141" w:after="0" w:line="240" w:lineRule="auto"/>
        <w:rPr>
          <w:b w:val="0"/>
          <w:sz w:val="24"/>
          <w:szCs w:val="24"/>
        </w:rPr>
      </w:pPr>
      <w:r w:rsidRPr="00022D33">
        <w:rPr>
          <w:b w:val="0"/>
          <w:sz w:val="24"/>
          <w:szCs w:val="24"/>
        </w:rPr>
        <w:t>7) Other expenses largely relate to taxation revenue collected by the Department and then paid on to the Consolidated Account. The transfer expense to the Consolidated Account (down $507.6 million relative to the Budget) largely reflects the movements in taxation income detailed above.</w:t>
      </w:r>
    </w:p>
    <w:p w:rsidR="00617CB0" w:rsidRPr="00022D33" w:rsidRDefault="00617CB0" w:rsidP="000E1586">
      <w:pPr>
        <w:spacing w:before="141" w:after="0" w:line="240" w:lineRule="auto"/>
        <w:rPr>
          <w:rFonts w:ascii="Arial" w:hAnsi="Arial" w:cs="Arial"/>
          <w:i/>
          <w:sz w:val="24"/>
          <w:szCs w:val="24"/>
        </w:rPr>
      </w:pPr>
      <w:r w:rsidRPr="00022D33">
        <w:rPr>
          <w:rFonts w:ascii="Arial" w:hAnsi="Arial" w:cs="Arial"/>
          <w:i/>
          <w:sz w:val="24"/>
          <w:szCs w:val="24"/>
        </w:rPr>
        <w:t>Major Actual (2016) and Comparative (2015) Variance Narratives</w:t>
      </w:r>
    </w:p>
    <w:p w:rsidR="00617CB0" w:rsidRPr="00022D33" w:rsidRDefault="00617CB0" w:rsidP="000E1586">
      <w:pPr>
        <w:spacing w:before="141" w:after="0" w:line="240" w:lineRule="auto"/>
        <w:rPr>
          <w:rFonts w:ascii="Arial" w:hAnsi="Arial" w:cs="Arial"/>
          <w:sz w:val="24"/>
          <w:szCs w:val="24"/>
        </w:rPr>
      </w:pPr>
      <w:r w:rsidRPr="00022D33">
        <w:rPr>
          <w:rFonts w:ascii="Arial" w:hAnsi="Arial" w:cs="Arial"/>
          <w:sz w:val="24"/>
          <w:szCs w:val="24"/>
        </w:rPr>
        <w:t>A) Land tax collections increased mainly due to an increase in land tax rates announced in the 2015-16 Budget.</w:t>
      </w:r>
    </w:p>
    <w:p w:rsidR="00617CB0" w:rsidRPr="00022D33" w:rsidRDefault="00617CB0" w:rsidP="000E1586">
      <w:pPr>
        <w:spacing w:before="141" w:after="0" w:line="240" w:lineRule="auto"/>
        <w:rPr>
          <w:rFonts w:ascii="Arial" w:hAnsi="Arial" w:cs="Arial"/>
          <w:sz w:val="24"/>
          <w:szCs w:val="24"/>
        </w:rPr>
      </w:pPr>
      <w:r w:rsidRPr="00022D33">
        <w:rPr>
          <w:rFonts w:ascii="Arial" w:hAnsi="Arial" w:cs="Arial"/>
          <w:sz w:val="24"/>
          <w:szCs w:val="24"/>
        </w:rPr>
        <w:t>B) Annual transfer duty collections declined primarily reflecting a softening in residential property transactions and prices on the back of weaker economic conditions during the year.</w:t>
      </w:r>
    </w:p>
    <w:p w:rsidR="00617CB0" w:rsidRPr="00022D33" w:rsidRDefault="00617CB0" w:rsidP="000E1586">
      <w:pPr>
        <w:spacing w:before="141" w:after="0" w:line="240" w:lineRule="auto"/>
        <w:rPr>
          <w:rFonts w:ascii="Arial" w:hAnsi="Arial" w:cs="Arial"/>
          <w:sz w:val="24"/>
          <w:szCs w:val="24"/>
        </w:rPr>
      </w:pPr>
      <w:r w:rsidRPr="00022D33">
        <w:rPr>
          <w:rFonts w:ascii="Arial" w:hAnsi="Arial" w:cs="Arial"/>
          <w:sz w:val="24"/>
          <w:szCs w:val="24"/>
        </w:rPr>
        <w:t>C) Other taxation income was $322 million higher than in 2015, largely due to higher landholder duty collections (up $318 million). This increase primarily reflects a number of unusually large commercial property transactions.</w:t>
      </w:r>
    </w:p>
    <w:p w:rsidR="00617CB0" w:rsidRDefault="00617CB0" w:rsidP="00617CB0">
      <w:pPr>
        <w:pStyle w:val="Heading3"/>
        <w:sectPr w:rsidR="00617CB0" w:rsidSect="005F3639">
          <w:pgSz w:w="11906" w:h="16838" w:code="9"/>
          <w:pgMar w:top="1440" w:right="1440" w:bottom="1276" w:left="1440" w:header="0" w:footer="709" w:gutter="0"/>
          <w:cols w:space="708"/>
          <w:docGrid w:linePitch="360"/>
        </w:sectPr>
      </w:pPr>
    </w:p>
    <w:p w:rsidR="00617CB0" w:rsidRPr="00022D33" w:rsidRDefault="00617CB0" w:rsidP="00617CB0">
      <w:pPr>
        <w:pStyle w:val="Heading3"/>
      </w:pPr>
      <w:r w:rsidRPr="00022D33">
        <w:t>Note 46. Supplementary financial information</w:t>
      </w:r>
    </w:p>
    <w:p w:rsidR="00617CB0" w:rsidRPr="00022D33" w:rsidRDefault="00617CB0" w:rsidP="00617CB0">
      <w:pPr>
        <w:pStyle w:val="Heading4"/>
      </w:pPr>
      <w:r w:rsidRPr="00022D33">
        <w:t>(a) Write-offs</w:t>
      </w:r>
    </w:p>
    <w:p w:rsidR="00617CB0" w:rsidRPr="00022D33" w:rsidRDefault="00617CB0" w:rsidP="00617CB0">
      <w:pPr>
        <w:pStyle w:val="BodyText"/>
      </w:pPr>
      <w:r w:rsidRPr="00022D33">
        <w:t>During the financial year $25.058 million was written off by the Department under the authority of:</w:t>
      </w:r>
      <w:r>
        <w:br/>
      </w:r>
    </w:p>
    <w:p w:rsidR="00617CB0" w:rsidRPr="00022D33" w:rsidRDefault="00196F4C" w:rsidP="00617CB0">
      <w:pPr>
        <w:pStyle w:val="Caption"/>
        <w:keepNext/>
        <w:spacing w:after="60"/>
      </w:pPr>
      <w:fldSimple w:instr=" SEQ Table \* ARABIC ">
        <w:r w:rsidR="00D8778B">
          <w:rPr>
            <w:noProof/>
          </w:rPr>
          <w:t>69</w:t>
        </w:r>
      </w:fldSimple>
      <w:r w:rsidR="00617CB0" w:rsidRPr="00022D33">
        <w:t xml:space="preserve"> Write-offs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The accountable authority</w:t>
            </w:r>
          </w:p>
        </w:tc>
        <w:tc>
          <w:tcPr>
            <w:tcW w:w="1474" w:type="dxa"/>
            <w:tcBorders>
              <w:top w:val="nil"/>
              <w:left w:val="nil"/>
              <w:bottom w:val="nil"/>
              <w:right w:val="nil"/>
            </w:tcBorders>
          </w:tcPr>
          <w:p w:rsidR="00617CB0" w:rsidRPr="00022D33" w:rsidRDefault="00617CB0" w:rsidP="000D7011">
            <w:pPr>
              <w:pStyle w:val="Tabletext"/>
              <w:jc w:val="right"/>
            </w:pPr>
            <w:r w:rsidRPr="00022D33">
              <w:t>8,460</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4,821</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The Minister</w:t>
            </w:r>
          </w:p>
        </w:tc>
        <w:tc>
          <w:tcPr>
            <w:tcW w:w="1474" w:type="dxa"/>
            <w:tcBorders>
              <w:top w:val="nil"/>
              <w:left w:val="nil"/>
              <w:bottom w:val="nil"/>
              <w:right w:val="nil"/>
            </w:tcBorders>
          </w:tcPr>
          <w:p w:rsidR="00617CB0" w:rsidRPr="00022D33" w:rsidRDefault="00617CB0" w:rsidP="000D7011">
            <w:pPr>
              <w:pStyle w:val="Tabletext"/>
              <w:jc w:val="right"/>
            </w:pPr>
            <w:r w:rsidRPr="00022D33">
              <w:t>4,687</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3,212</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Executive Council</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11,911</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3,593</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single" w:sz="4" w:space="0" w:color="auto"/>
              <w:left w:val="nil"/>
              <w:bottom w:val="double" w:sz="4" w:space="0" w:color="auto"/>
              <w:right w:val="nil"/>
            </w:tcBorders>
          </w:tcPr>
          <w:p w:rsidR="00617CB0" w:rsidRPr="00022D33" w:rsidRDefault="00617CB0" w:rsidP="000D7011">
            <w:pPr>
              <w:pStyle w:val="Tableboldedtext"/>
              <w:jc w:val="right"/>
            </w:pPr>
            <w:r w:rsidRPr="00022D33">
              <w:t>25,058</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11,626</w:t>
            </w:r>
          </w:p>
        </w:tc>
      </w:tr>
    </w:tbl>
    <w:p w:rsidR="00617CB0" w:rsidRPr="00022D33" w:rsidRDefault="00617CB0" w:rsidP="00617CB0">
      <w:pPr>
        <w:pStyle w:val="Heading4"/>
      </w:pPr>
      <w:r w:rsidRPr="00022D33">
        <w:t>(b) Write-offs by category</w:t>
      </w:r>
    </w:p>
    <w:p w:rsidR="00617CB0" w:rsidRPr="00022D33" w:rsidRDefault="00196F4C" w:rsidP="00617CB0">
      <w:pPr>
        <w:pStyle w:val="Caption"/>
        <w:keepNext/>
        <w:spacing w:after="60"/>
      </w:pPr>
      <w:fldSimple w:instr=" SEQ Table \* ARABIC ">
        <w:r w:rsidR="00D8778B">
          <w:rPr>
            <w:noProof/>
          </w:rPr>
          <w:t>70</w:t>
        </w:r>
      </w:fldSimple>
      <w:r w:rsidR="00617CB0" w:rsidRPr="00022D33">
        <w:t xml:space="preserve"> Write-offs by category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Public assets</w:t>
            </w:r>
          </w:p>
        </w:tc>
        <w:tc>
          <w:tcPr>
            <w:tcW w:w="1474" w:type="dxa"/>
            <w:tcBorders>
              <w:top w:val="nil"/>
              <w:left w:val="nil"/>
              <w:bottom w:val="nil"/>
              <w:right w:val="nil"/>
            </w:tcBorders>
          </w:tcPr>
          <w:p w:rsidR="00617CB0" w:rsidRPr="00022D33" w:rsidRDefault="00617CB0" w:rsidP="000D7011">
            <w:pPr>
              <w:pStyle w:val="Tabletext"/>
              <w:jc w:val="right"/>
            </w:pPr>
            <w:r w:rsidRPr="00022D33">
              <w:t>1,465</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1,072</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Debts due to the State</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23,593</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10,554</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single" w:sz="4" w:space="0" w:color="auto"/>
              <w:left w:val="nil"/>
              <w:bottom w:val="double" w:sz="4" w:space="0" w:color="auto"/>
              <w:right w:val="nil"/>
            </w:tcBorders>
          </w:tcPr>
          <w:p w:rsidR="00617CB0" w:rsidRPr="00022D33" w:rsidRDefault="00617CB0" w:rsidP="000D7011">
            <w:pPr>
              <w:pStyle w:val="Tableboldedtext"/>
              <w:jc w:val="right"/>
            </w:pPr>
            <w:r w:rsidRPr="00022D33">
              <w:t>25,058</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11,626</w:t>
            </w:r>
          </w:p>
        </w:tc>
      </w:tr>
    </w:tbl>
    <w:p w:rsidR="00617CB0" w:rsidRPr="00022D33" w:rsidRDefault="00617CB0" w:rsidP="00617CB0">
      <w:pPr>
        <w:pStyle w:val="Heading4"/>
      </w:pPr>
      <w:r w:rsidRPr="00022D33">
        <w:t xml:space="preserve">(c) Act of </w:t>
      </w:r>
      <w:r w:rsidRPr="00022D33">
        <w:rPr>
          <w:spacing w:val="-2"/>
        </w:rPr>
        <w:t>grace</w:t>
      </w:r>
      <w:r w:rsidRPr="00022D33">
        <w:t xml:space="preserve"> payments</w:t>
      </w:r>
    </w:p>
    <w:p w:rsidR="00617CB0" w:rsidRPr="00022D33" w:rsidRDefault="00196F4C" w:rsidP="00617CB0">
      <w:pPr>
        <w:pStyle w:val="Caption"/>
        <w:keepNext/>
        <w:spacing w:after="60"/>
      </w:pPr>
      <w:fldSimple w:instr=" SEQ Table \* ARABIC ">
        <w:r w:rsidR="00D8778B">
          <w:rPr>
            <w:noProof/>
          </w:rPr>
          <w:t>71</w:t>
        </w:r>
      </w:fldSimple>
      <w:r w:rsidR="00617CB0" w:rsidRPr="00022D33">
        <w:t xml:space="preserve"> Act of grace payments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Act of grace payments</w:t>
            </w:r>
          </w:p>
        </w:tc>
        <w:tc>
          <w:tcPr>
            <w:tcW w:w="1474" w:type="dxa"/>
            <w:tcBorders>
              <w:top w:val="nil"/>
              <w:left w:val="nil"/>
              <w:bottom w:val="nil"/>
              <w:right w:val="nil"/>
            </w:tcBorders>
          </w:tcPr>
          <w:p w:rsidR="00617CB0" w:rsidRPr="00022D33" w:rsidRDefault="00617CB0" w:rsidP="000D7011">
            <w:pPr>
              <w:pStyle w:val="Tabletext"/>
              <w:jc w:val="right"/>
            </w:pPr>
            <w:r w:rsidRPr="00022D33">
              <w:t>10</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single" w:sz="4" w:space="0" w:color="auto"/>
              <w:left w:val="nil"/>
              <w:bottom w:val="double" w:sz="4" w:space="0" w:color="auto"/>
              <w:right w:val="nil"/>
            </w:tcBorders>
          </w:tcPr>
          <w:p w:rsidR="00617CB0" w:rsidRPr="00022D33" w:rsidRDefault="00617CB0" w:rsidP="000D7011">
            <w:pPr>
              <w:pStyle w:val="Tableboldedtext"/>
              <w:jc w:val="right"/>
            </w:pPr>
            <w:r w:rsidRPr="00022D33">
              <w:t>10</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w:t>
            </w:r>
          </w:p>
        </w:tc>
      </w:tr>
    </w:tbl>
    <w:p w:rsidR="00617CB0" w:rsidRPr="00022D33" w:rsidRDefault="00617CB0" w:rsidP="00617CB0">
      <w:pPr>
        <w:pStyle w:val="Heading3"/>
        <w:sectPr w:rsidR="00617CB0" w:rsidRPr="00022D33" w:rsidSect="005F3639">
          <w:pgSz w:w="11906" w:h="16838" w:code="9"/>
          <w:pgMar w:top="1440" w:right="1440" w:bottom="1276" w:left="1440" w:header="0" w:footer="709" w:gutter="0"/>
          <w:cols w:space="708"/>
          <w:docGrid w:linePitch="360"/>
        </w:sectPr>
      </w:pPr>
    </w:p>
    <w:p w:rsidR="00617CB0" w:rsidRPr="00022D33" w:rsidRDefault="00617CB0" w:rsidP="00617CB0">
      <w:pPr>
        <w:pStyle w:val="Heading3"/>
      </w:pPr>
      <w:r w:rsidRPr="00022D33">
        <w:t>Note 47. Service delivery arrangements Indian Ocean Territories</w:t>
      </w:r>
    </w:p>
    <w:p w:rsidR="00617CB0" w:rsidRPr="00022D33" w:rsidRDefault="00196F4C" w:rsidP="00617CB0">
      <w:pPr>
        <w:pStyle w:val="Caption"/>
        <w:keepNext/>
        <w:spacing w:after="60"/>
      </w:pPr>
      <w:fldSimple w:instr=" SEQ Table \* ARABIC ">
        <w:r w:rsidR="00D8778B">
          <w:rPr>
            <w:noProof/>
          </w:rPr>
          <w:t>72</w:t>
        </w:r>
      </w:fldSimple>
      <w:r w:rsidR="00617CB0" w:rsidRPr="00022D33">
        <w:t xml:space="preserve"> Service delivery arrangements Indian Ocean Territories</w:t>
      </w:r>
    </w:p>
    <w:tbl>
      <w:tblPr>
        <w:tblW w:w="0" w:type="auto"/>
        <w:tblLook w:val="04A0" w:firstRow="1" w:lastRow="0" w:firstColumn="1" w:lastColumn="0" w:noHBand="0" w:noVBand="1"/>
      </w:tblPr>
      <w:tblGrid>
        <w:gridCol w:w="5629"/>
        <w:gridCol w:w="1474"/>
        <w:gridCol w:w="1474"/>
      </w:tblGrid>
      <w:tr w:rsidR="00617CB0" w:rsidRPr="00022D33" w:rsidTr="000D7011">
        <w:tc>
          <w:tcPr>
            <w:tcW w:w="5629" w:type="dxa"/>
            <w:shd w:val="clear" w:color="auto" w:fill="auto"/>
          </w:tcPr>
          <w:p w:rsidR="00617CB0" w:rsidRPr="00022D33" w:rsidRDefault="00617CB0" w:rsidP="000D7011">
            <w:pPr>
              <w:pStyle w:val="Tabletext"/>
            </w:pPr>
          </w:p>
        </w:tc>
        <w:tc>
          <w:tcPr>
            <w:tcW w:w="1474" w:type="dxa"/>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shd w:val="clear" w:color="auto" w:fill="auto"/>
          </w:tcPr>
          <w:p w:rsidR="00617CB0" w:rsidRPr="00022D33" w:rsidRDefault="00617CB0" w:rsidP="000D7011">
            <w:pPr>
              <w:pStyle w:val="Tabletext"/>
              <w:rPr>
                <w:b/>
              </w:rPr>
            </w:pPr>
            <w:r w:rsidRPr="00022D33">
              <w:rPr>
                <w:b/>
              </w:rPr>
              <w:t>Revenue</w:t>
            </w:r>
          </w:p>
        </w:tc>
        <w:tc>
          <w:tcPr>
            <w:tcW w:w="1474" w:type="dxa"/>
          </w:tcPr>
          <w:p w:rsidR="00617CB0" w:rsidRPr="00022D33" w:rsidRDefault="00617CB0" w:rsidP="000D7011">
            <w:pPr>
              <w:pStyle w:val="Tabletext"/>
              <w:jc w:val="right"/>
            </w:pPr>
          </w:p>
        </w:tc>
        <w:tc>
          <w:tcPr>
            <w:tcW w:w="1474" w:type="dxa"/>
            <w:shd w:val="clear" w:color="auto" w:fill="auto"/>
          </w:tcPr>
          <w:p w:rsidR="00617CB0" w:rsidRPr="00022D33" w:rsidRDefault="00617CB0" w:rsidP="000D7011">
            <w:pPr>
              <w:pStyle w:val="Tabletext"/>
              <w:jc w:val="right"/>
            </w:pPr>
          </w:p>
        </w:tc>
      </w:tr>
      <w:tr w:rsidR="00617CB0" w:rsidRPr="00022D33" w:rsidTr="000D7011">
        <w:tc>
          <w:tcPr>
            <w:tcW w:w="5629" w:type="dxa"/>
            <w:shd w:val="clear" w:color="auto" w:fill="auto"/>
          </w:tcPr>
          <w:p w:rsidR="00617CB0" w:rsidRPr="00022D33" w:rsidRDefault="00617CB0" w:rsidP="000D7011">
            <w:pPr>
              <w:pStyle w:val="Tabletext"/>
            </w:pPr>
            <w:r w:rsidRPr="00022D33">
              <w:t>Commonwealth receipts</w:t>
            </w:r>
          </w:p>
        </w:tc>
        <w:tc>
          <w:tcPr>
            <w:tcW w:w="1474" w:type="dxa"/>
            <w:tcBorders>
              <w:bottom w:val="single" w:sz="4" w:space="0" w:color="auto"/>
            </w:tcBorders>
          </w:tcPr>
          <w:p w:rsidR="00617CB0" w:rsidRPr="00022D33" w:rsidRDefault="00617CB0" w:rsidP="000D7011">
            <w:pPr>
              <w:pStyle w:val="Tabletext"/>
              <w:jc w:val="right"/>
            </w:pPr>
            <w:r w:rsidRPr="00022D33">
              <w:t>1,665</w:t>
            </w:r>
          </w:p>
        </w:tc>
        <w:tc>
          <w:tcPr>
            <w:tcW w:w="1474" w:type="dxa"/>
            <w:tcBorders>
              <w:bottom w:val="single" w:sz="4" w:space="0" w:color="auto"/>
            </w:tcBorders>
            <w:shd w:val="clear" w:color="auto" w:fill="auto"/>
          </w:tcPr>
          <w:p w:rsidR="00617CB0" w:rsidRPr="00022D33" w:rsidRDefault="00617CB0" w:rsidP="000D7011">
            <w:pPr>
              <w:pStyle w:val="Tabletext"/>
              <w:jc w:val="right"/>
            </w:pPr>
            <w:r w:rsidRPr="00022D33">
              <w:t>1,356</w:t>
            </w:r>
          </w:p>
        </w:tc>
      </w:tr>
      <w:tr w:rsidR="00617CB0" w:rsidRPr="00022D33" w:rsidTr="000D7011">
        <w:tc>
          <w:tcPr>
            <w:tcW w:w="5629" w:type="dxa"/>
            <w:shd w:val="clear" w:color="auto" w:fill="auto"/>
          </w:tcPr>
          <w:p w:rsidR="00617CB0" w:rsidRPr="00022D33" w:rsidRDefault="00617CB0" w:rsidP="000D7011">
            <w:pPr>
              <w:pStyle w:val="Tableitalics"/>
              <w:rPr>
                <w:b/>
                <w:i w:val="0"/>
              </w:rPr>
            </w:pPr>
          </w:p>
        </w:tc>
        <w:tc>
          <w:tcPr>
            <w:tcW w:w="1474" w:type="dxa"/>
            <w:tcBorders>
              <w:top w:val="single" w:sz="4" w:space="0" w:color="auto"/>
              <w:bottom w:val="single" w:sz="4" w:space="0" w:color="auto"/>
            </w:tcBorders>
          </w:tcPr>
          <w:p w:rsidR="00617CB0" w:rsidRPr="00022D33" w:rsidRDefault="00617CB0" w:rsidP="000D7011">
            <w:pPr>
              <w:pStyle w:val="Tabletext"/>
              <w:jc w:val="right"/>
              <w:rPr>
                <w:b/>
              </w:rPr>
            </w:pPr>
            <w:r w:rsidRPr="00022D33">
              <w:rPr>
                <w:b/>
              </w:rPr>
              <w:t>1,665</w:t>
            </w:r>
          </w:p>
        </w:tc>
        <w:tc>
          <w:tcPr>
            <w:tcW w:w="1474"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1,356</w:t>
            </w:r>
          </w:p>
        </w:tc>
      </w:tr>
      <w:tr w:rsidR="00617CB0" w:rsidRPr="00022D33" w:rsidTr="000D7011">
        <w:tc>
          <w:tcPr>
            <w:tcW w:w="5629" w:type="dxa"/>
            <w:shd w:val="clear" w:color="auto" w:fill="auto"/>
          </w:tcPr>
          <w:p w:rsidR="00617CB0" w:rsidRPr="00022D33" w:rsidRDefault="00617CB0" w:rsidP="000D7011">
            <w:pPr>
              <w:pStyle w:val="Tableitalics"/>
              <w:rPr>
                <w:b/>
                <w:i w:val="0"/>
              </w:rPr>
            </w:pPr>
            <w:r w:rsidRPr="00022D33">
              <w:rPr>
                <w:b/>
                <w:i w:val="0"/>
              </w:rPr>
              <w:t>Expenditure</w:t>
            </w:r>
          </w:p>
        </w:tc>
        <w:tc>
          <w:tcPr>
            <w:tcW w:w="1474" w:type="dxa"/>
            <w:tcBorders>
              <w:top w:val="single" w:sz="4" w:space="0" w:color="auto"/>
            </w:tcBorders>
          </w:tcPr>
          <w:p w:rsidR="00617CB0" w:rsidRPr="00022D33" w:rsidRDefault="00617CB0" w:rsidP="000D7011">
            <w:pPr>
              <w:pStyle w:val="Tableboldedtext"/>
              <w:jc w:val="right"/>
            </w:pPr>
          </w:p>
        </w:tc>
        <w:tc>
          <w:tcPr>
            <w:tcW w:w="1474" w:type="dxa"/>
            <w:tcBorders>
              <w:top w:val="single" w:sz="4" w:space="0" w:color="auto"/>
            </w:tcBorders>
            <w:shd w:val="clear" w:color="auto" w:fill="auto"/>
          </w:tcPr>
          <w:p w:rsidR="00617CB0" w:rsidRPr="00022D33" w:rsidRDefault="00617CB0" w:rsidP="000D7011">
            <w:pPr>
              <w:pStyle w:val="Tableboldedtext"/>
              <w:jc w:val="right"/>
            </w:pPr>
          </w:p>
        </w:tc>
      </w:tr>
      <w:tr w:rsidR="00617CB0" w:rsidRPr="00022D33" w:rsidTr="000D7011">
        <w:tc>
          <w:tcPr>
            <w:tcW w:w="5629" w:type="dxa"/>
            <w:shd w:val="clear" w:color="auto" w:fill="auto"/>
          </w:tcPr>
          <w:p w:rsidR="00617CB0" w:rsidRPr="00022D33" w:rsidRDefault="00617CB0" w:rsidP="000D7011">
            <w:pPr>
              <w:pStyle w:val="Tabletext"/>
            </w:pPr>
            <w:r w:rsidRPr="00022D33">
              <w:t>Consultants and contractors</w:t>
            </w:r>
          </w:p>
        </w:tc>
        <w:tc>
          <w:tcPr>
            <w:tcW w:w="1474" w:type="dxa"/>
          </w:tcPr>
          <w:p w:rsidR="00617CB0" w:rsidRPr="00022D33" w:rsidRDefault="00617CB0" w:rsidP="000D7011">
            <w:pPr>
              <w:pStyle w:val="Tabletext"/>
              <w:jc w:val="right"/>
            </w:pPr>
            <w:r w:rsidRPr="00022D33">
              <w:t>969</w:t>
            </w:r>
          </w:p>
        </w:tc>
        <w:tc>
          <w:tcPr>
            <w:tcW w:w="1474" w:type="dxa"/>
            <w:shd w:val="clear" w:color="auto" w:fill="auto"/>
          </w:tcPr>
          <w:p w:rsidR="00617CB0" w:rsidRPr="00022D33" w:rsidRDefault="00617CB0" w:rsidP="000D7011">
            <w:pPr>
              <w:pStyle w:val="Tabletext"/>
              <w:jc w:val="right"/>
            </w:pPr>
            <w:r w:rsidRPr="00022D33">
              <w:t>969</w:t>
            </w:r>
          </w:p>
        </w:tc>
      </w:tr>
      <w:tr w:rsidR="00617CB0" w:rsidRPr="00022D33" w:rsidTr="000D7011">
        <w:tc>
          <w:tcPr>
            <w:tcW w:w="5629" w:type="dxa"/>
            <w:shd w:val="clear" w:color="auto" w:fill="auto"/>
          </w:tcPr>
          <w:p w:rsidR="00617CB0" w:rsidRPr="00022D33" w:rsidRDefault="00617CB0" w:rsidP="000D7011">
            <w:pPr>
              <w:pStyle w:val="Tabletext"/>
            </w:pPr>
            <w:r w:rsidRPr="00022D33">
              <w:t>Administration and other costs</w:t>
            </w:r>
          </w:p>
        </w:tc>
        <w:tc>
          <w:tcPr>
            <w:tcW w:w="1474" w:type="dxa"/>
          </w:tcPr>
          <w:p w:rsidR="00617CB0" w:rsidRPr="00022D33" w:rsidRDefault="00617CB0" w:rsidP="000D7011">
            <w:pPr>
              <w:pStyle w:val="Tabletext"/>
              <w:jc w:val="right"/>
            </w:pPr>
            <w:r w:rsidRPr="00022D33">
              <w:t>945</w:t>
            </w:r>
          </w:p>
        </w:tc>
        <w:tc>
          <w:tcPr>
            <w:tcW w:w="1474" w:type="dxa"/>
            <w:shd w:val="clear" w:color="auto" w:fill="auto"/>
          </w:tcPr>
          <w:p w:rsidR="00617CB0" w:rsidRPr="00022D33" w:rsidRDefault="00617CB0" w:rsidP="000D7011">
            <w:pPr>
              <w:pStyle w:val="Tabletext"/>
              <w:jc w:val="right"/>
            </w:pPr>
            <w:r w:rsidRPr="00022D33">
              <w:t>202</w:t>
            </w:r>
          </w:p>
        </w:tc>
      </w:tr>
      <w:tr w:rsidR="00617CB0" w:rsidRPr="00022D33" w:rsidTr="000D7011">
        <w:tc>
          <w:tcPr>
            <w:tcW w:w="5629" w:type="dxa"/>
            <w:shd w:val="clear" w:color="auto" w:fill="auto"/>
          </w:tcPr>
          <w:p w:rsidR="00617CB0" w:rsidRPr="00022D33" w:rsidRDefault="00617CB0" w:rsidP="000D7011">
            <w:pPr>
              <w:pStyle w:val="Tabletext"/>
            </w:pPr>
            <w:r w:rsidRPr="00022D33">
              <w:t>Payroll Tax and business franchise</w:t>
            </w:r>
          </w:p>
        </w:tc>
        <w:tc>
          <w:tcPr>
            <w:tcW w:w="1474" w:type="dxa"/>
          </w:tcPr>
          <w:p w:rsidR="00617CB0" w:rsidRPr="00022D33" w:rsidRDefault="00617CB0" w:rsidP="000D7011">
            <w:pPr>
              <w:pStyle w:val="Tabletext"/>
              <w:jc w:val="right"/>
            </w:pPr>
            <w:r w:rsidRPr="00022D33">
              <w:t>34</w:t>
            </w:r>
          </w:p>
        </w:tc>
        <w:tc>
          <w:tcPr>
            <w:tcW w:w="1474" w:type="dxa"/>
            <w:shd w:val="clear" w:color="auto" w:fill="auto"/>
          </w:tcPr>
          <w:p w:rsidR="00617CB0" w:rsidRPr="00022D33" w:rsidRDefault="00617CB0" w:rsidP="000D7011">
            <w:pPr>
              <w:pStyle w:val="Tabletext"/>
              <w:jc w:val="right"/>
            </w:pPr>
            <w:r w:rsidRPr="00022D33">
              <w:t>21</w:t>
            </w:r>
          </w:p>
        </w:tc>
      </w:tr>
      <w:tr w:rsidR="00617CB0" w:rsidRPr="00022D33" w:rsidTr="000D7011">
        <w:tc>
          <w:tcPr>
            <w:tcW w:w="5629" w:type="dxa"/>
            <w:shd w:val="clear" w:color="auto" w:fill="auto"/>
          </w:tcPr>
          <w:p w:rsidR="00617CB0" w:rsidRPr="00022D33" w:rsidRDefault="00617CB0" w:rsidP="000D7011">
            <w:pPr>
              <w:pStyle w:val="Tabletext"/>
            </w:pPr>
            <w:r w:rsidRPr="00022D33">
              <w:t xml:space="preserve">Duties </w:t>
            </w:r>
          </w:p>
        </w:tc>
        <w:tc>
          <w:tcPr>
            <w:tcW w:w="1474" w:type="dxa"/>
          </w:tcPr>
          <w:p w:rsidR="00617CB0" w:rsidRPr="00022D33" w:rsidRDefault="00617CB0" w:rsidP="000D7011">
            <w:pPr>
              <w:pStyle w:val="Tabletext"/>
              <w:jc w:val="right"/>
            </w:pPr>
            <w:r w:rsidRPr="00022D33">
              <w:t>1</w:t>
            </w:r>
          </w:p>
        </w:tc>
        <w:tc>
          <w:tcPr>
            <w:tcW w:w="1474" w:type="dxa"/>
            <w:shd w:val="clear" w:color="auto" w:fill="auto"/>
          </w:tcPr>
          <w:p w:rsidR="00617CB0" w:rsidRPr="00022D33" w:rsidRDefault="00617CB0" w:rsidP="000D7011">
            <w:pPr>
              <w:pStyle w:val="Tabletext"/>
              <w:jc w:val="right"/>
            </w:pPr>
            <w:r w:rsidRPr="00022D33">
              <w:t>1</w:t>
            </w:r>
          </w:p>
        </w:tc>
      </w:tr>
      <w:tr w:rsidR="00617CB0" w:rsidRPr="00022D33" w:rsidTr="000D7011">
        <w:tc>
          <w:tcPr>
            <w:tcW w:w="5629" w:type="dxa"/>
            <w:shd w:val="clear" w:color="auto" w:fill="auto"/>
          </w:tcPr>
          <w:p w:rsidR="00617CB0" w:rsidRPr="00022D33" w:rsidRDefault="00617CB0" w:rsidP="000D7011">
            <w:pPr>
              <w:pStyle w:val="Tabletext"/>
            </w:pPr>
            <w:r w:rsidRPr="00022D33">
              <w:t>Land Tax</w:t>
            </w:r>
          </w:p>
        </w:tc>
        <w:tc>
          <w:tcPr>
            <w:tcW w:w="1474" w:type="dxa"/>
          </w:tcPr>
          <w:p w:rsidR="00617CB0" w:rsidRPr="00022D33" w:rsidRDefault="00617CB0" w:rsidP="000D7011">
            <w:pPr>
              <w:pStyle w:val="Tabletext"/>
              <w:jc w:val="right"/>
            </w:pPr>
            <w:r w:rsidRPr="00022D33">
              <w:t>3</w:t>
            </w:r>
          </w:p>
        </w:tc>
        <w:tc>
          <w:tcPr>
            <w:tcW w:w="1474" w:type="dxa"/>
            <w:shd w:val="clear" w:color="auto" w:fill="auto"/>
          </w:tcPr>
          <w:p w:rsidR="00617CB0" w:rsidRPr="00022D33" w:rsidRDefault="00617CB0" w:rsidP="000D7011">
            <w:pPr>
              <w:pStyle w:val="Tabletext"/>
              <w:jc w:val="right"/>
            </w:pPr>
            <w:r w:rsidRPr="00022D33">
              <w:t>1</w:t>
            </w:r>
          </w:p>
        </w:tc>
      </w:tr>
      <w:tr w:rsidR="00617CB0" w:rsidRPr="00022D33" w:rsidTr="000D7011">
        <w:tc>
          <w:tcPr>
            <w:tcW w:w="5629" w:type="dxa"/>
            <w:shd w:val="clear" w:color="auto" w:fill="auto"/>
          </w:tcPr>
          <w:p w:rsidR="00617CB0" w:rsidRPr="00022D33" w:rsidRDefault="00617CB0" w:rsidP="000D7011">
            <w:pPr>
              <w:pStyle w:val="Tabletext"/>
            </w:pPr>
            <w:r w:rsidRPr="00022D33">
              <w:t>Compliance</w:t>
            </w:r>
          </w:p>
        </w:tc>
        <w:tc>
          <w:tcPr>
            <w:tcW w:w="1474" w:type="dxa"/>
            <w:tcBorders>
              <w:bottom w:val="single" w:sz="4" w:space="0" w:color="auto"/>
            </w:tcBorders>
          </w:tcPr>
          <w:p w:rsidR="00617CB0" w:rsidRPr="00022D33" w:rsidRDefault="00617CB0" w:rsidP="000D7011">
            <w:pPr>
              <w:pStyle w:val="Tabletext"/>
              <w:jc w:val="right"/>
            </w:pPr>
            <w:r w:rsidRPr="00022D33">
              <w:t>47</w:t>
            </w:r>
          </w:p>
        </w:tc>
        <w:tc>
          <w:tcPr>
            <w:tcW w:w="1474" w:type="dxa"/>
            <w:shd w:val="clear" w:color="auto" w:fill="auto"/>
          </w:tcPr>
          <w:p w:rsidR="00617CB0" w:rsidRPr="00022D33" w:rsidRDefault="00617CB0" w:rsidP="000D7011">
            <w:pPr>
              <w:pStyle w:val="Tabletext"/>
              <w:jc w:val="right"/>
            </w:pPr>
            <w:r w:rsidRPr="00022D33">
              <w:t>5</w:t>
            </w:r>
          </w:p>
        </w:tc>
      </w:tr>
      <w:tr w:rsidR="00617CB0" w:rsidRPr="00022D33" w:rsidTr="000D7011">
        <w:tc>
          <w:tcPr>
            <w:tcW w:w="5629" w:type="dxa"/>
            <w:shd w:val="clear" w:color="auto" w:fill="auto"/>
          </w:tcPr>
          <w:p w:rsidR="00617CB0" w:rsidRPr="00022D33" w:rsidRDefault="00617CB0" w:rsidP="000D7011">
            <w:pPr>
              <w:pStyle w:val="Tabletext"/>
            </w:pPr>
          </w:p>
        </w:tc>
        <w:tc>
          <w:tcPr>
            <w:tcW w:w="1474" w:type="dxa"/>
            <w:tcBorders>
              <w:top w:val="single" w:sz="4" w:space="0" w:color="auto"/>
              <w:bottom w:val="single" w:sz="4" w:space="0" w:color="auto"/>
            </w:tcBorders>
          </w:tcPr>
          <w:p w:rsidR="00617CB0" w:rsidRPr="00022D33" w:rsidRDefault="00617CB0" w:rsidP="000D7011">
            <w:pPr>
              <w:pStyle w:val="Tabletext"/>
              <w:jc w:val="right"/>
              <w:rPr>
                <w:b/>
              </w:rPr>
            </w:pPr>
            <w:r w:rsidRPr="00022D33">
              <w:rPr>
                <w:b/>
              </w:rPr>
              <w:t>1,999</w:t>
            </w:r>
          </w:p>
        </w:tc>
        <w:tc>
          <w:tcPr>
            <w:tcW w:w="1474" w:type="dxa"/>
            <w:tcBorders>
              <w:top w:val="single" w:sz="4" w:space="0" w:color="auto"/>
              <w:bottom w:val="single" w:sz="4" w:space="0" w:color="auto"/>
            </w:tcBorders>
            <w:shd w:val="clear" w:color="auto" w:fill="auto"/>
          </w:tcPr>
          <w:p w:rsidR="00617CB0" w:rsidRPr="00022D33" w:rsidRDefault="00617CB0" w:rsidP="000D7011">
            <w:pPr>
              <w:pStyle w:val="Tabletext"/>
              <w:jc w:val="right"/>
              <w:rPr>
                <w:b/>
              </w:rPr>
            </w:pPr>
            <w:r w:rsidRPr="00022D33">
              <w:rPr>
                <w:b/>
              </w:rPr>
              <w:t>1,199</w:t>
            </w:r>
          </w:p>
        </w:tc>
      </w:tr>
      <w:tr w:rsidR="00617CB0" w:rsidRPr="00022D33" w:rsidTr="000D7011">
        <w:tc>
          <w:tcPr>
            <w:tcW w:w="5629" w:type="dxa"/>
            <w:shd w:val="clear" w:color="auto" w:fill="auto"/>
          </w:tcPr>
          <w:p w:rsidR="00617CB0" w:rsidRPr="00022D33" w:rsidRDefault="00617CB0" w:rsidP="000D7011">
            <w:pPr>
              <w:pStyle w:val="Tabletext"/>
            </w:pPr>
            <w:r w:rsidRPr="00022D33">
              <w:t>Surplus/(deficit)</w:t>
            </w:r>
            <w:r w:rsidRPr="00022D33">
              <w:rPr>
                <w:spacing w:val="-6"/>
              </w:rPr>
              <w:t xml:space="preserve"> </w:t>
            </w:r>
            <w:r w:rsidRPr="00022D33">
              <w:t>for</w:t>
            </w:r>
            <w:r w:rsidRPr="00022D33">
              <w:rPr>
                <w:spacing w:val="-5"/>
              </w:rPr>
              <w:t xml:space="preserve"> </w:t>
            </w:r>
            <w:r w:rsidRPr="00022D33">
              <w:t>the</w:t>
            </w:r>
            <w:r w:rsidRPr="00022D33">
              <w:rPr>
                <w:spacing w:val="20"/>
              </w:rPr>
              <w:t xml:space="preserve"> </w:t>
            </w:r>
            <w:r w:rsidRPr="00022D33">
              <w:t>period</w:t>
            </w:r>
          </w:p>
        </w:tc>
        <w:tc>
          <w:tcPr>
            <w:tcW w:w="1474" w:type="dxa"/>
            <w:tcBorders>
              <w:top w:val="single" w:sz="4" w:space="0" w:color="auto"/>
            </w:tcBorders>
          </w:tcPr>
          <w:p w:rsidR="00617CB0" w:rsidRPr="00022D33" w:rsidRDefault="00617CB0" w:rsidP="000D7011">
            <w:pPr>
              <w:pStyle w:val="Tableboldedtext"/>
              <w:jc w:val="right"/>
            </w:pPr>
            <w:r w:rsidRPr="00022D33">
              <w:t>(334)</w:t>
            </w:r>
          </w:p>
        </w:tc>
        <w:tc>
          <w:tcPr>
            <w:tcW w:w="1474" w:type="dxa"/>
            <w:tcBorders>
              <w:top w:val="single" w:sz="4" w:space="0" w:color="auto"/>
            </w:tcBorders>
            <w:shd w:val="clear" w:color="auto" w:fill="auto"/>
          </w:tcPr>
          <w:p w:rsidR="00617CB0" w:rsidRPr="00022D33" w:rsidRDefault="00617CB0" w:rsidP="000D7011">
            <w:pPr>
              <w:pStyle w:val="Tableboldedtext"/>
              <w:jc w:val="right"/>
            </w:pPr>
            <w:r w:rsidRPr="00022D33">
              <w:t>157</w:t>
            </w:r>
          </w:p>
        </w:tc>
      </w:tr>
      <w:tr w:rsidR="00617CB0" w:rsidRPr="00022D33" w:rsidTr="000D7011">
        <w:tc>
          <w:tcPr>
            <w:tcW w:w="5629" w:type="dxa"/>
            <w:shd w:val="clear" w:color="auto" w:fill="auto"/>
          </w:tcPr>
          <w:p w:rsidR="00617CB0" w:rsidRPr="00022D33" w:rsidRDefault="00617CB0" w:rsidP="000D7011">
            <w:pPr>
              <w:pStyle w:val="Tabletext"/>
            </w:pPr>
            <w:r w:rsidRPr="00022D33">
              <w:t>Balance brought forward</w:t>
            </w:r>
          </w:p>
        </w:tc>
        <w:tc>
          <w:tcPr>
            <w:tcW w:w="1474" w:type="dxa"/>
            <w:tcBorders>
              <w:bottom w:val="single" w:sz="4" w:space="0" w:color="auto"/>
            </w:tcBorders>
          </w:tcPr>
          <w:p w:rsidR="00617CB0" w:rsidRPr="00022D33" w:rsidRDefault="00617CB0" w:rsidP="000D7011">
            <w:pPr>
              <w:pStyle w:val="Tableboldedtext"/>
              <w:jc w:val="right"/>
            </w:pPr>
            <w:r w:rsidRPr="00022D33">
              <w:t>344</w:t>
            </w:r>
          </w:p>
        </w:tc>
        <w:tc>
          <w:tcPr>
            <w:tcW w:w="1474" w:type="dxa"/>
            <w:tcBorders>
              <w:bottom w:val="single" w:sz="4" w:space="0" w:color="auto"/>
            </w:tcBorders>
            <w:shd w:val="clear" w:color="auto" w:fill="auto"/>
          </w:tcPr>
          <w:p w:rsidR="00617CB0" w:rsidRPr="00022D33" w:rsidRDefault="00617CB0" w:rsidP="000D7011">
            <w:pPr>
              <w:pStyle w:val="Tableboldedtext"/>
              <w:jc w:val="right"/>
            </w:pPr>
            <w:r w:rsidRPr="00022D33">
              <w:t>187</w:t>
            </w:r>
          </w:p>
        </w:tc>
      </w:tr>
      <w:tr w:rsidR="00617CB0" w:rsidRPr="00022D33" w:rsidTr="000D7011">
        <w:tc>
          <w:tcPr>
            <w:tcW w:w="5629" w:type="dxa"/>
            <w:shd w:val="clear" w:color="auto" w:fill="auto"/>
          </w:tcPr>
          <w:p w:rsidR="00617CB0" w:rsidRPr="00022D33" w:rsidRDefault="00617CB0" w:rsidP="000D7011">
            <w:pPr>
              <w:pStyle w:val="Tabletext"/>
            </w:pPr>
            <w:r w:rsidRPr="00022D33">
              <w:t>Prior year adjustment</w:t>
            </w:r>
          </w:p>
        </w:tc>
        <w:tc>
          <w:tcPr>
            <w:tcW w:w="1474" w:type="dxa"/>
            <w:tcBorders>
              <w:top w:val="single" w:sz="4" w:space="0" w:color="auto"/>
              <w:bottom w:val="single" w:sz="4" w:space="0" w:color="auto"/>
            </w:tcBorders>
          </w:tcPr>
          <w:p w:rsidR="00617CB0" w:rsidRPr="00022D33" w:rsidRDefault="00617CB0" w:rsidP="000D7011">
            <w:pPr>
              <w:pStyle w:val="Tableboldedtext"/>
              <w:jc w:val="right"/>
            </w:pPr>
            <w:r w:rsidRPr="00022D33">
              <w:t>-</w:t>
            </w:r>
          </w:p>
        </w:tc>
        <w:tc>
          <w:tcPr>
            <w:tcW w:w="1474" w:type="dxa"/>
            <w:tcBorders>
              <w:top w:val="single" w:sz="4" w:space="0" w:color="auto"/>
              <w:bottom w:val="single" w:sz="4" w:space="0" w:color="auto"/>
            </w:tcBorders>
            <w:shd w:val="clear" w:color="auto" w:fill="auto"/>
          </w:tcPr>
          <w:p w:rsidR="00617CB0" w:rsidRPr="00022D33" w:rsidRDefault="00617CB0" w:rsidP="000D7011">
            <w:pPr>
              <w:pStyle w:val="Tableboldedtext"/>
              <w:jc w:val="right"/>
            </w:pPr>
            <w:r w:rsidRPr="00022D33">
              <w:t>-</w:t>
            </w:r>
          </w:p>
        </w:tc>
      </w:tr>
      <w:tr w:rsidR="00617CB0" w:rsidRPr="00022D33" w:rsidTr="000D7011">
        <w:tc>
          <w:tcPr>
            <w:tcW w:w="5629" w:type="dxa"/>
            <w:shd w:val="clear" w:color="auto" w:fill="auto"/>
          </w:tcPr>
          <w:p w:rsidR="00617CB0" w:rsidRPr="00022D33" w:rsidRDefault="00617CB0" w:rsidP="000D7011">
            <w:pPr>
              <w:pStyle w:val="Tabletext"/>
            </w:pPr>
            <w:r w:rsidRPr="00022D33">
              <w:t>Balance carried forward</w:t>
            </w:r>
          </w:p>
        </w:tc>
        <w:tc>
          <w:tcPr>
            <w:tcW w:w="1474" w:type="dxa"/>
            <w:tcBorders>
              <w:top w:val="single" w:sz="4" w:space="0" w:color="auto"/>
              <w:bottom w:val="double" w:sz="4" w:space="0" w:color="auto"/>
            </w:tcBorders>
          </w:tcPr>
          <w:p w:rsidR="00617CB0" w:rsidRPr="00022D33" w:rsidRDefault="00617CB0" w:rsidP="000D7011">
            <w:pPr>
              <w:pStyle w:val="Tableboldedtext"/>
              <w:jc w:val="right"/>
            </w:pPr>
            <w:r w:rsidRPr="00022D33">
              <w:t>10</w:t>
            </w:r>
          </w:p>
        </w:tc>
        <w:tc>
          <w:tcPr>
            <w:tcW w:w="1474"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344</w:t>
            </w:r>
          </w:p>
        </w:tc>
      </w:tr>
    </w:tbl>
    <w:p w:rsidR="00617CB0" w:rsidRPr="00022D33" w:rsidRDefault="00617CB0" w:rsidP="00617CB0">
      <w:pPr>
        <w:pStyle w:val="Heading3"/>
      </w:pPr>
      <w:r w:rsidRPr="00022D33">
        <w:t xml:space="preserve">Note 48. Special Purpose Accounts </w:t>
      </w:r>
      <w:r w:rsidRPr="00022D33">
        <w:rPr>
          <w:rFonts w:eastAsia="MS Gothic" w:hint="eastAsia"/>
        </w:rPr>
        <w:noBreakHyphen/>
      </w:r>
      <w:r w:rsidRPr="00022D33">
        <w:rPr>
          <w:rFonts w:eastAsia="MS Gothic"/>
        </w:rPr>
        <w:t xml:space="preserve"> </w:t>
      </w:r>
      <w:r w:rsidRPr="00022D33">
        <w:t>administered</w:t>
      </w:r>
    </w:p>
    <w:p w:rsidR="00617CB0" w:rsidRDefault="00617CB0" w:rsidP="00617CB0">
      <w:pPr>
        <w:pStyle w:val="BodyText"/>
        <w:spacing w:before="60"/>
      </w:pPr>
      <w:r w:rsidRPr="00022D33">
        <w:t xml:space="preserve">Special purpose account Section 10 of the </w:t>
      </w:r>
      <w:hyperlink r:id="rId13" w:history="1">
        <w:r w:rsidRPr="00022D33">
          <w:rPr>
            <w:rStyle w:val="Hyperlink"/>
            <w:i/>
            <w:color w:val="auto"/>
            <w:u w:val="none"/>
          </w:rPr>
          <w:t>Financial Management Act 2006</w:t>
        </w:r>
      </w:hyperlink>
      <w:r w:rsidRPr="00022D33">
        <w:t>.</w:t>
      </w:r>
    </w:p>
    <w:p w:rsidR="00617CB0" w:rsidRPr="00022D33" w:rsidRDefault="00196F4C" w:rsidP="00617CB0">
      <w:pPr>
        <w:pStyle w:val="Caption"/>
        <w:keepNext/>
        <w:spacing w:before="120" w:after="60"/>
      </w:pPr>
      <w:fldSimple w:instr=" SEQ Table \* ARABIC ">
        <w:r w:rsidR="00D8778B">
          <w:rPr>
            <w:noProof/>
          </w:rPr>
          <w:t>73</w:t>
        </w:r>
      </w:fldSimple>
      <w:r w:rsidR="00617CB0" w:rsidRPr="00022D33">
        <w:t xml:space="preserve"> Special Purpose Accounts - administered</w:t>
      </w:r>
    </w:p>
    <w:tbl>
      <w:tblPr>
        <w:tblW w:w="0" w:type="auto"/>
        <w:tblBorders>
          <w:top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tcBorders>
            <w:shd w:val="clear" w:color="auto" w:fill="auto"/>
          </w:tcPr>
          <w:p w:rsidR="00617CB0" w:rsidRPr="00022D33" w:rsidRDefault="00617CB0" w:rsidP="000D7011">
            <w:pPr>
              <w:pStyle w:val="Tabletext"/>
            </w:pPr>
          </w:p>
        </w:tc>
        <w:tc>
          <w:tcPr>
            <w:tcW w:w="1474" w:type="dxa"/>
            <w:tcBorders>
              <w:top w:val="nil"/>
            </w:tcBorders>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tcBorders>
              <w:top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8577" w:type="dxa"/>
            <w:gridSpan w:val="3"/>
            <w:shd w:val="clear" w:color="auto" w:fill="auto"/>
          </w:tcPr>
          <w:p w:rsidR="00617CB0" w:rsidRPr="000B70D2" w:rsidRDefault="00617CB0" w:rsidP="000D7011">
            <w:pPr>
              <w:pStyle w:val="Tabletext"/>
              <w:rPr>
                <w:i/>
              </w:rPr>
            </w:pPr>
            <w:r w:rsidRPr="000B70D2">
              <w:rPr>
                <w:i/>
              </w:rPr>
              <w:t>Departmental Receipts in Suspense – State Revenue</w:t>
            </w:r>
          </w:p>
          <w:p w:rsidR="00617CB0" w:rsidRPr="00022D33" w:rsidRDefault="00617CB0" w:rsidP="000D7011">
            <w:pPr>
              <w:pStyle w:val="Tabletext"/>
            </w:pPr>
            <w:r>
              <w:t>The purpose of the special purpose account is to hold funds pending identification of the purpose of which those monies were received or identification of where those monies are to be credited or paid.</w:t>
            </w:r>
          </w:p>
        </w:tc>
      </w:tr>
      <w:tr w:rsidR="00617CB0" w:rsidRPr="00022D33" w:rsidTr="000D7011">
        <w:tc>
          <w:tcPr>
            <w:tcW w:w="5629" w:type="dxa"/>
            <w:shd w:val="clear" w:color="auto" w:fill="auto"/>
          </w:tcPr>
          <w:p w:rsidR="00617CB0" w:rsidRPr="00022D33" w:rsidRDefault="00617CB0" w:rsidP="000D7011">
            <w:pPr>
              <w:pStyle w:val="Tabletext"/>
            </w:pPr>
            <w:r w:rsidRPr="00022D33">
              <w:t>Balance at the start of period</w:t>
            </w:r>
          </w:p>
        </w:tc>
        <w:tc>
          <w:tcPr>
            <w:tcW w:w="1474" w:type="dxa"/>
          </w:tcPr>
          <w:p w:rsidR="00617CB0" w:rsidRPr="00022D33" w:rsidRDefault="00617CB0" w:rsidP="000D7011">
            <w:pPr>
              <w:pStyle w:val="Tabletext"/>
              <w:jc w:val="right"/>
            </w:pPr>
            <w:r w:rsidRPr="00022D33">
              <w:t>1</w:t>
            </w:r>
          </w:p>
        </w:tc>
        <w:tc>
          <w:tcPr>
            <w:tcW w:w="1474" w:type="dxa"/>
            <w:shd w:val="clear" w:color="auto" w:fill="auto"/>
          </w:tcPr>
          <w:p w:rsidR="00617CB0" w:rsidRPr="00022D33" w:rsidRDefault="00617CB0" w:rsidP="000D7011">
            <w:pPr>
              <w:pStyle w:val="Tabletext"/>
              <w:jc w:val="right"/>
            </w:pPr>
            <w:r w:rsidRPr="00022D33">
              <w:t>1</w:t>
            </w:r>
          </w:p>
        </w:tc>
      </w:tr>
      <w:tr w:rsidR="00617CB0" w:rsidRPr="00022D33" w:rsidTr="000D7011">
        <w:tc>
          <w:tcPr>
            <w:tcW w:w="5629" w:type="dxa"/>
            <w:shd w:val="clear" w:color="auto" w:fill="auto"/>
          </w:tcPr>
          <w:p w:rsidR="00617CB0" w:rsidRPr="00022D33" w:rsidRDefault="00617CB0" w:rsidP="000D7011">
            <w:pPr>
              <w:pStyle w:val="Tabletext"/>
            </w:pPr>
            <w:r w:rsidRPr="00022D33">
              <w:t xml:space="preserve">Receipts </w:t>
            </w:r>
          </w:p>
        </w:tc>
        <w:tc>
          <w:tcPr>
            <w:tcW w:w="1474" w:type="dxa"/>
          </w:tcPr>
          <w:p w:rsidR="00617CB0" w:rsidRPr="00022D33" w:rsidRDefault="00617CB0" w:rsidP="000D7011">
            <w:pPr>
              <w:pStyle w:val="Tabletext"/>
              <w:jc w:val="right"/>
            </w:pPr>
            <w:r w:rsidRPr="00022D33">
              <w:t>-</w:t>
            </w:r>
          </w:p>
        </w:tc>
        <w:tc>
          <w:tcPr>
            <w:tcW w:w="1474" w:type="dxa"/>
            <w:shd w:val="clear" w:color="auto" w:fill="auto"/>
          </w:tcPr>
          <w:p w:rsidR="00617CB0" w:rsidRPr="00022D33" w:rsidRDefault="00617CB0" w:rsidP="000D7011">
            <w:pPr>
              <w:pStyle w:val="Tabletext"/>
              <w:jc w:val="right"/>
            </w:pPr>
            <w:r w:rsidRPr="00022D33">
              <w:t>-</w:t>
            </w:r>
          </w:p>
        </w:tc>
      </w:tr>
      <w:tr w:rsidR="00617CB0" w:rsidRPr="00022D33" w:rsidTr="000D7011">
        <w:tc>
          <w:tcPr>
            <w:tcW w:w="5629" w:type="dxa"/>
            <w:shd w:val="clear" w:color="auto" w:fill="auto"/>
          </w:tcPr>
          <w:p w:rsidR="00617CB0" w:rsidRPr="00022D33" w:rsidRDefault="00617CB0" w:rsidP="000D7011">
            <w:pPr>
              <w:pStyle w:val="Tabletext"/>
            </w:pPr>
            <w:r w:rsidRPr="00022D33">
              <w:t>Payments</w:t>
            </w:r>
          </w:p>
        </w:tc>
        <w:tc>
          <w:tcPr>
            <w:tcW w:w="1474" w:type="dxa"/>
            <w:tcBorders>
              <w:bottom w:val="single" w:sz="4" w:space="0" w:color="auto"/>
            </w:tcBorders>
          </w:tcPr>
          <w:p w:rsidR="00617CB0" w:rsidRPr="00022D33" w:rsidRDefault="00617CB0" w:rsidP="000D7011">
            <w:pPr>
              <w:pStyle w:val="Tabletext"/>
              <w:jc w:val="right"/>
            </w:pPr>
            <w:r w:rsidRPr="00022D33">
              <w:t>-</w:t>
            </w:r>
          </w:p>
        </w:tc>
        <w:tc>
          <w:tcPr>
            <w:tcW w:w="1474" w:type="dxa"/>
            <w:tcBorders>
              <w:bottom w:val="single" w:sz="4" w:space="0" w:color="auto"/>
            </w:tcBorders>
            <w:shd w:val="clear" w:color="auto" w:fill="auto"/>
          </w:tcPr>
          <w:p w:rsidR="00617CB0" w:rsidRPr="00022D33" w:rsidRDefault="00617CB0" w:rsidP="000D7011">
            <w:pPr>
              <w:pStyle w:val="Tabletext"/>
              <w:jc w:val="right"/>
            </w:pPr>
            <w:r w:rsidRPr="00022D33">
              <w:t>-</w:t>
            </w:r>
          </w:p>
        </w:tc>
      </w:tr>
      <w:tr w:rsidR="00617CB0" w:rsidRPr="00022D33" w:rsidTr="000D7011">
        <w:tc>
          <w:tcPr>
            <w:tcW w:w="5629" w:type="dxa"/>
            <w:shd w:val="clear" w:color="auto" w:fill="auto"/>
          </w:tcPr>
          <w:p w:rsidR="00617CB0" w:rsidRPr="00022D33" w:rsidRDefault="00617CB0" w:rsidP="000D7011">
            <w:pPr>
              <w:pStyle w:val="Tableboldedtext"/>
            </w:pPr>
            <w:r w:rsidRPr="00022D33">
              <w:t>Balance at the end of period</w:t>
            </w:r>
          </w:p>
        </w:tc>
        <w:tc>
          <w:tcPr>
            <w:tcW w:w="1474" w:type="dxa"/>
            <w:tcBorders>
              <w:top w:val="single" w:sz="4" w:space="0" w:color="auto"/>
              <w:bottom w:val="single" w:sz="4" w:space="0" w:color="auto"/>
            </w:tcBorders>
          </w:tcPr>
          <w:p w:rsidR="00617CB0" w:rsidRPr="00022D33" w:rsidRDefault="00617CB0" w:rsidP="000D7011">
            <w:pPr>
              <w:pStyle w:val="Tableboldedtext"/>
              <w:jc w:val="right"/>
            </w:pPr>
            <w:r w:rsidRPr="00022D33">
              <w:t>1</w:t>
            </w:r>
          </w:p>
        </w:tc>
        <w:tc>
          <w:tcPr>
            <w:tcW w:w="1474" w:type="dxa"/>
            <w:tcBorders>
              <w:top w:val="single" w:sz="4" w:space="0" w:color="auto"/>
              <w:bottom w:val="single" w:sz="4" w:space="0" w:color="auto"/>
            </w:tcBorders>
            <w:shd w:val="clear" w:color="auto" w:fill="auto"/>
          </w:tcPr>
          <w:p w:rsidR="00617CB0" w:rsidRPr="00022D33" w:rsidRDefault="00617CB0" w:rsidP="000D7011">
            <w:pPr>
              <w:pStyle w:val="Tableboldedtext"/>
              <w:jc w:val="right"/>
            </w:pPr>
            <w:r w:rsidRPr="00022D33">
              <w:t>1</w:t>
            </w:r>
          </w:p>
        </w:tc>
      </w:tr>
      <w:tr w:rsidR="00617CB0" w:rsidRPr="00022D33" w:rsidTr="000D7011">
        <w:tc>
          <w:tcPr>
            <w:tcW w:w="8577" w:type="dxa"/>
            <w:gridSpan w:val="3"/>
            <w:shd w:val="clear" w:color="auto" w:fill="auto"/>
          </w:tcPr>
          <w:p w:rsidR="00617CB0" w:rsidRDefault="00617CB0" w:rsidP="000D7011">
            <w:pPr>
              <w:pStyle w:val="Tabletext"/>
            </w:pPr>
            <w:r>
              <w:t>Indian Ocean Territories</w:t>
            </w:r>
          </w:p>
          <w:p w:rsidR="00617CB0" w:rsidRPr="00022D33" w:rsidRDefault="00617CB0" w:rsidP="000D7011">
            <w:pPr>
              <w:pStyle w:val="Tabletext"/>
            </w:pPr>
            <w:r>
              <w:t>The purpose of the special account is to hold taxation collections pending transfer to the Commonwealth of Australia in accordance with the Service Level Agreement entered into with the Commonwealth.</w:t>
            </w:r>
          </w:p>
        </w:tc>
      </w:tr>
      <w:tr w:rsidR="00617CB0" w:rsidRPr="00022D33" w:rsidTr="000D7011">
        <w:tc>
          <w:tcPr>
            <w:tcW w:w="5629" w:type="dxa"/>
            <w:shd w:val="clear" w:color="auto" w:fill="auto"/>
          </w:tcPr>
          <w:p w:rsidR="00617CB0" w:rsidRPr="00022D33" w:rsidRDefault="00617CB0" w:rsidP="000D7011">
            <w:pPr>
              <w:pStyle w:val="Tabletext"/>
            </w:pPr>
            <w:r w:rsidRPr="00022D33">
              <w:t>Balance at the start of period</w:t>
            </w:r>
          </w:p>
        </w:tc>
        <w:tc>
          <w:tcPr>
            <w:tcW w:w="1474" w:type="dxa"/>
            <w:tcBorders>
              <w:top w:val="nil"/>
            </w:tcBorders>
          </w:tcPr>
          <w:p w:rsidR="00617CB0" w:rsidRPr="00022D33" w:rsidRDefault="00617CB0" w:rsidP="000D7011">
            <w:pPr>
              <w:pStyle w:val="Tabletext"/>
              <w:jc w:val="right"/>
            </w:pPr>
            <w:r w:rsidRPr="00022D33">
              <w:t>150</w:t>
            </w:r>
          </w:p>
        </w:tc>
        <w:tc>
          <w:tcPr>
            <w:tcW w:w="1474" w:type="dxa"/>
            <w:tcBorders>
              <w:top w:val="nil"/>
            </w:tcBorders>
            <w:shd w:val="clear" w:color="auto" w:fill="auto"/>
          </w:tcPr>
          <w:p w:rsidR="00617CB0" w:rsidRPr="00022D33" w:rsidRDefault="00617CB0" w:rsidP="000D7011">
            <w:pPr>
              <w:pStyle w:val="Tabletext"/>
              <w:jc w:val="right"/>
            </w:pPr>
            <w:r w:rsidRPr="00022D33">
              <w:t>542</w:t>
            </w:r>
          </w:p>
        </w:tc>
      </w:tr>
      <w:tr w:rsidR="00617CB0" w:rsidRPr="00022D33" w:rsidTr="000D7011">
        <w:tc>
          <w:tcPr>
            <w:tcW w:w="5629" w:type="dxa"/>
            <w:tcBorders>
              <w:bottom w:val="nil"/>
            </w:tcBorders>
            <w:shd w:val="clear" w:color="auto" w:fill="auto"/>
          </w:tcPr>
          <w:p w:rsidR="00617CB0" w:rsidRPr="00022D33" w:rsidRDefault="00617CB0" w:rsidP="000D7011">
            <w:pPr>
              <w:pStyle w:val="Tabletext"/>
            </w:pPr>
            <w:r w:rsidRPr="00022D33">
              <w:t xml:space="preserve">Receipts </w:t>
            </w:r>
          </w:p>
        </w:tc>
        <w:tc>
          <w:tcPr>
            <w:tcW w:w="1474" w:type="dxa"/>
            <w:tcBorders>
              <w:bottom w:val="nil"/>
            </w:tcBorders>
          </w:tcPr>
          <w:p w:rsidR="00617CB0" w:rsidRPr="00022D33" w:rsidRDefault="00617CB0" w:rsidP="000D7011">
            <w:pPr>
              <w:pStyle w:val="Tabletext"/>
              <w:jc w:val="right"/>
            </w:pPr>
            <w:r w:rsidRPr="00022D33">
              <w:t>5,037</w:t>
            </w:r>
          </w:p>
        </w:tc>
        <w:tc>
          <w:tcPr>
            <w:tcW w:w="1474" w:type="dxa"/>
            <w:tcBorders>
              <w:bottom w:val="nil"/>
            </w:tcBorders>
            <w:shd w:val="clear" w:color="auto" w:fill="auto"/>
          </w:tcPr>
          <w:p w:rsidR="00617CB0" w:rsidRPr="00022D33" w:rsidRDefault="00617CB0" w:rsidP="000D7011">
            <w:pPr>
              <w:pStyle w:val="Tabletext"/>
              <w:jc w:val="right"/>
            </w:pPr>
            <w:r w:rsidRPr="00022D33">
              <w:t>4,387</w:t>
            </w:r>
          </w:p>
        </w:tc>
      </w:tr>
      <w:tr w:rsidR="00617CB0" w:rsidRPr="00022D33" w:rsidTr="000D7011">
        <w:tc>
          <w:tcPr>
            <w:tcW w:w="5629" w:type="dxa"/>
            <w:tcBorders>
              <w:top w:val="nil"/>
              <w:bottom w:val="nil"/>
            </w:tcBorders>
            <w:shd w:val="clear" w:color="auto" w:fill="auto"/>
          </w:tcPr>
          <w:p w:rsidR="00617CB0" w:rsidRPr="00022D33" w:rsidRDefault="00617CB0" w:rsidP="000D7011">
            <w:pPr>
              <w:pStyle w:val="Tabletext"/>
            </w:pPr>
            <w:r w:rsidRPr="00022D33">
              <w:t>Payments</w:t>
            </w:r>
          </w:p>
        </w:tc>
        <w:tc>
          <w:tcPr>
            <w:tcW w:w="1474" w:type="dxa"/>
            <w:tcBorders>
              <w:top w:val="nil"/>
              <w:bottom w:val="single" w:sz="4" w:space="0" w:color="auto"/>
            </w:tcBorders>
          </w:tcPr>
          <w:p w:rsidR="00617CB0" w:rsidRPr="00022D33" w:rsidRDefault="00617CB0" w:rsidP="000D7011">
            <w:pPr>
              <w:pStyle w:val="Tabletext"/>
              <w:jc w:val="right"/>
            </w:pPr>
            <w:r w:rsidRPr="00022D33">
              <w:t>(4,805)</w:t>
            </w:r>
          </w:p>
        </w:tc>
        <w:tc>
          <w:tcPr>
            <w:tcW w:w="1474" w:type="dxa"/>
            <w:tcBorders>
              <w:top w:val="nil"/>
              <w:bottom w:val="single" w:sz="4" w:space="0" w:color="auto"/>
            </w:tcBorders>
            <w:shd w:val="clear" w:color="auto" w:fill="auto"/>
          </w:tcPr>
          <w:p w:rsidR="00617CB0" w:rsidRPr="00022D33" w:rsidRDefault="00617CB0" w:rsidP="000D7011">
            <w:pPr>
              <w:pStyle w:val="Tabletext"/>
              <w:jc w:val="right"/>
            </w:pPr>
            <w:r w:rsidRPr="00022D33">
              <w:t>(4,779)</w:t>
            </w:r>
          </w:p>
        </w:tc>
      </w:tr>
      <w:tr w:rsidR="00617CB0" w:rsidRPr="00022D33" w:rsidTr="000D7011">
        <w:tc>
          <w:tcPr>
            <w:tcW w:w="5629" w:type="dxa"/>
            <w:tcBorders>
              <w:top w:val="nil"/>
            </w:tcBorders>
            <w:shd w:val="clear" w:color="auto" w:fill="auto"/>
          </w:tcPr>
          <w:p w:rsidR="00617CB0" w:rsidRPr="00022D33" w:rsidRDefault="00617CB0" w:rsidP="000D7011">
            <w:pPr>
              <w:pStyle w:val="Tableboldedtext"/>
            </w:pPr>
            <w:r w:rsidRPr="00022D33">
              <w:t>Balance at the end of period</w:t>
            </w:r>
          </w:p>
        </w:tc>
        <w:tc>
          <w:tcPr>
            <w:tcW w:w="1474" w:type="dxa"/>
            <w:tcBorders>
              <w:top w:val="single" w:sz="4" w:space="0" w:color="auto"/>
              <w:bottom w:val="double" w:sz="4" w:space="0" w:color="auto"/>
            </w:tcBorders>
          </w:tcPr>
          <w:p w:rsidR="00617CB0" w:rsidRPr="00022D33" w:rsidRDefault="00617CB0" w:rsidP="000D7011">
            <w:pPr>
              <w:pStyle w:val="Tableboldedtext"/>
              <w:jc w:val="right"/>
            </w:pPr>
            <w:r w:rsidRPr="00022D33">
              <w:t>382</w:t>
            </w:r>
          </w:p>
        </w:tc>
        <w:tc>
          <w:tcPr>
            <w:tcW w:w="1474"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150</w:t>
            </w:r>
          </w:p>
        </w:tc>
      </w:tr>
    </w:tbl>
    <w:p w:rsidR="00617CB0" w:rsidRPr="00022D33" w:rsidRDefault="00617CB0" w:rsidP="00617CB0">
      <w:pPr>
        <w:pStyle w:val="Heading3"/>
        <w:sectPr w:rsidR="00617CB0" w:rsidRPr="00022D33" w:rsidSect="005F3639">
          <w:pgSz w:w="11906" w:h="16838" w:code="9"/>
          <w:pgMar w:top="1440" w:right="1440" w:bottom="1276" w:left="1440" w:header="0" w:footer="709" w:gutter="0"/>
          <w:cols w:space="708"/>
          <w:docGrid w:linePitch="360"/>
        </w:sectPr>
      </w:pPr>
    </w:p>
    <w:p w:rsidR="00617CB0" w:rsidRPr="00022D33" w:rsidRDefault="00617CB0" w:rsidP="00617CB0">
      <w:pPr>
        <w:pStyle w:val="Heading3"/>
      </w:pPr>
      <w:r w:rsidRPr="00022D33">
        <w:t>Note 49. Administered income and expenses</w:t>
      </w:r>
    </w:p>
    <w:p w:rsidR="00617CB0" w:rsidRPr="00022D33" w:rsidRDefault="00196F4C" w:rsidP="00617CB0">
      <w:pPr>
        <w:pStyle w:val="Caption"/>
        <w:keepNext/>
        <w:spacing w:after="60"/>
      </w:pPr>
      <w:fldSimple w:instr=" SEQ Table \* ARABIC ">
        <w:r w:rsidR="00D8778B">
          <w:rPr>
            <w:noProof/>
          </w:rPr>
          <w:t>74</w:t>
        </w:r>
      </w:fldSimple>
      <w:r w:rsidR="00617CB0">
        <w:t xml:space="preserve"> </w:t>
      </w:r>
      <w:r w:rsidR="00617CB0" w:rsidRPr="00022D33">
        <w:t>Administered income and expenses</w:t>
      </w:r>
    </w:p>
    <w:tbl>
      <w:tblPr>
        <w:tblW w:w="0" w:type="auto"/>
        <w:tblLook w:val="04A0" w:firstRow="1" w:lastRow="0" w:firstColumn="1" w:lastColumn="0" w:noHBand="0" w:noVBand="1"/>
      </w:tblPr>
      <w:tblGrid>
        <w:gridCol w:w="5629"/>
        <w:gridCol w:w="1474"/>
        <w:gridCol w:w="1474"/>
      </w:tblGrid>
      <w:tr w:rsidR="00617CB0" w:rsidRPr="00022D33" w:rsidTr="000D7011">
        <w:tc>
          <w:tcPr>
            <w:tcW w:w="5629" w:type="dxa"/>
            <w:shd w:val="clear" w:color="auto" w:fill="auto"/>
          </w:tcPr>
          <w:p w:rsidR="00617CB0" w:rsidRPr="00022D33" w:rsidRDefault="00617CB0" w:rsidP="000D7011">
            <w:pPr>
              <w:pStyle w:val="Tabletext"/>
            </w:pPr>
          </w:p>
        </w:tc>
        <w:tc>
          <w:tcPr>
            <w:tcW w:w="1474" w:type="dxa"/>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474" w:type="dxa"/>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shd w:val="clear" w:color="auto" w:fill="auto"/>
          </w:tcPr>
          <w:p w:rsidR="00617CB0" w:rsidRPr="00022D33" w:rsidRDefault="00617CB0" w:rsidP="000D7011">
            <w:pPr>
              <w:pStyle w:val="Tabletext"/>
              <w:rPr>
                <w:u w:val="single"/>
              </w:rPr>
            </w:pPr>
            <w:r w:rsidRPr="00022D33">
              <w:rPr>
                <w:u w:val="single"/>
              </w:rPr>
              <w:t xml:space="preserve">Expenses </w:t>
            </w:r>
          </w:p>
        </w:tc>
        <w:tc>
          <w:tcPr>
            <w:tcW w:w="1474" w:type="dxa"/>
          </w:tcPr>
          <w:p w:rsidR="00617CB0" w:rsidRPr="00022D33" w:rsidRDefault="00617CB0" w:rsidP="000D7011">
            <w:pPr>
              <w:pStyle w:val="Tabletext"/>
              <w:jc w:val="right"/>
            </w:pPr>
          </w:p>
        </w:tc>
        <w:tc>
          <w:tcPr>
            <w:tcW w:w="1474" w:type="dxa"/>
            <w:shd w:val="clear" w:color="auto" w:fill="auto"/>
          </w:tcPr>
          <w:p w:rsidR="00617CB0" w:rsidRPr="00022D33" w:rsidRDefault="00617CB0" w:rsidP="000D7011">
            <w:pPr>
              <w:pStyle w:val="Tabletext"/>
              <w:jc w:val="right"/>
            </w:pPr>
          </w:p>
        </w:tc>
      </w:tr>
      <w:tr w:rsidR="00617CB0" w:rsidRPr="00022D33" w:rsidTr="000D7011">
        <w:tc>
          <w:tcPr>
            <w:tcW w:w="5629" w:type="dxa"/>
            <w:shd w:val="clear" w:color="auto" w:fill="auto"/>
          </w:tcPr>
          <w:p w:rsidR="00617CB0" w:rsidRPr="00022D33" w:rsidRDefault="00617CB0" w:rsidP="000D7011">
            <w:pPr>
              <w:pStyle w:val="Tabletext"/>
            </w:pPr>
            <w:r w:rsidRPr="00022D33">
              <w:t xml:space="preserve">Grants, subsidies and transfers </w:t>
            </w:r>
          </w:p>
        </w:tc>
        <w:tc>
          <w:tcPr>
            <w:tcW w:w="1474" w:type="dxa"/>
          </w:tcPr>
          <w:p w:rsidR="00617CB0" w:rsidRPr="00022D33" w:rsidRDefault="00617CB0" w:rsidP="000D7011">
            <w:pPr>
              <w:pStyle w:val="Tabletext"/>
              <w:jc w:val="right"/>
            </w:pPr>
            <w:r w:rsidRPr="00022D33">
              <w:t>247,463</w:t>
            </w:r>
          </w:p>
        </w:tc>
        <w:tc>
          <w:tcPr>
            <w:tcW w:w="1474" w:type="dxa"/>
            <w:shd w:val="clear" w:color="auto" w:fill="auto"/>
          </w:tcPr>
          <w:p w:rsidR="00617CB0" w:rsidRPr="00022D33" w:rsidRDefault="00617CB0" w:rsidP="000D7011">
            <w:pPr>
              <w:pStyle w:val="Tabletext"/>
              <w:jc w:val="right"/>
            </w:pPr>
            <w:r w:rsidRPr="00022D33">
              <w:t>263,934</w:t>
            </w:r>
          </w:p>
        </w:tc>
      </w:tr>
      <w:tr w:rsidR="00617CB0" w:rsidRPr="00022D33" w:rsidTr="000D7011">
        <w:tc>
          <w:tcPr>
            <w:tcW w:w="5629" w:type="dxa"/>
            <w:shd w:val="clear" w:color="auto" w:fill="auto"/>
          </w:tcPr>
          <w:p w:rsidR="00617CB0" w:rsidRPr="00022D33" w:rsidRDefault="00617CB0" w:rsidP="000D7011">
            <w:pPr>
              <w:pStyle w:val="Tabletext"/>
            </w:pPr>
            <w:r w:rsidRPr="00022D33">
              <w:t>Other expenses</w:t>
            </w:r>
          </w:p>
        </w:tc>
        <w:tc>
          <w:tcPr>
            <w:tcW w:w="1474" w:type="dxa"/>
          </w:tcPr>
          <w:p w:rsidR="00617CB0" w:rsidRPr="00022D33" w:rsidRDefault="00617CB0" w:rsidP="000D7011">
            <w:pPr>
              <w:pStyle w:val="Tabletext"/>
              <w:jc w:val="right"/>
            </w:pPr>
            <w:r w:rsidRPr="00022D33">
              <w:t>7,435,650</w:t>
            </w:r>
          </w:p>
        </w:tc>
        <w:tc>
          <w:tcPr>
            <w:tcW w:w="1474" w:type="dxa"/>
            <w:shd w:val="clear" w:color="auto" w:fill="auto"/>
          </w:tcPr>
          <w:p w:rsidR="00617CB0" w:rsidRPr="00022D33" w:rsidRDefault="00617CB0" w:rsidP="000D7011">
            <w:pPr>
              <w:pStyle w:val="Tabletext"/>
              <w:jc w:val="right"/>
            </w:pPr>
            <w:r w:rsidRPr="00022D33">
              <w:t>7,204,859</w:t>
            </w:r>
          </w:p>
        </w:tc>
      </w:tr>
      <w:tr w:rsidR="00617CB0" w:rsidRPr="00022D33" w:rsidTr="000D7011">
        <w:tc>
          <w:tcPr>
            <w:tcW w:w="5629" w:type="dxa"/>
            <w:shd w:val="clear" w:color="auto" w:fill="auto"/>
          </w:tcPr>
          <w:p w:rsidR="00617CB0" w:rsidRPr="00022D33" w:rsidRDefault="00617CB0" w:rsidP="000D7011">
            <w:pPr>
              <w:pStyle w:val="Tabletext"/>
            </w:pPr>
            <w:r w:rsidRPr="00022D33">
              <w:t>Collections transferred to other agencies</w:t>
            </w:r>
          </w:p>
        </w:tc>
        <w:tc>
          <w:tcPr>
            <w:tcW w:w="1474" w:type="dxa"/>
            <w:tcBorders>
              <w:bottom w:val="single" w:sz="4" w:space="0" w:color="auto"/>
            </w:tcBorders>
          </w:tcPr>
          <w:p w:rsidR="00617CB0" w:rsidRPr="00022D33" w:rsidRDefault="00617CB0" w:rsidP="000D7011">
            <w:pPr>
              <w:pStyle w:val="Tabletext"/>
              <w:jc w:val="right"/>
            </w:pPr>
            <w:r w:rsidRPr="00022D33">
              <w:t>63,043</w:t>
            </w:r>
          </w:p>
        </w:tc>
        <w:tc>
          <w:tcPr>
            <w:tcW w:w="1474" w:type="dxa"/>
            <w:tcBorders>
              <w:bottom w:val="single" w:sz="4" w:space="0" w:color="auto"/>
            </w:tcBorders>
            <w:shd w:val="clear" w:color="auto" w:fill="auto"/>
          </w:tcPr>
          <w:p w:rsidR="00617CB0" w:rsidRPr="00022D33" w:rsidRDefault="00617CB0" w:rsidP="000D7011">
            <w:pPr>
              <w:pStyle w:val="Tabletext"/>
              <w:jc w:val="right"/>
            </w:pPr>
            <w:r w:rsidRPr="00022D33">
              <w:t>63,230</w:t>
            </w:r>
          </w:p>
        </w:tc>
      </w:tr>
      <w:tr w:rsidR="00617CB0" w:rsidRPr="00022D33" w:rsidTr="000D7011">
        <w:tc>
          <w:tcPr>
            <w:tcW w:w="5629" w:type="dxa"/>
            <w:shd w:val="clear" w:color="auto" w:fill="auto"/>
          </w:tcPr>
          <w:p w:rsidR="00617CB0" w:rsidRPr="00022D33" w:rsidRDefault="00617CB0" w:rsidP="000D7011">
            <w:pPr>
              <w:pStyle w:val="Tableboldedtext"/>
            </w:pPr>
            <w:r w:rsidRPr="00022D33">
              <w:t>Total administered expenses</w:t>
            </w:r>
          </w:p>
        </w:tc>
        <w:tc>
          <w:tcPr>
            <w:tcW w:w="1474" w:type="dxa"/>
            <w:tcBorders>
              <w:top w:val="single" w:sz="4" w:space="0" w:color="auto"/>
              <w:bottom w:val="double" w:sz="4" w:space="0" w:color="auto"/>
            </w:tcBorders>
          </w:tcPr>
          <w:p w:rsidR="00617CB0" w:rsidRPr="00022D33" w:rsidRDefault="00617CB0" w:rsidP="000D7011">
            <w:pPr>
              <w:pStyle w:val="Tableboldedtext"/>
              <w:jc w:val="right"/>
            </w:pPr>
            <w:r w:rsidRPr="00022D33">
              <w:t>7,746,156</w:t>
            </w:r>
          </w:p>
        </w:tc>
        <w:tc>
          <w:tcPr>
            <w:tcW w:w="1474"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7,532,023</w:t>
            </w:r>
          </w:p>
        </w:tc>
      </w:tr>
      <w:tr w:rsidR="00617CB0" w:rsidRPr="00022D33" w:rsidTr="000D7011">
        <w:tc>
          <w:tcPr>
            <w:tcW w:w="5629" w:type="dxa"/>
            <w:shd w:val="clear" w:color="auto" w:fill="auto"/>
          </w:tcPr>
          <w:p w:rsidR="00617CB0" w:rsidRPr="00022D33" w:rsidRDefault="00617CB0" w:rsidP="000D7011">
            <w:pPr>
              <w:pStyle w:val="Tabletext"/>
              <w:rPr>
                <w:u w:val="single"/>
              </w:rPr>
            </w:pPr>
            <w:r w:rsidRPr="00022D33">
              <w:rPr>
                <w:u w:val="single"/>
              </w:rPr>
              <w:t>Income</w:t>
            </w:r>
          </w:p>
        </w:tc>
        <w:tc>
          <w:tcPr>
            <w:tcW w:w="1474" w:type="dxa"/>
            <w:tcBorders>
              <w:top w:val="double" w:sz="4" w:space="0" w:color="auto"/>
            </w:tcBorders>
          </w:tcPr>
          <w:p w:rsidR="00617CB0" w:rsidRPr="00022D33" w:rsidRDefault="00617CB0" w:rsidP="000D7011">
            <w:pPr>
              <w:pStyle w:val="Tabletext"/>
              <w:jc w:val="right"/>
            </w:pPr>
          </w:p>
        </w:tc>
        <w:tc>
          <w:tcPr>
            <w:tcW w:w="1474" w:type="dxa"/>
            <w:tcBorders>
              <w:top w:val="double" w:sz="4" w:space="0" w:color="auto"/>
            </w:tcBorders>
            <w:shd w:val="clear" w:color="auto" w:fill="auto"/>
          </w:tcPr>
          <w:p w:rsidR="00617CB0" w:rsidRPr="00022D33" w:rsidRDefault="00617CB0" w:rsidP="000D7011">
            <w:pPr>
              <w:pStyle w:val="Tabletext"/>
              <w:jc w:val="right"/>
            </w:pPr>
          </w:p>
        </w:tc>
      </w:tr>
      <w:tr w:rsidR="00617CB0" w:rsidRPr="00022D33" w:rsidTr="000D7011">
        <w:tc>
          <w:tcPr>
            <w:tcW w:w="5629" w:type="dxa"/>
            <w:shd w:val="clear" w:color="auto" w:fill="auto"/>
          </w:tcPr>
          <w:p w:rsidR="00617CB0" w:rsidRPr="00022D33" w:rsidRDefault="00617CB0" w:rsidP="000D7011">
            <w:pPr>
              <w:pStyle w:val="Tabletext"/>
            </w:pPr>
            <w:r w:rsidRPr="00022D33">
              <w:t xml:space="preserve">Taxation </w:t>
            </w:r>
          </w:p>
        </w:tc>
        <w:tc>
          <w:tcPr>
            <w:tcW w:w="1474" w:type="dxa"/>
          </w:tcPr>
          <w:p w:rsidR="00617CB0" w:rsidRPr="00022D33" w:rsidRDefault="00617CB0" w:rsidP="000D7011">
            <w:pPr>
              <w:pStyle w:val="Tabletext"/>
              <w:jc w:val="right"/>
            </w:pPr>
            <w:r w:rsidRPr="00022D33">
              <w:t>7,315,117</w:t>
            </w:r>
          </w:p>
        </w:tc>
        <w:tc>
          <w:tcPr>
            <w:tcW w:w="1474" w:type="dxa"/>
            <w:shd w:val="clear" w:color="auto" w:fill="auto"/>
          </w:tcPr>
          <w:p w:rsidR="00617CB0" w:rsidRPr="00022D33" w:rsidRDefault="00617CB0" w:rsidP="000D7011">
            <w:pPr>
              <w:pStyle w:val="Tabletext"/>
              <w:jc w:val="right"/>
            </w:pPr>
            <w:r w:rsidRPr="00022D33">
              <w:t>7,179,280</w:t>
            </w:r>
          </w:p>
        </w:tc>
      </w:tr>
      <w:tr w:rsidR="00617CB0" w:rsidRPr="00022D33" w:rsidTr="000D7011">
        <w:tc>
          <w:tcPr>
            <w:tcW w:w="5629" w:type="dxa"/>
            <w:shd w:val="clear" w:color="auto" w:fill="auto"/>
          </w:tcPr>
          <w:p w:rsidR="00617CB0" w:rsidRPr="00022D33" w:rsidRDefault="00617CB0" w:rsidP="000D7011">
            <w:pPr>
              <w:pStyle w:val="Tabletext"/>
            </w:pPr>
            <w:r w:rsidRPr="00022D33">
              <w:t>Other revenue</w:t>
            </w:r>
          </w:p>
        </w:tc>
        <w:tc>
          <w:tcPr>
            <w:tcW w:w="1474" w:type="dxa"/>
          </w:tcPr>
          <w:p w:rsidR="00617CB0" w:rsidRPr="00022D33" w:rsidRDefault="00617CB0" w:rsidP="000D7011">
            <w:pPr>
              <w:pStyle w:val="Tabletext"/>
              <w:jc w:val="right"/>
            </w:pPr>
            <w:r w:rsidRPr="00022D33">
              <w:t>41,623</w:t>
            </w:r>
          </w:p>
        </w:tc>
        <w:tc>
          <w:tcPr>
            <w:tcW w:w="1474" w:type="dxa"/>
            <w:shd w:val="clear" w:color="auto" w:fill="auto"/>
          </w:tcPr>
          <w:p w:rsidR="00617CB0" w:rsidRPr="00022D33" w:rsidRDefault="00617CB0" w:rsidP="000D7011">
            <w:pPr>
              <w:pStyle w:val="Tabletext"/>
              <w:jc w:val="right"/>
            </w:pPr>
            <w:r w:rsidRPr="00022D33">
              <w:t>41,768</w:t>
            </w:r>
          </w:p>
        </w:tc>
      </w:tr>
      <w:tr w:rsidR="00617CB0" w:rsidRPr="00022D33" w:rsidTr="000D7011">
        <w:tc>
          <w:tcPr>
            <w:tcW w:w="5629" w:type="dxa"/>
            <w:shd w:val="clear" w:color="auto" w:fill="auto"/>
          </w:tcPr>
          <w:p w:rsidR="00617CB0" w:rsidRPr="00022D33" w:rsidRDefault="00617CB0" w:rsidP="000D7011">
            <w:pPr>
              <w:pStyle w:val="Tabletext"/>
            </w:pPr>
            <w:r w:rsidRPr="00022D33">
              <w:t>Appropriations</w:t>
            </w:r>
          </w:p>
        </w:tc>
        <w:tc>
          <w:tcPr>
            <w:tcW w:w="1474" w:type="dxa"/>
          </w:tcPr>
          <w:p w:rsidR="00617CB0" w:rsidRPr="00022D33" w:rsidRDefault="00617CB0" w:rsidP="000D7011">
            <w:pPr>
              <w:pStyle w:val="Tabletext"/>
              <w:jc w:val="right"/>
            </w:pPr>
            <w:r w:rsidRPr="00022D33">
              <w:t>247,463</w:t>
            </w:r>
          </w:p>
        </w:tc>
        <w:tc>
          <w:tcPr>
            <w:tcW w:w="1474" w:type="dxa"/>
            <w:shd w:val="clear" w:color="auto" w:fill="auto"/>
          </w:tcPr>
          <w:p w:rsidR="00617CB0" w:rsidRPr="00022D33" w:rsidRDefault="00617CB0" w:rsidP="000D7011">
            <w:pPr>
              <w:pStyle w:val="Tabletext"/>
              <w:jc w:val="right"/>
            </w:pPr>
            <w:r w:rsidRPr="00022D33">
              <w:t>263,934</w:t>
            </w:r>
          </w:p>
        </w:tc>
      </w:tr>
      <w:tr w:rsidR="00617CB0" w:rsidRPr="00022D33" w:rsidTr="000D7011">
        <w:tc>
          <w:tcPr>
            <w:tcW w:w="5629" w:type="dxa"/>
            <w:shd w:val="clear" w:color="auto" w:fill="auto"/>
          </w:tcPr>
          <w:p w:rsidR="00617CB0" w:rsidRPr="00022D33" w:rsidRDefault="00617CB0" w:rsidP="000D7011">
            <w:pPr>
              <w:pStyle w:val="Tabletext"/>
            </w:pPr>
            <w:r w:rsidRPr="00022D33">
              <w:t>Collections raised on behalf of other agencies</w:t>
            </w:r>
          </w:p>
        </w:tc>
        <w:tc>
          <w:tcPr>
            <w:tcW w:w="1474" w:type="dxa"/>
            <w:tcBorders>
              <w:bottom w:val="single" w:sz="4" w:space="0" w:color="auto"/>
            </w:tcBorders>
          </w:tcPr>
          <w:p w:rsidR="00617CB0" w:rsidRPr="00022D33" w:rsidRDefault="00617CB0" w:rsidP="000D7011">
            <w:pPr>
              <w:pStyle w:val="Tabletext"/>
              <w:jc w:val="right"/>
            </w:pPr>
            <w:r w:rsidRPr="00022D33">
              <w:t>63,043</w:t>
            </w:r>
          </w:p>
        </w:tc>
        <w:tc>
          <w:tcPr>
            <w:tcW w:w="1474" w:type="dxa"/>
            <w:tcBorders>
              <w:bottom w:val="single" w:sz="4" w:space="0" w:color="auto"/>
            </w:tcBorders>
            <w:shd w:val="clear" w:color="auto" w:fill="auto"/>
          </w:tcPr>
          <w:p w:rsidR="00617CB0" w:rsidRPr="00022D33" w:rsidRDefault="00617CB0" w:rsidP="000D7011">
            <w:pPr>
              <w:pStyle w:val="Tabletext"/>
              <w:jc w:val="right"/>
            </w:pPr>
            <w:r w:rsidRPr="00022D33">
              <w:t>63,230</w:t>
            </w:r>
          </w:p>
        </w:tc>
      </w:tr>
      <w:tr w:rsidR="00617CB0" w:rsidRPr="00022D33" w:rsidTr="000D7011">
        <w:tc>
          <w:tcPr>
            <w:tcW w:w="5629" w:type="dxa"/>
            <w:shd w:val="clear" w:color="auto" w:fill="auto"/>
          </w:tcPr>
          <w:p w:rsidR="00617CB0" w:rsidRPr="00022D33" w:rsidRDefault="00617CB0" w:rsidP="000D7011">
            <w:pPr>
              <w:pStyle w:val="Tableboldedtext"/>
            </w:pPr>
            <w:r w:rsidRPr="00022D33">
              <w:t>Total administered revenues</w:t>
            </w:r>
          </w:p>
        </w:tc>
        <w:tc>
          <w:tcPr>
            <w:tcW w:w="1474" w:type="dxa"/>
            <w:tcBorders>
              <w:top w:val="single" w:sz="4" w:space="0" w:color="auto"/>
              <w:bottom w:val="double" w:sz="4" w:space="0" w:color="auto"/>
            </w:tcBorders>
          </w:tcPr>
          <w:p w:rsidR="00617CB0" w:rsidRPr="00022D33" w:rsidRDefault="00617CB0" w:rsidP="000D7011">
            <w:pPr>
              <w:pStyle w:val="Tableboldedtext"/>
              <w:jc w:val="right"/>
            </w:pPr>
            <w:r w:rsidRPr="00022D33">
              <w:t>7,667,246</w:t>
            </w:r>
          </w:p>
        </w:tc>
        <w:tc>
          <w:tcPr>
            <w:tcW w:w="1474"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7,548,213</w:t>
            </w:r>
          </w:p>
        </w:tc>
      </w:tr>
    </w:tbl>
    <w:p w:rsidR="00617CB0" w:rsidRPr="00022D33" w:rsidRDefault="00617CB0" w:rsidP="00617CB0">
      <w:pPr>
        <w:pStyle w:val="Heading3"/>
      </w:pPr>
      <w:r w:rsidRPr="00022D33">
        <w:t>Note 50. Disclosure of administered income and expenses by service</w:t>
      </w:r>
    </w:p>
    <w:p w:rsidR="00617CB0" w:rsidRPr="00022D33" w:rsidRDefault="00196F4C" w:rsidP="00617CB0">
      <w:pPr>
        <w:pStyle w:val="Caption"/>
        <w:keepNext/>
        <w:spacing w:after="60"/>
      </w:pPr>
      <w:fldSimple w:instr=" SEQ Table \* ARABIC ">
        <w:r w:rsidR="00D8778B">
          <w:rPr>
            <w:noProof/>
          </w:rPr>
          <w:t>75</w:t>
        </w:r>
      </w:fldSimple>
      <w:r w:rsidR="00617CB0" w:rsidRPr="00022D33">
        <w:t xml:space="preserve"> Disclosure of administered income and expenses by service</w:t>
      </w:r>
    </w:p>
    <w:tbl>
      <w:tblPr>
        <w:tblW w:w="8612" w:type="dxa"/>
        <w:tblLook w:val="04A0" w:firstRow="1" w:lastRow="0" w:firstColumn="1" w:lastColumn="0" w:noHBand="0" w:noVBand="1"/>
      </w:tblPr>
      <w:tblGrid>
        <w:gridCol w:w="4644"/>
        <w:gridCol w:w="1984"/>
        <w:gridCol w:w="1984"/>
      </w:tblGrid>
      <w:tr w:rsidR="00617CB0" w:rsidRPr="00022D33" w:rsidTr="000D7011">
        <w:trPr>
          <w:gridAfter w:val="1"/>
          <w:wAfter w:w="1984" w:type="dxa"/>
        </w:trPr>
        <w:tc>
          <w:tcPr>
            <w:tcW w:w="4644" w:type="dxa"/>
            <w:shd w:val="clear" w:color="auto" w:fill="auto"/>
          </w:tcPr>
          <w:p w:rsidR="00617CB0" w:rsidRPr="00022D33" w:rsidRDefault="00617CB0" w:rsidP="000D7011">
            <w:pPr>
              <w:pStyle w:val="Tabletext"/>
            </w:pPr>
          </w:p>
        </w:tc>
        <w:tc>
          <w:tcPr>
            <w:tcW w:w="1984" w:type="dxa"/>
          </w:tcPr>
          <w:p w:rsidR="00617CB0" w:rsidRPr="00022D33" w:rsidRDefault="00617CB0" w:rsidP="000D7011">
            <w:pPr>
              <w:pStyle w:val="Tabletext"/>
            </w:pPr>
          </w:p>
        </w:tc>
      </w:tr>
      <w:tr w:rsidR="00617CB0" w:rsidRPr="00022D33" w:rsidTr="000D7011">
        <w:tc>
          <w:tcPr>
            <w:tcW w:w="4644" w:type="dxa"/>
            <w:shd w:val="clear" w:color="auto" w:fill="auto"/>
          </w:tcPr>
          <w:p w:rsidR="00617CB0" w:rsidRDefault="00617CB0" w:rsidP="000D7011">
            <w:pPr>
              <w:pStyle w:val="Tabletext"/>
            </w:pPr>
            <w:r>
              <w:t>Revenue assessment and collection and grants and subsidies administration</w:t>
            </w:r>
          </w:p>
          <w:p w:rsidR="00617CB0" w:rsidRPr="00022D33" w:rsidRDefault="00617CB0" w:rsidP="000D7011">
            <w:pPr>
              <w:pStyle w:val="Tabletext"/>
            </w:pPr>
            <w:r>
              <w:t>Service 1</w:t>
            </w:r>
          </w:p>
        </w:tc>
        <w:tc>
          <w:tcPr>
            <w:tcW w:w="1984" w:type="dxa"/>
          </w:tcPr>
          <w:p w:rsidR="00617CB0" w:rsidRPr="00022D33" w:rsidRDefault="00617CB0" w:rsidP="000D7011">
            <w:pPr>
              <w:pStyle w:val="Tableboldedtext"/>
              <w:jc w:val="right"/>
            </w:pPr>
            <w:r w:rsidRPr="00022D33">
              <w:t>2016</w:t>
            </w:r>
          </w:p>
          <w:p w:rsidR="00617CB0" w:rsidRPr="00022D33" w:rsidRDefault="00617CB0" w:rsidP="000D7011">
            <w:pPr>
              <w:pStyle w:val="Tableboldedtext"/>
              <w:jc w:val="right"/>
            </w:pPr>
            <w:r w:rsidRPr="00022D33">
              <w:t>$000</w:t>
            </w:r>
          </w:p>
        </w:tc>
        <w:tc>
          <w:tcPr>
            <w:tcW w:w="1984" w:type="dxa"/>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4644" w:type="dxa"/>
            <w:shd w:val="clear" w:color="auto" w:fill="auto"/>
          </w:tcPr>
          <w:p w:rsidR="00617CB0" w:rsidRPr="00022D33" w:rsidRDefault="00617CB0" w:rsidP="000D7011">
            <w:pPr>
              <w:pStyle w:val="Tabletext"/>
              <w:rPr>
                <w:b/>
              </w:rPr>
            </w:pPr>
            <w:r w:rsidRPr="00022D33">
              <w:rPr>
                <w:b/>
              </w:rPr>
              <w:t>COST OF SERVICES</w:t>
            </w:r>
          </w:p>
        </w:tc>
        <w:tc>
          <w:tcPr>
            <w:tcW w:w="1984" w:type="dxa"/>
          </w:tcPr>
          <w:p w:rsidR="00617CB0" w:rsidRPr="00022D33" w:rsidRDefault="00617CB0" w:rsidP="000D7011">
            <w:pPr>
              <w:pStyle w:val="Tabletext"/>
              <w:jc w:val="right"/>
            </w:pPr>
          </w:p>
        </w:tc>
        <w:tc>
          <w:tcPr>
            <w:tcW w:w="1984" w:type="dxa"/>
            <w:shd w:val="clear" w:color="auto" w:fill="auto"/>
          </w:tcPr>
          <w:p w:rsidR="00617CB0" w:rsidRPr="00022D33" w:rsidRDefault="00617CB0" w:rsidP="000D7011">
            <w:pPr>
              <w:pStyle w:val="Tabletext"/>
              <w:jc w:val="right"/>
            </w:pPr>
          </w:p>
        </w:tc>
      </w:tr>
      <w:tr w:rsidR="00617CB0" w:rsidRPr="00022D33" w:rsidTr="000D7011">
        <w:tc>
          <w:tcPr>
            <w:tcW w:w="4644" w:type="dxa"/>
            <w:shd w:val="clear" w:color="auto" w:fill="auto"/>
          </w:tcPr>
          <w:p w:rsidR="00617CB0" w:rsidRPr="00022D33" w:rsidRDefault="00617CB0" w:rsidP="000D7011">
            <w:pPr>
              <w:pStyle w:val="Tabletext"/>
              <w:rPr>
                <w:u w:val="single"/>
              </w:rPr>
            </w:pPr>
            <w:r w:rsidRPr="00022D33">
              <w:rPr>
                <w:u w:val="single"/>
              </w:rPr>
              <w:t>Expenses</w:t>
            </w:r>
          </w:p>
        </w:tc>
        <w:tc>
          <w:tcPr>
            <w:tcW w:w="1984" w:type="dxa"/>
          </w:tcPr>
          <w:p w:rsidR="00617CB0" w:rsidRPr="00022D33" w:rsidRDefault="00617CB0" w:rsidP="000D7011">
            <w:pPr>
              <w:pStyle w:val="Tabletext"/>
              <w:jc w:val="right"/>
            </w:pPr>
          </w:p>
        </w:tc>
        <w:tc>
          <w:tcPr>
            <w:tcW w:w="1984" w:type="dxa"/>
            <w:shd w:val="clear" w:color="auto" w:fill="auto"/>
          </w:tcPr>
          <w:p w:rsidR="00617CB0" w:rsidRPr="00022D33" w:rsidRDefault="00617CB0" w:rsidP="000D7011">
            <w:pPr>
              <w:pStyle w:val="Tabletext"/>
              <w:jc w:val="right"/>
            </w:pPr>
          </w:p>
        </w:tc>
      </w:tr>
      <w:tr w:rsidR="00617CB0" w:rsidRPr="00022D33" w:rsidTr="000D7011">
        <w:tc>
          <w:tcPr>
            <w:tcW w:w="4644" w:type="dxa"/>
            <w:shd w:val="clear" w:color="auto" w:fill="auto"/>
          </w:tcPr>
          <w:p w:rsidR="00617CB0" w:rsidRPr="00022D33" w:rsidRDefault="00617CB0" w:rsidP="000D7011">
            <w:pPr>
              <w:pStyle w:val="Tabletext"/>
            </w:pPr>
            <w:r w:rsidRPr="00022D33">
              <w:t xml:space="preserve">Grants, subsidies and transfers </w:t>
            </w:r>
          </w:p>
        </w:tc>
        <w:tc>
          <w:tcPr>
            <w:tcW w:w="1984" w:type="dxa"/>
          </w:tcPr>
          <w:p w:rsidR="00617CB0" w:rsidRPr="00022D33" w:rsidRDefault="00617CB0" w:rsidP="000D7011">
            <w:pPr>
              <w:pStyle w:val="Tabletext"/>
              <w:jc w:val="right"/>
            </w:pPr>
            <w:r w:rsidRPr="00022D33">
              <w:t>247,463</w:t>
            </w:r>
          </w:p>
        </w:tc>
        <w:tc>
          <w:tcPr>
            <w:tcW w:w="1984" w:type="dxa"/>
            <w:shd w:val="clear" w:color="auto" w:fill="auto"/>
          </w:tcPr>
          <w:p w:rsidR="00617CB0" w:rsidRPr="00022D33" w:rsidRDefault="00617CB0" w:rsidP="000D7011">
            <w:pPr>
              <w:pStyle w:val="Tabletext"/>
              <w:jc w:val="right"/>
            </w:pPr>
            <w:r w:rsidRPr="00022D33">
              <w:t>263,934</w:t>
            </w:r>
          </w:p>
        </w:tc>
      </w:tr>
      <w:tr w:rsidR="00617CB0" w:rsidRPr="00022D33" w:rsidTr="000D7011">
        <w:tc>
          <w:tcPr>
            <w:tcW w:w="4644" w:type="dxa"/>
            <w:shd w:val="clear" w:color="auto" w:fill="auto"/>
          </w:tcPr>
          <w:p w:rsidR="00617CB0" w:rsidRPr="00022D33" w:rsidRDefault="00617CB0" w:rsidP="000D7011">
            <w:pPr>
              <w:pStyle w:val="Tabletext"/>
            </w:pPr>
            <w:r w:rsidRPr="00022D33">
              <w:t>Other expenses</w:t>
            </w:r>
          </w:p>
        </w:tc>
        <w:tc>
          <w:tcPr>
            <w:tcW w:w="1984" w:type="dxa"/>
          </w:tcPr>
          <w:p w:rsidR="00617CB0" w:rsidRPr="00022D33" w:rsidRDefault="00617CB0" w:rsidP="000D7011">
            <w:pPr>
              <w:pStyle w:val="Tabletext"/>
              <w:jc w:val="right"/>
            </w:pPr>
            <w:r w:rsidRPr="00022D33">
              <w:t>7,435,650</w:t>
            </w:r>
          </w:p>
        </w:tc>
        <w:tc>
          <w:tcPr>
            <w:tcW w:w="1984" w:type="dxa"/>
            <w:shd w:val="clear" w:color="auto" w:fill="auto"/>
          </w:tcPr>
          <w:p w:rsidR="00617CB0" w:rsidRPr="00022D33" w:rsidRDefault="00617CB0" w:rsidP="000D7011">
            <w:pPr>
              <w:pStyle w:val="Tabletext"/>
              <w:jc w:val="right"/>
            </w:pPr>
            <w:r w:rsidRPr="00022D33">
              <w:t>7,204,859</w:t>
            </w:r>
          </w:p>
        </w:tc>
      </w:tr>
      <w:tr w:rsidR="00617CB0" w:rsidRPr="00022D33" w:rsidTr="000D7011">
        <w:tc>
          <w:tcPr>
            <w:tcW w:w="4644" w:type="dxa"/>
            <w:shd w:val="clear" w:color="auto" w:fill="auto"/>
          </w:tcPr>
          <w:p w:rsidR="00617CB0" w:rsidRPr="00022D33" w:rsidRDefault="00617CB0" w:rsidP="000D7011">
            <w:pPr>
              <w:pStyle w:val="Tabletext"/>
            </w:pPr>
            <w:r w:rsidRPr="00022D33">
              <w:t>Collections transferred to other agencies</w:t>
            </w:r>
          </w:p>
        </w:tc>
        <w:tc>
          <w:tcPr>
            <w:tcW w:w="1984" w:type="dxa"/>
            <w:tcBorders>
              <w:bottom w:val="single" w:sz="4" w:space="0" w:color="auto"/>
            </w:tcBorders>
          </w:tcPr>
          <w:p w:rsidR="00617CB0" w:rsidRPr="00022D33" w:rsidRDefault="00617CB0" w:rsidP="000D7011">
            <w:pPr>
              <w:pStyle w:val="Tabletext"/>
              <w:jc w:val="right"/>
            </w:pPr>
            <w:r w:rsidRPr="00022D33">
              <w:t>63,043</w:t>
            </w:r>
          </w:p>
        </w:tc>
        <w:tc>
          <w:tcPr>
            <w:tcW w:w="1984" w:type="dxa"/>
            <w:tcBorders>
              <w:bottom w:val="single" w:sz="4" w:space="0" w:color="auto"/>
            </w:tcBorders>
            <w:shd w:val="clear" w:color="auto" w:fill="auto"/>
          </w:tcPr>
          <w:p w:rsidR="00617CB0" w:rsidRPr="00022D33" w:rsidRDefault="00617CB0" w:rsidP="000D7011">
            <w:pPr>
              <w:pStyle w:val="Tabletext"/>
              <w:jc w:val="right"/>
            </w:pPr>
            <w:r w:rsidRPr="00022D33">
              <w:t>63,230</w:t>
            </w:r>
          </w:p>
        </w:tc>
      </w:tr>
      <w:tr w:rsidR="00617CB0" w:rsidRPr="00022D33" w:rsidTr="000D7011">
        <w:tc>
          <w:tcPr>
            <w:tcW w:w="4644" w:type="dxa"/>
            <w:shd w:val="clear" w:color="auto" w:fill="auto"/>
          </w:tcPr>
          <w:p w:rsidR="00617CB0" w:rsidRPr="00022D33" w:rsidRDefault="00617CB0" w:rsidP="000D7011">
            <w:pPr>
              <w:pStyle w:val="Tableboldedtext"/>
            </w:pPr>
            <w:r w:rsidRPr="00022D33">
              <w:t>Total administered expenses</w:t>
            </w:r>
          </w:p>
        </w:tc>
        <w:tc>
          <w:tcPr>
            <w:tcW w:w="1984" w:type="dxa"/>
            <w:tcBorders>
              <w:top w:val="single" w:sz="4" w:space="0" w:color="auto"/>
              <w:bottom w:val="double" w:sz="4" w:space="0" w:color="auto"/>
            </w:tcBorders>
          </w:tcPr>
          <w:p w:rsidR="00617CB0" w:rsidRPr="00022D33" w:rsidRDefault="00617CB0" w:rsidP="000D7011">
            <w:pPr>
              <w:pStyle w:val="Tableboldedtext"/>
              <w:jc w:val="right"/>
            </w:pPr>
            <w:r w:rsidRPr="00022D33">
              <w:t>7,746,156</w:t>
            </w:r>
          </w:p>
        </w:tc>
        <w:tc>
          <w:tcPr>
            <w:tcW w:w="1984"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7,532,023</w:t>
            </w:r>
          </w:p>
        </w:tc>
      </w:tr>
      <w:tr w:rsidR="00617CB0" w:rsidRPr="00022D33" w:rsidTr="000D7011">
        <w:tc>
          <w:tcPr>
            <w:tcW w:w="4644" w:type="dxa"/>
            <w:shd w:val="clear" w:color="auto" w:fill="auto"/>
          </w:tcPr>
          <w:p w:rsidR="00617CB0" w:rsidRPr="00022D33" w:rsidRDefault="00617CB0" w:rsidP="000D7011">
            <w:pPr>
              <w:pStyle w:val="Tabletext"/>
              <w:rPr>
                <w:u w:val="single"/>
              </w:rPr>
            </w:pPr>
            <w:r w:rsidRPr="00022D33">
              <w:rPr>
                <w:u w:val="single"/>
              </w:rPr>
              <w:t>Income</w:t>
            </w:r>
          </w:p>
        </w:tc>
        <w:tc>
          <w:tcPr>
            <w:tcW w:w="1984" w:type="dxa"/>
            <w:tcBorders>
              <w:top w:val="double" w:sz="4" w:space="0" w:color="auto"/>
            </w:tcBorders>
          </w:tcPr>
          <w:p w:rsidR="00617CB0" w:rsidRPr="00022D33" w:rsidRDefault="00617CB0" w:rsidP="000D7011">
            <w:pPr>
              <w:pStyle w:val="Tabletext"/>
              <w:jc w:val="right"/>
            </w:pPr>
          </w:p>
        </w:tc>
        <w:tc>
          <w:tcPr>
            <w:tcW w:w="1984" w:type="dxa"/>
            <w:tcBorders>
              <w:top w:val="double" w:sz="4" w:space="0" w:color="auto"/>
            </w:tcBorders>
            <w:shd w:val="clear" w:color="auto" w:fill="auto"/>
          </w:tcPr>
          <w:p w:rsidR="00617CB0" w:rsidRPr="00022D33" w:rsidRDefault="00617CB0" w:rsidP="000D7011">
            <w:pPr>
              <w:pStyle w:val="Tabletext"/>
              <w:jc w:val="right"/>
            </w:pPr>
          </w:p>
        </w:tc>
      </w:tr>
      <w:tr w:rsidR="00617CB0" w:rsidRPr="00022D33" w:rsidTr="000D7011">
        <w:tc>
          <w:tcPr>
            <w:tcW w:w="4644" w:type="dxa"/>
            <w:shd w:val="clear" w:color="auto" w:fill="auto"/>
          </w:tcPr>
          <w:p w:rsidR="00617CB0" w:rsidRPr="00022D33" w:rsidRDefault="00617CB0" w:rsidP="000D7011">
            <w:pPr>
              <w:pStyle w:val="Tabletext"/>
            </w:pPr>
            <w:r w:rsidRPr="00022D33">
              <w:t xml:space="preserve">Taxation </w:t>
            </w:r>
          </w:p>
        </w:tc>
        <w:tc>
          <w:tcPr>
            <w:tcW w:w="1984" w:type="dxa"/>
          </w:tcPr>
          <w:p w:rsidR="00617CB0" w:rsidRPr="00022D33" w:rsidRDefault="00617CB0" w:rsidP="000D7011">
            <w:pPr>
              <w:pStyle w:val="Tabletext"/>
              <w:jc w:val="right"/>
            </w:pPr>
            <w:r w:rsidRPr="00022D33">
              <w:t>7,315,117</w:t>
            </w:r>
          </w:p>
        </w:tc>
        <w:tc>
          <w:tcPr>
            <w:tcW w:w="1984" w:type="dxa"/>
            <w:shd w:val="clear" w:color="auto" w:fill="auto"/>
          </w:tcPr>
          <w:p w:rsidR="00617CB0" w:rsidRPr="00022D33" w:rsidRDefault="00617CB0" w:rsidP="000D7011">
            <w:pPr>
              <w:pStyle w:val="Tabletext"/>
              <w:jc w:val="right"/>
            </w:pPr>
            <w:r w:rsidRPr="00022D33">
              <w:t>7,179,280</w:t>
            </w:r>
          </w:p>
        </w:tc>
      </w:tr>
      <w:tr w:rsidR="00617CB0" w:rsidRPr="00022D33" w:rsidTr="000D7011">
        <w:tc>
          <w:tcPr>
            <w:tcW w:w="4644" w:type="dxa"/>
            <w:shd w:val="clear" w:color="auto" w:fill="auto"/>
          </w:tcPr>
          <w:p w:rsidR="00617CB0" w:rsidRPr="00022D33" w:rsidRDefault="00617CB0" w:rsidP="000D7011">
            <w:pPr>
              <w:pStyle w:val="Tabletext"/>
            </w:pPr>
            <w:r w:rsidRPr="00022D33">
              <w:t>Other revenue</w:t>
            </w:r>
          </w:p>
        </w:tc>
        <w:tc>
          <w:tcPr>
            <w:tcW w:w="1984" w:type="dxa"/>
          </w:tcPr>
          <w:p w:rsidR="00617CB0" w:rsidRPr="00022D33" w:rsidRDefault="00617CB0" w:rsidP="000D7011">
            <w:pPr>
              <w:pStyle w:val="Tabletext"/>
              <w:jc w:val="right"/>
            </w:pPr>
            <w:r w:rsidRPr="00022D33">
              <w:t>41,623</w:t>
            </w:r>
          </w:p>
        </w:tc>
        <w:tc>
          <w:tcPr>
            <w:tcW w:w="1984" w:type="dxa"/>
            <w:shd w:val="clear" w:color="auto" w:fill="auto"/>
          </w:tcPr>
          <w:p w:rsidR="00617CB0" w:rsidRPr="00022D33" w:rsidRDefault="00617CB0" w:rsidP="000D7011">
            <w:pPr>
              <w:pStyle w:val="Tabletext"/>
              <w:jc w:val="right"/>
            </w:pPr>
            <w:r w:rsidRPr="00022D33">
              <w:t>41,768</w:t>
            </w:r>
          </w:p>
        </w:tc>
      </w:tr>
      <w:tr w:rsidR="00617CB0" w:rsidRPr="00022D33" w:rsidTr="000D7011">
        <w:tc>
          <w:tcPr>
            <w:tcW w:w="4644" w:type="dxa"/>
            <w:shd w:val="clear" w:color="auto" w:fill="auto"/>
          </w:tcPr>
          <w:p w:rsidR="00617CB0" w:rsidRPr="00022D33" w:rsidRDefault="00617CB0" w:rsidP="000D7011">
            <w:pPr>
              <w:pStyle w:val="Tabletext"/>
            </w:pPr>
            <w:r w:rsidRPr="00022D33">
              <w:t>Appropriations</w:t>
            </w:r>
          </w:p>
        </w:tc>
        <w:tc>
          <w:tcPr>
            <w:tcW w:w="1984" w:type="dxa"/>
          </w:tcPr>
          <w:p w:rsidR="00617CB0" w:rsidRPr="00022D33" w:rsidRDefault="00617CB0" w:rsidP="000D7011">
            <w:pPr>
              <w:pStyle w:val="Tabletext"/>
              <w:jc w:val="right"/>
            </w:pPr>
            <w:r w:rsidRPr="00022D33">
              <w:t>247,463</w:t>
            </w:r>
          </w:p>
        </w:tc>
        <w:tc>
          <w:tcPr>
            <w:tcW w:w="1984" w:type="dxa"/>
            <w:shd w:val="clear" w:color="auto" w:fill="auto"/>
          </w:tcPr>
          <w:p w:rsidR="00617CB0" w:rsidRPr="00022D33" w:rsidRDefault="00617CB0" w:rsidP="000D7011">
            <w:pPr>
              <w:pStyle w:val="Tabletext"/>
              <w:jc w:val="right"/>
            </w:pPr>
            <w:r w:rsidRPr="00022D33">
              <w:t>263,934</w:t>
            </w:r>
          </w:p>
        </w:tc>
      </w:tr>
      <w:tr w:rsidR="00617CB0" w:rsidRPr="00022D33" w:rsidTr="000D7011">
        <w:tc>
          <w:tcPr>
            <w:tcW w:w="4644" w:type="dxa"/>
            <w:shd w:val="clear" w:color="auto" w:fill="auto"/>
          </w:tcPr>
          <w:p w:rsidR="00617CB0" w:rsidRPr="00022D33" w:rsidRDefault="00617CB0" w:rsidP="000D7011">
            <w:pPr>
              <w:pStyle w:val="Tabletext"/>
            </w:pPr>
            <w:r w:rsidRPr="00022D33">
              <w:t>Collections raised on behalf of other agencies</w:t>
            </w:r>
          </w:p>
        </w:tc>
        <w:tc>
          <w:tcPr>
            <w:tcW w:w="1984" w:type="dxa"/>
            <w:tcBorders>
              <w:bottom w:val="single" w:sz="4" w:space="0" w:color="auto"/>
            </w:tcBorders>
          </w:tcPr>
          <w:p w:rsidR="00617CB0" w:rsidRPr="00022D33" w:rsidRDefault="00617CB0" w:rsidP="000D7011">
            <w:pPr>
              <w:pStyle w:val="Tabletext"/>
              <w:jc w:val="right"/>
            </w:pPr>
            <w:r w:rsidRPr="00022D33">
              <w:t>63,043</w:t>
            </w:r>
          </w:p>
        </w:tc>
        <w:tc>
          <w:tcPr>
            <w:tcW w:w="1984" w:type="dxa"/>
            <w:tcBorders>
              <w:bottom w:val="single" w:sz="4" w:space="0" w:color="auto"/>
            </w:tcBorders>
            <w:shd w:val="clear" w:color="auto" w:fill="auto"/>
          </w:tcPr>
          <w:p w:rsidR="00617CB0" w:rsidRPr="00022D33" w:rsidRDefault="00617CB0" w:rsidP="000D7011">
            <w:pPr>
              <w:pStyle w:val="Tabletext"/>
              <w:jc w:val="right"/>
            </w:pPr>
            <w:r w:rsidRPr="00022D33">
              <w:t>63,230</w:t>
            </w:r>
          </w:p>
        </w:tc>
      </w:tr>
      <w:tr w:rsidR="00617CB0" w:rsidRPr="00022D33" w:rsidTr="000D7011">
        <w:tc>
          <w:tcPr>
            <w:tcW w:w="4644" w:type="dxa"/>
            <w:shd w:val="clear" w:color="auto" w:fill="auto"/>
          </w:tcPr>
          <w:p w:rsidR="00617CB0" w:rsidRPr="00022D33" w:rsidRDefault="00617CB0" w:rsidP="000D7011">
            <w:pPr>
              <w:pStyle w:val="Tableboldedtext"/>
            </w:pPr>
            <w:r w:rsidRPr="00022D33">
              <w:t>Total administered income</w:t>
            </w:r>
          </w:p>
        </w:tc>
        <w:tc>
          <w:tcPr>
            <w:tcW w:w="1984" w:type="dxa"/>
            <w:tcBorders>
              <w:top w:val="single" w:sz="4" w:space="0" w:color="auto"/>
              <w:bottom w:val="double" w:sz="4" w:space="0" w:color="auto"/>
            </w:tcBorders>
          </w:tcPr>
          <w:p w:rsidR="00617CB0" w:rsidRPr="00022D33" w:rsidRDefault="00617CB0" w:rsidP="000D7011">
            <w:pPr>
              <w:pStyle w:val="Tableboldedtext"/>
              <w:jc w:val="right"/>
            </w:pPr>
            <w:r w:rsidRPr="00022D33">
              <w:t>7,667,246</w:t>
            </w:r>
          </w:p>
        </w:tc>
        <w:tc>
          <w:tcPr>
            <w:tcW w:w="1984" w:type="dxa"/>
            <w:tcBorders>
              <w:top w:val="single" w:sz="4" w:space="0" w:color="auto"/>
              <w:bottom w:val="double" w:sz="4" w:space="0" w:color="auto"/>
            </w:tcBorders>
            <w:shd w:val="clear" w:color="auto" w:fill="auto"/>
          </w:tcPr>
          <w:p w:rsidR="00617CB0" w:rsidRPr="00022D33" w:rsidRDefault="00617CB0" w:rsidP="000D7011">
            <w:pPr>
              <w:pStyle w:val="Tableboldedtext"/>
              <w:jc w:val="right"/>
            </w:pPr>
            <w:r w:rsidRPr="00022D33">
              <w:t>7,548,213</w:t>
            </w:r>
          </w:p>
        </w:tc>
      </w:tr>
    </w:tbl>
    <w:p w:rsidR="00617CB0" w:rsidRPr="00022D33" w:rsidRDefault="00617CB0" w:rsidP="00617CB0">
      <w:pPr>
        <w:pStyle w:val="Heading3"/>
        <w:rPr>
          <w:spacing w:val="-1"/>
        </w:rPr>
        <w:sectPr w:rsidR="00617CB0" w:rsidRPr="00022D33" w:rsidSect="005F3639">
          <w:pgSz w:w="11906" w:h="16838" w:code="9"/>
          <w:pgMar w:top="1440" w:right="1440" w:bottom="1276" w:left="1440" w:header="0" w:footer="709" w:gutter="0"/>
          <w:cols w:space="708"/>
          <w:docGrid w:linePitch="360"/>
        </w:sectPr>
      </w:pPr>
    </w:p>
    <w:p w:rsidR="00617CB0" w:rsidRPr="00022D33" w:rsidRDefault="00617CB0" w:rsidP="00617CB0">
      <w:pPr>
        <w:pStyle w:val="Heading3"/>
      </w:pPr>
      <w:r w:rsidRPr="00022D33">
        <w:rPr>
          <w:spacing w:val="-1"/>
        </w:rPr>
        <w:t>Note</w:t>
      </w:r>
      <w:r w:rsidRPr="00022D33">
        <w:t xml:space="preserve"> 51. </w:t>
      </w:r>
      <w:r w:rsidRPr="00022D33">
        <w:rPr>
          <w:spacing w:val="-1"/>
        </w:rPr>
        <w:t>Administered</w:t>
      </w:r>
      <w:r w:rsidRPr="00022D33">
        <w:t xml:space="preserve"> assets and liabilities</w:t>
      </w:r>
    </w:p>
    <w:p w:rsidR="00617CB0" w:rsidRPr="00022D33" w:rsidRDefault="00196F4C" w:rsidP="00617CB0">
      <w:pPr>
        <w:pStyle w:val="Caption"/>
        <w:keepNext/>
        <w:spacing w:after="60"/>
      </w:pPr>
      <w:fldSimple w:instr=" SEQ Table \* ARABIC ">
        <w:r w:rsidR="00D8778B">
          <w:rPr>
            <w:noProof/>
          </w:rPr>
          <w:t>76</w:t>
        </w:r>
      </w:fldSimple>
      <w:r w:rsidR="00617CB0" w:rsidRPr="00022D33">
        <w:t xml:space="preserve"> Administered assets and liabilities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p>
        </w:tc>
        <w:tc>
          <w:tcPr>
            <w:tcW w:w="1474" w:type="dxa"/>
            <w:tcBorders>
              <w:top w:val="nil"/>
              <w:left w:val="nil"/>
              <w:bottom w:val="nil"/>
              <w:right w:val="nil"/>
            </w:tcBorders>
          </w:tcPr>
          <w:p w:rsidR="00617CB0" w:rsidRPr="00022D33" w:rsidRDefault="00617CB0" w:rsidP="000D7011">
            <w:pPr>
              <w:pStyle w:val="Tableboldedtext"/>
              <w:jc w:val="right"/>
            </w:pPr>
            <w:r w:rsidRPr="00022D33">
              <w:t>201</w:t>
            </w:r>
            <w:r>
              <w:t>6</w:t>
            </w:r>
          </w:p>
          <w:p w:rsidR="00617CB0" w:rsidRPr="00022D33" w:rsidRDefault="00617CB0" w:rsidP="000D7011">
            <w:pPr>
              <w:pStyle w:val="Tableboldedtext"/>
              <w:jc w:val="right"/>
            </w:pPr>
            <w:r w:rsidRPr="00022D33">
              <w:t>$000</w:t>
            </w:r>
          </w:p>
        </w:tc>
        <w:tc>
          <w:tcPr>
            <w:tcW w:w="1474" w:type="dxa"/>
            <w:tcBorders>
              <w:top w:val="nil"/>
              <w:left w:val="nil"/>
              <w:bottom w:val="nil"/>
              <w:right w:val="nil"/>
            </w:tcBorders>
            <w:shd w:val="clear" w:color="auto" w:fill="auto"/>
          </w:tcPr>
          <w:p w:rsidR="00617CB0" w:rsidRPr="00022D33" w:rsidRDefault="00617CB0" w:rsidP="000D7011">
            <w:pPr>
              <w:pStyle w:val="Tableboldedtext"/>
              <w:jc w:val="right"/>
            </w:pPr>
            <w:r w:rsidRPr="00022D33">
              <w:t>2015</w:t>
            </w:r>
          </w:p>
          <w:p w:rsidR="00617CB0" w:rsidRPr="00022D33" w:rsidRDefault="00617CB0" w:rsidP="000D7011">
            <w:pPr>
              <w:pStyle w:val="Tableboldedtext"/>
              <w:jc w:val="right"/>
            </w:pPr>
            <w:r w:rsidRPr="00022D33">
              <w:t>$000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Current Assets</w:t>
            </w:r>
          </w:p>
        </w:tc>
        <w:tc>
          <w:tcPr>
            <w:tcW w:w="1474" w:type="dxa"/>
            <w:tcBorders>
              <w:top w:val="nil"/>
              <w:left w:val="nil"/>
              <w:bottom w:val="nil"/>
              <w:right w:val="nil"/>
            </w:tcBorders>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Taxation receivable</w:t>
            </w:r>
          </w:p>
        </w:tc>
        <w:tc>
          <w:tcPr>
            <w:tcW w:w="1474" w:type="dxa"/>
            <w:tcBorders>
              <w:top w:val="nil"/>
              <w:left w:val="nil"/>
              <w:bottom w:val="nil"/>
              <w:right w:val="nil"/>
            </w:tcBorders>
          </w:tcPr>
          <w:p w:rsidR="00617CB0" w:rsidRPr="00022D33" w:rsidRDefault="00617CB0" w:rsidP="000D7011">
            <w:pPr>
              <w:pStyle w:val="Tabletext"/>
              <w:jc w:val="right"/>
            </w:pPr>
            <w:r w:rsidRPr="00022D33">
              <w:t>540,566</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614,469</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Other Debtors</w:t>
            </w:r>
          </w:p>
        </w:tc>
        <w:tc>
          <w:tcPr>
            <w:tcW w:w="1474" w:type="dxa"/>
            <w:tcBorders>
              <w:top w:val="nil"/>
              <w:left w:val="nil"/>
              <w:bottom w:val="nil"/>
              <w:right w:val="nil"/>
            </w:tcBorders>
          </w:tcPr>
          <w:p w:rsidR="00617CB0" w:rsidRPr="00022D33" w:rsidRDefault="00617CB0" w:rsidP="000D7011">
            <w:pPr>
              <w:pStyle w:val="Tabletext"/>
              <w:jc w:val="right"/>
            </w:pPr>
            <w:r w:rsidRPr="00022D33">
              <w:t>36,800</w:t>
            </w: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r w:rsidRPr="00022D33">
              <w:t>33,674</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Other Current Assets</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20,401</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22,921</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r w:rsidRPr="00022D33">
              <w:t>Total Administered Current Assets</w:t>
            </w:r>
          </w:p>
        </w:tc>
        <w:tc>
          <w:tcPr>
            <w:tcW w:w="1474" w:type="dxa"/>
            <w:tcBorders>
              <w:top w:val="single" w:sz="4" w:space="0" w:color="auto"/>
              <w:left w:val="nil"/>
              <w:bottom w:val="double" w:sz="4" w:space="0" w:color="auto"/>
              <w:right w:val="nil"/>
            </w:tcBorders>
          </w:tcPr>
          <w:p w:rsidR="00617CB0" w:rsidRPr="00022D33" w:rsidRDefault="00617CB0" w:rsidP="000D7011">
            <w:pPr>
              <w:pStyle w:val="Tableboldedtext"/>
              <w:jc w:val="right"/>
            </w:pPr>
            <w:r w:rsidRPr="00022D33">
              <w:t>597,767</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671,064</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u w:val="single"/>
              </w:rPr>
            </w:pPr>
          </w:p>
          <w:p w:rsidR="00617CB0" w:rsidRPr="00022D33" w:rsidRDefault="00617CB0" w:rsidP="000D7011">
            <w:pPr>
              <w:pStyle w:val="Tabletext"/>
              <w:rPr>
                <w:u w:val="single"/>
              </w:rPr>
            </w:pPr>
            <w:r w:rsidRPr="00022D33">
              <w:rPr>
                <w:u w:val="single"/>
              </w:rPr>
              <w:t>Non-Current Assets</w:t>
            </w:r>
          </w:p>
        </w:tc>
        <w:tc>
          <w:tcPr>
            <w:tcW w:w="1474" w:type="dxa"/>
            <w:tcBorders>
              <w:top w:val="double" w:sz="4" w:space="0" w:color="auto"/>
              <w:left w:val="nil"/>
              <w:bottom w:val="nil"/>
              <w:right w:val="nil"/>
            </w:tcBorders>
          </w:tcPr>
          <w:p w:rsidR="00617CB0" w:rsidRPr="00022D33" w:rsidRDefault="00617CB0" w:rsidP="000D7011">
            <w:pPr>
              <w:pStyle w:val="Tabletext"/>
              <w:jc w:val="right"/>
            </w:pPr>
          </w:p>
        </w:tc>
        <w:tc>
          <w:tcPr>
            <w:tcW w:w="1474" w:type="dxa"/>
            <w:tcBorders>
              <w:top w:val="double" w:sz="4" w:space="0" w:color="auto"/>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Other Receivables</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51,300</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51,300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b/>
              </w:rPr>
            </w:pPr>
            <w:r w:rsidRPr="00022D33">
              <w:rPr>
                <w:b/>
              </w:rPr>
              <w:t>Total Administered Non-Current Assets</w:t>
            </w:r>
          </w:p>
        </w:tc>
        <w:tc>
          <w:tcPr>
            <w:tcW w:w="1474" w:type="dxa"/>
            <w:tcBorders>
              <w:top w:val="single" w:sz="4" w:space="0" w:color="auto"/>
              <w:left w:val="nil"/>
              <w:bottom w:val="single" w:sz="4" w:space="0" w:color="auto"/>
              <w:right w:val="nil"/>
            </w:tcBorders>
          </w:tcPr>
          <w:p w:rsidR="00617CB0" w:rsidRPr="00022D33" w:rsidRDefault="00617CB0" w:rsidP="000D7011">
            <w:pPr>
              <w:pStyle w:val="Tabletext"/>
              <w:jc w:val="right"/>
              <w:rPr>
                <w:b/>
              </w:rPr>
            </w:pPr>
            <w:r w:rsidRPr="00022D33">
              <w:rPr>
                <w:b/>
              </w:rPr>
              <w:t>51,300</w:t>
            </w:r>
          </w:p>
        </w:tc>
        <w:tc>
          <w:tcPr>
            <w:tcW w:w="1474"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rPr>
                <w:b/>
              </w:rPr>
            </w:pPr>
            <w:r w:rsidRPr="00022D33">
              <w:rPr>
                <w:b/>
              </w:rPr>
              <w:t>51,300</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r w:rsidRPr="00022D33">
              <w:t>Total Administered Assets</w:t>
            </w:r>
          </w:p>
        </w:tc>
        <w:tc>
          <w:tcPr>
            <w:tcW w:w="1474" w:type="dxa"/>
            <w:tcBorders>
              <w:top w:val="single" w:sz="4" w:space="0" w:color="auto"/>
              <w:left w:val="nil"/>
              <w:bottom w:val="double" w:sz="4" w:space="0" w:color="auto"/>
              <w:right w:val="nil"/>
            </w:tcBorders>
          </w:tcPr>
          <w:p w:rsidR="00617CB0" w:rsidRPr="00022D33" w:rsidRDefault="00617CB0" w:rsidP="000D7011">
            <w:pPr>
              <w:pStyle w:val="Tableboldedtext"/>
              <w:jc w:val="right"/>
            </w:pPr>
            <w:r w:rsidRPr="00022D33">
              <w:t>649,067</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722,364</w:t>
            </w:r>
          </w:p>
        </w:tc>
      </w:tr>
    </w:tbl>
    <w:p w:rsidR="00617CB0" w:rsidRPr="00022D33" w:rsidRDefault="00617CB0" w:rsidP="00617CB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u w:val="single"/>
              </w:rPr>
            </w:pPr>
            <w:r w:rsidRPr="00022D33">
              <w:rPr>
                <w:u w:val="single"/>
              </w:rPr>
              <w:t>Current Liabilities</w:t>
            </w:r>
          </w:p>
        </w:tc>
        <w:tc>
          <w:tcPr>
            <w:tcW w:w="1474" w:type="dxa"/>
            <w:tcBorders>
              <w:top w:val="nil"/>
              <w:left w:val="nil"/>
              <w:bottom w:val="nil"/>
              <w:right w:val="nil"/>
            </w:tcBorders>
          </w:tcPr>
          <w:p w:rsidR="00617CB0" w:rsidRPr="00022D33" w:rsidRDefault="00617CB0" w:rsidP="000D7011">
            <w:pPr>
              <w:pStyle w:val="Tabletext"/>
              <w:jc w:val="right"/>
            </w:pPr>
          </w:p>
        </w:tc>
        <w:tc>
          <w:tcPr>
            <w:tcW w:w="1474" w:type="dxa"/>
            <w:tcBorders>
              <w:top w:val="nil"/>
              <w:left w:val="nil"/>
              <w:bottom w:val="nil"/>
              <w:right w:val="nil"/>
            </w:tcBorders>
            <w:shd w:val="clear" w:color="auto" w:fill="auto"/>
          </w:tcPr>
          <w:p w:rsidR="00617CB0" w:rsidRPr="00022D33" w:rsidRDefault="00617CB0" w:rsidP="000D7011">
            <w:pPr>
              <w:pStyle w:val="Tabletext"/>
              <w:jc w:val="right"/>
            </w:pP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pPr>
            <w:r w:rsidRPr="00022D33">
              <w:t>Other Payables</w:t>
            </w:r>
          </w:p>
        </w:tc>
        <w:tc>
          <w:tcPr>
            <w:tcW w:w="1474" w:type="dxa"/>
            <w:tcBorders>
              <w:top w:val="nil"/>
              <w:left w:val="nil"/>
              <w:bottom w:val="single" w:sz="4" w:space="0" w:color="auto"/>
              <w:right w:val="nil"/>
            </w:tcBorders>
          </w:tcPr>
          <w:p w:rsidR="00617CB0" w:rsidRPr="00022D33" w:rsidRDefault="00617CB0" w:rsidP="000D7011">
            <w:pPr>
              <w:pStyle w:val="Tabletext"/>
              <w:jc w:val="right"/>
            </w:pPr>
            <w:r w:rsidRPr="00022D33">
              <w:t>57,201</w:t>
            </w:r>
          </w:p>
        </w:tc>
        <w:tc>
          <w:tcPr>
            <w:tcW w:w="1474" w:type="dxa"/>
            <w:tcBorders>
              <w:top w:val="nil"/>
              <w:left w:val="nil"/>
              <w:bottom w:val="single" w:sz="4" w:space="0" w:color="auto"/>
              <w:right w:val="nil"/>
            </w:tcBorders>
            <w:shd w:val="clear" w:color="auto" w:fill="auto"/>
          </w:tcPr>
          <w:p w:rsidR="00617CB0" w:rsidRPr="00022D33" w:rsidRDefault="00617CB0" w:rsidP="000D7011">
            <w:pPr>
              <w:pStyle w:val="Tabletext"/>
              <w:jc w:val="right"/>
            </w:pPr>
            <w:r w:rsidRPr="00022D33">
              <w:t>56,595</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text"/>
              <w:rPr>
                <w:b/>
              </w:rPr>
            </w:pPr>
            <w:r w:rsidRPr="00022D33">
              <w:rPr>
                <w:b/>
              </w:rPr>
              <w:t>Total Administered Current Liabilities</w:t>
            </w:r>
          </w:p>
        </w:tc>
        <w:tc>
          <w:tcPr>
            <w:tcW w:w="1474" w:type="dxa"/>
            <w:tcBorders>
              <w:top w:val="single" w:sz="4" w:space="0" w:color="auto"/>
              <w:left w:val="nil"/>
              <w:bottom w:val="single" w:sz="4" w:space="0" w:color="auto"/>
              <w:right w:val="nil"/>
            </w:tcBorders>
          </w:tcPr>
          <w:p w:rsidR="00617CB0" w:rsidRPr="00022D33" w:rsidRDefault="00617CB0" w:rsidP="000D7011">
            <w:pPr>
              <w:pStyle w:val="Tabletext"/>
              <w:jc w:val="right"/>
              <w:rPr>
                <w:b/>
              </w:rPr>
            </w:pPr>
            <w:r w:rsidRPr="00022D33">
              <w:rPr>
                <w:b/>
              </w:rPr>
              <w:t>57,201</w:t>
            </w:r>
          </w:p>
        </w:tc>
        <w:tc>
          <w:tcPr>
            <w:tcW w:w="1474" w:type="dxa"/>
            <w:tcBorders>
              <w:top w:val="single" w:sz="4" w:space="0" w:color="auto"/>
              <w:left w:val="nil"/>
              <w:bottom w:val="single" w:sz="4" w:space="0" w:color="auto"/>
              <w:right w:val="nil"/>
            </w:tcBorders>
            <w:shd w:val="clear" w:color="auto" w:fill="auto"/>
          </w:tcPr>
          <w:p w:rsidR="00617CB0" w:rsidRPr="00022D33" w:rsidRDefault="00617CB0" w:rsidP="000D7011">
            <w:pPr>
              <w:pStyle w:val="Tabletext"/>
              <w:jc w:val="right"/>
              <w:rPr>
                <w:b/>
              </w:rPr>
            </w:pPr>
            <w:r w:rsidRPr="00022D33">
              <w:rPr>
                <w:b/>
              </w:rPr>
              <w:t>56,595</w:t>
            </w:r>
          </w:p>
        </w:tc>
      </w:tr>
      <w:tr w:rsidR="00617CB0" w:rsidRPr="00022D33" w:rsidTr="000D7011">
        <w:tc>
          <w:tcPr>
            <w:tcW w:w="5629" w:type="dxa"/>
            <w:tcBorders>
              <w:top w:val="nil"/>
              <w:left w:val="nil"/>
              <w:bottom w:val="nil"/>
              <w:right w:val="nil"/>
            </w:tcBorders>
            <w:shd w:val="clear" w:color="auto" w:fill="auto"/>
          </w:tcPr>
          <w:p w:rsidR="00617CB0" w:rsidRPr="00022D33" w:rsidRDefault="00617CB0" w:rsidP="000D7011">
            <w:pPr>
              <w:pStyle w:val="Tableboldedtext"/>
            </w:pPr>
            <w:r w:rsidRPr="00022D33">
              <w:t>Total Administered Liabilities</w:t>
            </w:r>
          </w:p>
        </w:tc>
        <w:tc>
          <w:tcPr>
            <w:tcW w:w="1474" w:type="dxa"/>
            <w:tcBorders>
              <w:top w:val="single" w:sz="4" w:space="0" w:color="auto"/>
              <w:left w:val="nil"/>
              <w:bottom w:val="double" w:sz="4" w:space="0" w:color="auto"/>
              <w:right w:val="nil"/>
            </w:tcBorders>
          </w:tcPr>
          <w:p w:rsidR="00617CB0" w:rsidRPr="00022D33" w:rsidRDefault="00617CB0" w:rsidP="000D7011">
            <w:pPr>
              <w:pStyle w:val="Tableboldedtext"/>
              <w:jc w:val="right"/>
            </w:pPr>
            <w:r w:rsidRPr="00022D33">
              <w:t>57,201</w:t>
            </w:r>
          </w:p>
        </w:tc>
        <w:tc>
          <w:tcPr>
            <w:tcW w:w="1474" w:type="dxa"/>
            <w:tcBorders>
              <w:top w:val="single" w:sz="4" w:space="0" w:color="auto"/>
              <w:left w:val="nil"/>
              <w:bottom w:val="double" w:sz="4" w:space="0" w:color="auto"/>
              <w:right w:val="nil"/>
            </w:tcBorders>
            <w:shd w:val="clear" w:color="auto" w:fill="auto"/>
          </w:tcPr>
          <w:p w:rsidR="00617CB0" w:rsidRPr="00022D33" w:rsidRDefault="00617CB0" w:rsidP="000D7011">
            <w:pPr>
              <w:pStyle w:val="Tableboldedtext"/>
              <w:jc w:val="right"/>
            </w:pPr>
            <w:r w:rsidRPr="00022D33">
              <w:t>56,595</w:t>
            </w:r>
          </w:p>
        </w:tc>
      </w:tr>
    </w:tbl>
    <w:p w:rsidR="00617CB0" w:rsidRPr="00022D33" w:rsidRDefault="00617CB0" w:rsidP="00617CB0">
      <w:pPr>
        <w:pStyle w:val="Heading3"/>
        <w:rPr>
          <w:spacing w:val="-1"/>
        </w:rPr>
      </w:pPr>
    </w:p>
    <w:p w:rsidR="00CB6593" w:rsidRPr="00022D33" w:rsidRDefault="00CB6593" w:rsidP="00E64817">
      <w:pPr>
        <w:pStyle w:val="Heading2"/>
        <w:rPr>
          <w:spacing w:val="-1"/>
        </w:rPr>
      </w:pPr>
    </w:p>
    <w:p w:rsidR="00881F74" w:rsidRPr="00C54FEA" w:rsidRDefault="001A525C" w:rsidP="00881F74">
      <w:pPr>
        <w:keepNext/>
        <w:keepLines/>
        <w:spacing w:before="480"/>
        <w:outlineLvl w:val="0"/>
        <w:rPr>
          <w:rFonts w:ascii="Arial" w:hAnsi="Arial"/>
          <w:b/>
          <w:bCs/>
          <w:sz w:val="70"/>
          <w:szCs w:val="28"/>
        </w:rPr>
      </w:pPr>
      <w:r>
        <w:br w:type="page"/>
      </w:r>
      <w:r w:rsidR="00881F74" w:rsidRPr="00C54FEA">
        <w:rPr>
          <w:rFonts w:ascii="Arial" w:hAnsi="Arial"/>
          <w:b/>
          <w:bCs/>
          <w:sz w:val="70"/>
          <w:szCs w:val="28"/>
        </w:rPr>
        <w:t>KEY PERFORMANCE INDICATORS</w:t>
      </w:r>
    </w:p>
    <w:p w:rsidR="00881F74" w:rsidRPr="00C54FEA" w:rsidRDefault="00881F74" w:rsidP="00881F74">
      <w:pPr>
        <w:widowControl w:val="0"/>
        <w:numPr>
          <w:ilvl w:val="0"/>
          <w:numId w:val="1"/>
        </w:numPr>
        <w:kinsoku w:val="0"/>
        <w:overflowPunct w:val="0"/>
        <w:autoSpaceDE w:val="0"/>
        <w:autoSpaceDN w:val="0"/>
        <w:adjustRightInd w:val="0"/>
        <w:spacing w:before="141" w:line="240" w:lineRule="auto"/>
        <w:ind w:left="1134"/>
        <w:rPr>
          <w:rFonts w:ascii="Arial" w:hAnsi="Arial" w:cs="Arial"/>
          <w:spacing w:val="-1"/>
          <w:sz w:val="36"/>
          <w:szCs w:val="36"/>
        </w:rPr>
      </w:pPr>
      <w:r w:rsidRPr="00C54FEA">
        <w:rPr>
          <w:rFonts w:ascii="Arial" w:hAnsi="Arial" w:cs="Arial"/>
          <w:spacing w:val="-1"/>
          <w:sz w:val="36"/>
          <w:szCs w:val="36"/>
        </w:rPr>
        <w:t>Certification of key performance indicators</w:t>
      </w:r>
    </w:p>
    <w:p w:rsidR="00881F74" w:rsidRPr="00C54FEA" w:rsidRDefault="00881F74" w:rsidP="00881F74">
      <w:pPr>
        <w:widowControl w:val="0"/>
        <w:numPr>
          <w:ilvl w:val="0"/>
          <w:numId w:val="1"/>
        </w:numPr>
        <w:kinsoku w:val="0"/>
        <w:overflowPunct w:val="0"/>
        <w:autoSpaceDE w:val="0"/>
        <w:autoSpaceDN w:val="0"/>
        <w:adjustRightInd w:val="0"/>
        <w:spacing w:before="141" w:line="240" w:lineRule="auto"/>
        <w:ind w:left="1134"/>
        <w:rPr>
          <w:rFonts w:ascii="Arial" w:hAnsi="Arial" w:cs="Arial"/>
          <w:spacing w:val="-1"/>
          <w:sz w:val="36"/>
          <w:szCs w:val="36"/>
        </w:rPr>
      </w:pPr>
      <w:r w:rsidRPr="00C54FEA">
        <w:rPr>
          <w:rFonts w:ascii="Arial" w:hAnsi="Arial" w:cs="Arial"/>
          <w:spacing w:val="-1"/>
          <w:sz w:val="36"/>
          <w:szCs w:val="36"/>
        </w:rPr>
        <w:t>Performance assessment</w:t>
      </w:r>
    </w:p>
    <w:p w:rsidR="00881F74" w:rsidRPr="00C54FEA" w:rsidRDefault="00881F74" w:rsidP="00881F74">
      <w:pPr>
        <w:widowControl w:val="0"/>
        <w:numPr>
          <w:ilvl w:val="0"/>
          <w:numId w:val="1"/>
        </w:numPr>
        <w:kinsoku w:val="0"/>
        <w:overflowPunct w:val="0"/>
        <w:autoSpaceDE w:val="0"/>
        <w:autoSpaceDN w:val="0"/>
        <w:adjustRightInd w:val="0"/>
        <w:spacing w:before="141" w:line="240" w:lineRule="auto"/>
        <w:ind w:left="1134"/>
        <w:rPr>
          <w:rFonts w:ascii="Arial" w:hAnsi="Arial" w:cs="Arial"/>
          <w:spacing w:val="-1"/>
          <w:sz w:val="36"/>
          <w:szCs w:val="36"/>
        </w:rPr>
      </w:pPr>
      <w:r w:rsidRPr="00C54FEA">
        <w:rPr>
          <w:rFonts w:ascii="Arial" w:hAnsi="Arial" w:cs="Arial"/>
          <w:spacing w:val="-1"/>
          <w:sz w:val="36"/>
          <w:szCs w:val="36"/>
        </w:rPr>
        <w:t>State Revenue</w:t>
      </w:r>
    </w:p>
    <w:p w:rsidR="00881F74" w:rsidRPr="00C54FEA" w:rsidRDefault="00881F74" w:rsidP="00881F74">
      <w:pPr>
        <w:widowControl w:val="0"/>
        <w:numPr>
          <w:ilvl w:val="0"/>
          <w:numId w:val="1"/>
        </w:numPr>
        <w:kinsoku w:val="0"/>
        <w:overflowPunct w:val="0"/>
        <w:autoSpaceDE w:val="0"/>
        <w:autoSpaceDN w:val="0"/>
        <w:adjustRightInd w:val="0"/>
        <w:spacing w:before="141" w:line="240" w:lineRule="auto"/>
        <w:ind w:left="1134"/>
        <w:rPr>
          <w:rFonts w:ascii="Arial" w:hAnsi="Arial" w:cs="Arial"/>
          <w:spacing w:val="-1"/>
          <w:sz w:val="36"/>
          <w:szCs w:val="36"/>
        </w:rPr>
      </w:pPr>
      <w:r w:rsidRPr="00C54FEA">
        <w:rPr>
          <w:rFonts w:ascii="Arial" w:hAnsi="Arial" w:cs="Arial"/>
          <w:spacing w:val="-1"/>
          <w:sz w:val="36"/>
          <w:szCs w:val="36"/>
        </w:rPr>
        <w:t>Government Procurement</w:t>
      </w:r>
    </w:p>
    <w:p w:rsidR="00881F74" w:rsidRPr="00C54FEA" w:rsidRDefault="00881F74" w:rsidP="00881F74">
      <w:pPr>
        <w:widowControl w:val="0"/>
        <w:numPr>
          <w:ilvl w:val="0"/>
          <w:numId w:val="1"/>
        </w:numPr>
        <w:kinsoku w:val="0"/>
        <w:overflowPunct w:val="0"/>
        <w:autoSpaceDE w:val="0"/>
        <w:autoSpaceDN w:val="0"/>
        <w:adjustRightInd w:val="0"/>
        <w:spacing w:before="141" w:line="240" w:lineRule="auto"/>
        <w:ind w:left="1134"/>
        <w:rPr>
          <w:rFonts w:ascii="Arial" w:hAnsi="Arial" w:cs="Arial"/>
          <w:spacing w:val="-1"/>
          <w:sz w:val="36"/>
          <w:szCs w:val="36"/>
        </w:rPr>
      </w:pPr>
      <w:r w:rsidRPr="00C54FEA">
        <w:rPr>
          <w:rFonts w:ascii="Arial" w:hAnsi="Arial" w:cs="Arial"/>
          <w:spacing w:val="-1"/>
          <w:sz w:val="36"/>
          <w:szCs w:val="36"/>
        </w:rPr>
        <w:t>Corporate Services</w:t>
      </w:r>
    </w:p>
    <w:p w:rsidR="00881F74" w:rsidRPr="00C54FEA" w:rsidRDefault="00881F74" w:rsidP="00881F74">
      <w:pPr>
        <w:widowControl w:val="0"/>
        <w:numPr>
          <w:ilvl w:val="0"/>
          <w:numId w:val="1"/>
        </w:numPr>
        <w:kinsoku w:val="0"/>
        <w:overflowPunct w:val="0"/>
        <w:autoSpaceDE w:val="0"/>
        <w:autoSpaceDN w:val="0"/>
        <w:adjustRightInd w:val="0"/>
        <w:spacing w:before="141" w:line="240" w:lineRule="auto"/>
        <w:ind w:left="1134"/>
        <w:rPr>
          <w:rFonts w:ascii="Arial" w:hAnsi="Arial" w:cs="Arial"/>
          <w:spacing w:val="-1"/>
          <w:sz w:val="36"/>
          <w:szCs w:val="36"/>
        </w:rPr>
      </w:pPr>
      <w:r w:rsidRPr="00C54FEA">
        <w:rPr>
          <w:rFonts w:ascii="Arial" w:hAnsi="Arial" w:cs="Arial"/>
          <w:spacing w:val="-1"/>
          <w:sz w:val="36"/>
          <w:szCs w:val="36"/>
        </w:rPr>
        <w:t>Building Management and Works</w:t>
      </w:r>
    </w:p>
    <w:p w:rsidR="00881F74" w:rsidRPr="00C54FEA" w:rsidRDefault="00881F74" w:rsidP="00881F74">
      <w:pPr>
        <w:widowControl w:val="0"/>
        <w:numPr>
          <w:ilvl w:val="0"/>
          <w:numId w:val="1"/>
        </w:numPr>
        <w:kinsoku w:val="0"/>
        <w:overflowPunct w:val="0"/>
        <w:autoSpaceDE w:val="0"/>
        <w:autoSpaceDN w:val="0"/>
        <w:adjustRightInd w:val="0"/>
        <w:spacing w:before="141" w:line="240" w:lineRule="auto"/>
        <w:ind w:left="1134"/>
        <w:rPr>
          <w:rFonts w:ascii="Arial" w:hAnsi="Arial" w:cs="Arial"/>
          <w:spacing w:val="-1"/>
          <w:sz w:val="36"/>
          <w:szCs w:val="36"/>
        </w:rPr>
      </w:pPr>
      <w:r w:rsidRPr="00C54FEA">
        <w:rPr>
          <w:rFonts w:ascii="Arial" w:hAnsi="Arial" w:cs="Arial"/>
          <w:spacing w:val="-1"/>
          <w:sz w:val="36"/>
          <w:szCs w:val="36"/>
        </w:rPr>
        <w:t>Public Utilities Office and Economic Reform</w:t>
      </w:r>
    </w:p>
    <w:p w:rsidR="00881F74" w:rsidRPr="00C54FEA" w:rsidRDefault="00881F74" w:rsidP="00881F74">
      <w:pPr>
        <w:widowControl w:val="0"/>
        <w:kinsoku w:val="0"/>
        <w:overflowPunct w:val="0"/>
        <w:autoSpaceDE w:val="0"/>
        <w:autoSpaceDN w:val="0"/>
        <w:adjustRightInd w:val="0"/>
        <w:spacing w:before="141" w:line="240" w:lineRule="auto"/>
        <w:rPr>
          <w:rFonts w:ascii="Arial" w:hAnsi="Arial" w:cs="Arial"/>
          <w:sz w:val="24"/>
          <w:szCs w:val="24"/>
        </w:rPr>
      </w:pPr>
    </w:p>
    <w:p w:rsidR="00881F74" w:rsidRPr="00C54FEA" w:rsidRDefault="00881F74" w:rsidP="00881F74">
      <w:pPr>
        <w:keepNext/>
        <w:keepLines/>
        <w:spacing w:before="200"/>
        <w:outlineLvl w:val="1"/>
        <w:rPr>
          <w:rFonts w:ascii="Arial" w:hAnsi="Arial"/>
          <w:b/>
          <w:bCs/>
          <w:sz w:val="40"/>
          <w:szCs w:val="26"/>
        </w:rPr>
      </w:pPr>
      <w:r w:rsidRPr="00C54FEA">
        <w:rPr>
          <w:rFonts w:ascii="Arial" w:hAnsi="Arial"/>
          <w:b/>
          <w:bCs/>
          <w:sz w:val="40"/>
          <w:szCs w:val="26"/>
        </w:rPr>
        <w:br w:type="page"/>
        <w:t>Certification of key performance indicators</w:t>
      </w:r>
    </w:p>
    <w:p w:rsidR="00881F74" w:rsidRPr="00C54FEA" w:rsidRDefault="00881F74" w:rsidP="00881F74">
      <w:pPr>
        <w:keepNext/>
        <w:spacing w:before="240" w:after="60"/>
        <w:outlineLvl w:val="2"/>
        <w:rPr>
          <w:rFonts w:ascii="Arial" w:hAnsi="Arial"/>
          <w:b/>
          <w:bCs/>
          <w:sz w:val="28"/>
          <w:szCs w:val="26"/>
        </w:rPr>
      </w:pPr>
      <w:r w:rsidRPr="00C54FEA">
        <w:rPr>
          <w:rFonts w:ascii="Arial" w:hAnsi="Arial"/>
          <w:b/>
          <w:bCs/>
          <w:sz w:val="28"/>
          <w:szCs w:val="26"/>
        </w:rPr>
        <w:t>For the year ended 30 June 201</w:t>
      </w:r>
      <w:r>
        <w:rPr>
          <w:rFonts w:ascii="Arial" w:hAnsi="Arial"/>
          <w:b/>
          <w:bCs/>
          <w:sz w:val="28"/>
          <w:szCs w:val="26"/>
        </w:rPr>
        <w:t>6</w:t>
      </w:r>
    </w:p>
    <w:p w:rsidR="00881F74" w:rsidRPr="00C54FEA" w:rsidRDefault="00881F74" w:rsidP="00881F74">
      <w:pPr>
        <w:widowControl w:val="0"/>
        <w:kinsoku w:val="0"/>
        <w:overflowPunct w:val="0"/>
        <w:autoSpaceDE w:val="0"/>
        <w:autoSpaceDN w:val="0"/>
        <w:adjustRightInd w:val="0"/>
        <w:spacing w:before="141" w:line="240" w:lineRule="auto"/>
        <w:rPr>
          <w:rFonts w:ascii="Arial" w:hAnsi="Arial" w:cs="Arial"/>
          <w:sz w:val="24"/>
          <w:szCs w:val="24"/>
        </w:rPr>
      </w:pPr>
      <w:r>
        <w:rPr>
          <w:rFonts w:ascii="Arial" w:hAnsi="Arial" w:cs="Arial"/>
          <w:sz w:val="24"/>
          <w:szCs w:val="24"/>
        </w:rPr>
        <w:t xml:space="preserve">I </w:t>
      </w:r>
      <w:r w:rsidRPr="00CB4C52">
        <w:rPr>
          <w:rFonts w:ascii="Arial" w:hAnsi="Arial" w:cs="Arial"/>
          <w:sz w:val="24"/>
          <w:szCs w:val="24"/>
        </w:rPr>
        <w:t>hereby certify that the key perf</w:t>
      </w:r>
      <w:r>
        <w:rPr>
          <w:rFonts w:ascii="Arial" w:hAnsi="Arial" w:cs="Arial"/>
          <w:sz w:val="24"/>
          <w:szCs w:val="24"/>
        </w:rPr>
        <w:t xml:space="preserve">ormance indicators are based on </w:t>
      </w:r>
      <w:r w:rsidRPr="00CB4C52">
        <w:rPr>
          <w:rFonts w:ascii="Arial" w:hAnsi="Arial" w:cs="Arial"/>
          <w:sz w:val="24"/>
          <w:szCs w:val="24"/>
        </w:rPr>
        <w:t>proper records, are relevant and appropriate for assisting users</w:t>
      </w:r>
      <w:r>
        <w:rPr>
          <w:rFonts w:ascii="Arial" w:hAnsi="Arial" w:cs="Arial"/>
          <w:sz w:val="24"/>
          <w:szCs w:val="24"/>
        </w:rPr>
        <w:t xml:space="preserve"> </w:t>
      </w:r>
      <w:r w:rsidRPr="00CB4C52">
        <w:rPr>
          <w:rFonts w:ascii="Arial" w:hAnsi="Arial" w:cs="Arial"/>
          <w:sz w:val="24"/>
          <w:szCs w:val="24"/>
        </w:rPr>
        <w:t>to assess the Department of Finance’s performance, and fairly</w:t>
      </w:r>
      <w:r>
        <w:rPr>
          <w:rFonts w:ascii="Arial" w:hAnsi="Arial" w:cs="Arial"/>
          <w:sz w:val="24"/>
          <w:szCs w:val="24"/>
        </w:rPr>
        <w:t xml:space="preserve"> </w:t>
      </w:r>
      <w:r w:rsidRPr="00CB4C52">
        <w:rPr>
          <w:rFonts w:ascii="Arial" w:hAnsi="Arial" w:cs="Arial"/>
          <w:sz w:val="24"/>
          <w:szCs w:val="24"/>
        </w:rPr>
        <w:t xml:space="preserve">represent the performance of the Department for the </w:t>
      </w:r>
      <w:r>
        <w:rPr>
          <w:rFonts w:ascii="Arial" w:hAnsi="Arial" w:cs="Arial"/>
          <w:sz w:val="24"/>
          <w:szCs w:val="24"/>
        </w:rPr>
        <w:t>f</w:t>
      </w:r>
      <w:r w:rsidRPr="00CB4C52">
        <w:rPr>
          <w:rFonts w:ascii="Arial" w:hAnsi="Arial" w:cs="Arial"/>
          <w:sz w:val="24"/>
          <w:szCs w:val="24"/>
        </w:rPr>
        <w:t>inancial year</w:t>
      </w:r>
      <w:r>
        <w:rPr>
          <w:rFonts w:ascii="Arial" w:hAnsi="Arial" w:cs="Arial"/>
          <w:sz w:val="24"/>
          <w:szCs w:val="24"/>
        </w:rPr>
        <w:t xml:space="preserve"> </w:t>
      </w:r>
      <w:r w:rsidRPr="00CB4C52">
        <w:rPr>
          <w:rFonts w:ascii="Arial" w:hAnsi="Arial" w:cs="Arial"/>
          <w:sz w:val="24"/>
          <w:szCs w:val="24"/>
        </w:rPr>
        <w:t>ended 30 June 2016.</w:t>
      </w:r>
    </w:p>
    <w:p w:rsidR="00881F74" w:rsidRDefault="00881F74" w:rsidP="00881F74">
      <w:pPr>
        <w:widowControl w:val="0"/>
        <w:kinsoku w:val="0"/>
        <w:overflowPunct w:val="0"/>
        <w:autoSpaceDE w:val="0"/>
        <w:autoSpaceDN w:val="0"/>
        <w:adjustRightInd w:val="0"/>
        <w:spacing w:before="141" w:line="240" w:lineRule="auto"/>
        <w:rPr>
          <w:rFonts w:ascii="Times New Roman" w:hAnsi="Times New Roman"/>
          <w:sz w:val="24"/>
          <w:szCs w:val="24"/>
        </w:rPr>
      </w:pPr>
    </w:p>
    <w:p w:rsidR="00881F74" w:rsidRDefault="00881F74" w:rsidP="00881F74">
      <w:pPr>
        <w:widowControl w:val="0"/>
        <w:kinsoku w:val="0"/>
        <w:overflowPunct w:val="0"/>
        <w:autoSpaceDE w:val="0"/>
        <w:autoSpaceDN w:val="0"/>
        <w:adjustRightInd w:val="0"/>
        <w:spacing w:before="141" w:line="240" w:lineRule="auto"/>
        <w:rPr>
          <w:rFonts w:ascii="Times New Roman" w:hAnsi="Times New Roman"/>
          <w:sz w:val="24"/>
          <w:szCs w:val="24"/>
        </w:rPr>
      </w:pPr>
    </w:p>
    <w:p w:rsidR="00881F74" w:rsidRPr="00C54FEA" w:rsidRDefault="00881F74" w:rsidP="00881F74">
      <w:pPr>
        <w:widowControl w:val="0"/>
        <w:kinsoku w:val="0"/>
        <w:overflowPunct w:val="0"/>
        <w:autoSpaceDE w:val="0"/>
        <w:autoSpaceDN w:val="0"/>
        <w:adjustRightInd w:val="0"/>
        <w:spacing w:before="141" w:line="240" w:lineRule="auto"/>
        <w:rPr>
          <w:rFonts w:ascii="Times New Roman" w:hAnsi="Times New Roman"/>
          <w:sz w:val="24"/>
          <w:szCs w:val="24"/>
        </w:rPr>
      </w:pPr>
    </w:p>
    <w:p w:rsidR="00881F74" w:rsidRPr="00C54FEA" w:rsidRDefault="00881F74" w:rsidP="00881F74">
      <w:pPr>
        <w:widowControl w:val="0"/>
        <w:kinsoku w:val="0"/>
        <w:overflowPunct w:val="0"/>
        <w:autoSpaceDE w:val="0"/>
        <w:autoSpaceDN w:val="0"/>
        <w:adjustRightInd w:val="0"/>
        <w:spacing w:before="141" w:line="240" w:lineRule="auto"/>
        <w:rPr>
          <w:rFonts w:ascii="Arial" w:hAnsi="Arial" w:cs="Arial"/>
          <w:sz w:val="24"/>
          <w:szCs w:val="24"/>
        </w:rPr>
      </w:pPr>
      <w:r w:rsidRPr="00C54FEA">
        <w:rPr>
          <w:rFonts w:ascii="Arial" w:hAnsi="Arial" w:cs="Arial"/>
          <w:sz w:val="24"/>
          <w:szCs w:val="24"/>
        </w:rPr>
        <w:t>Anne Nolan</w:t>
      </w:r>
    </w:p>
    <w:p w:rsidR="00881F74" w:rsidRPr="00C54FEA" w:rsidRDefault="00881F74" w:rsidP="00881F74">
      <w:pPr>
        <w:widowControl w:val="0"/>
        <w:kinsoku w:val="0"/>
        <w:overflowPunct w:val="0"/>
        <w:autoSpaceDE w:val="0"/>
        <w:autoSpaceDN w:val="0"/>
        <w:adjustRightInd w:val="0"/>
        <w:spacing w:before="141" w:line="240" w:lineRule="auto"/>
        <w:rPr>
          <w:rFonts w:ascii="Arial" w:hAnsi="Arial" w:cs="Arial"/>
          <w:sz w:val="24"/>
          <w:szCs w:val="24"/>
        </w:rPr>
      </w:pPr>
      <w:r w:rsidRPr="00C54FEA">
        <w:rPr>
          <w:rFonts w:ascii="Arial" w:hAnsi="Arial" w:cs="Arial"/>
          <w:sz w:val="24"/>
          <w:szCs w:val="24"/>
        </w:rPr>
        <w:t>Director General</w:t>
      </w:r>
    </w:p>
    <w:p w:rsidR="00881F74" w:rsidRPr="00C54FEA" w:rsidRDefault="00881F74" w:rsidP="00881F74">
      <w:pPr>
        <w:widowControl w:val="0"/>
        <w:kinsoku w:val="0"/>
        <w:overflowPunct w:val="0"/>
        <w:autoSpaceDE w:val="0"/>
        <w:autoSpaceDN w:val="0"/>
        <w:adjustRightInd w:val="0"/>
        <w:spacing w:before="141" w:line="240" w:lineRule="auto"/>
        <w:rPr>
          <w:rFonts w:ascii="Arial" w:hAnsi="Arial" w:cs="Arial"/>
          <w:sz w:val="24"/>
          <w:szCs w:val="24"/>
        </w:rPr>
      </w:pPr>
      <w:r w:rsidRPr="00C54FEA">
        <w:rPr>
          <w:rFonts w:ascii="Arial" w:hAnsi="Arial" w:cs="Arial"/>
          <w:sz w:val="24"/>
          <w:szCs w:val="24"/>
        </w:rPr>
        <w:t>2</w:t>
      </w:r>
      <w:r>
        <w:rPr>
          <w:rFonts w:ascii="Arial" w:hAnsi="Arial" w:cs="Arial"/>
          <w:sz w:val="24"/>
          <w:szCs w:val="24"/>
        </w:rPr>
        <w:t>4</w:t>
      </w:r>
      <w:r w:rsidRPr="00C54FEA">
        <w:rPr>
          <w:rFonts w:ascii="Arial" w:hAnsi="Arial" w:cs="Arial"/>
          <w:sz w:val="24"/>
          <w:szCs w:val="24"/>
        </w:rPr>
        <w:t xml:space="preserve"> </w:t>
      </w:r>
      <w:r>
        <w:rPr>
          <w:rFonts w:ascii="Arial" w:hAnsi="Arial" w:cs="Arial"/>
          <w:sz w:val="24"/>
          <w:szCs w:val="24"/>
        </w:rPr>
        <w:t xml:space="preserve">August </w:t>
      </w:r>
      <w:r w:rsidRPr="00C54FEA">
        <w:rPr>
          <w:rFonts w:ascii="Arial" w:hAnsi="Arial" w:cs="Arial"/>
          <w:sz w:val="24"/>
          <w:szCs w:val="24"/>
        </w:rPr>
        <w:t>201</w:t>
      </w:r>
      <w:r>
        <w:rPr>
          <w:rFonts w:ascii="Arial" w:hAnsi="Arial" w:cs="Arial"/>
          <w:sz w:val="24"/>
          <w:szCs w:val="24"/>
        </w:rPr>
        <w:t>6</w:t>
      </w:r>
    </w:p>
    <w:p w:rsidR="00881F74" w:rsidRPr="00C54FEA" w:rsidRDefault="00881F74" w:rsidP="00881F74">
      <w:pPr>
        <w:widowControl w:val="0"/>
        <w:kinsoku w:val="0"/>
        <w:overflowPunct w:val="0"/>
        <w:autoSpaceDE w:val="0"/>
        <w:autoSpaceDN w:val="0"/>
        <w:adjustRightInd w:val="0"/>
        <w:spacing w:before="141" w:line="240" w:lineRule="auto"/>
        <w:rPr>
          <w:rFonts w:ascii="Arial" w:hAnsi="Arial" w:cs="Arial"/>
          <w:sz w:val="24"/>
          <w:szCs w:val="24"/>
        </w:rPr>
      </w:pPr>
    </w:p>
    <w:p w:rsidR="00881F74" w:rsidRPr="00C54FEA" w:rsidRDefault="00881F74" w:rsidP="00881F74">
      <w:pPr>
        <w:widowControl w:val="0"/>
        <w:kinsoku w:val="0"/>
        <w:overflowPunct w:val="0"/>
        <w:autoSpaceDE w:val="0"/>
        <w:autoSpaceDN w:val="0"/>
        <w:adjustRightInd w:val="0"/>
        <w:spacing w:before="141" w:line="240" w:lineRule="auto"/>
        <w:rPr>
          <w:rFonts w:ascii="Arial" w:hAnsi="Arial" w:cs="Arial"/>
          <w:sz w:val="24"/>
          <w:szCs w:val="24"/>
        </w:rPr>
      </w:pPr>
    </w:p>
    <w:p w:rsidR="00881F74" w:rsidRPr="00C54FEA" w:rsidRDefault="00881F74" w:rsidP="00881F74">
      <w:pPr>
        <w:keepNext/>
        <w:keepLines/>
        <w:spacing w:before="200"/>
        <w:outlineLvl w:val="1"/>
        <w:rPr>
          <w:rFonts w:ascii="Arial" w:hAnsi="Arial"/>
          <w:b/>
          <w:bCs/>
          <w:sz w:val="40"/>
          <w:szCs w:val="26"/>
        </w:rPr>
      </w:pPr>
      <w:r w:rsidRPr="00C54FEA">
        <w:rPr>
          <w:rFonts w:ascii="Arial" w:hAnsi="Arial"/>
          <w:b/>
          <w:bCs/>
          <w:sz w:val="40"/>
          <w:szCs w:val="26"/>
        </w:rPr>
        <w:br w:type="page"/>
        <w:t>Performance assessment</w:t>
      </w:r>
    </w:p>
    <w:p w:rsidR="00881F74" w:rsidRPr="00C54FEA" w:rsidRDefault="00881F74" w:rsidP="00881F74">
      <w:pPr>
        <w:keepNext/>
        <w:spacing w:before="240" w:after="60"/>
        <w:outlineLvl w:val="2"/>
        <w:rPr>
          <w:rFonts w:ascii="Arial" w:hAnsi="Arial"/>
          <w:b/>
          <w:bCs/>
          <w:sz w:val="28"/>
          <w:szCs w:val="26"/>
        </w:rPr>
      </w:pPr>
      <w:r w:rsidRPr="00C54FEA">
        <w:rPr>
          <w:rFonts w:ascii="Arial" w:hAnsi="Arial"/>
          <w:b/>
          <w:bCs/>
          <w:sz w:val="28"/>
          <w:szCs w:val="26"/>
        </w:rPr>
        <w:t>Outcomes</w:t>
      </w:r>
    </w:p>
    <w:p w:rsidR="00881F74" w:rsidRPr="00C54FEA" w:rsidRDefault="00881F74" w:rsidP="00881F74">
      <w:pPr>
        <w:widowControl w:val="0"/>
        <w:kinsoku w:val="0"/>
        <w:overflowPunct w:val="0"/>
        <w:autoSpaceDE w:val="0"/>
        <w:autoSpaceDN w:val="0"/>
        <w:adjustRightInd w:val="0"/>
        <w:spacing w:before="141" w:line="240" w:lineRule="auto"/>
        <w:rPr>
          <w:rFonts w:ascii="Arial" w:hAnsi="Arial" w:cs="Arial"/>
          <w:sz w:val="24"/>
          <w:szCs w:val="24"/>
        </w:rPr>
      </w:pPr>
      <w:r w:rsidRPr="00C54FEA">
        <w:rPr>
          <w:rFonts w:ascii="Arial" w:hAnsi="Arial" w:cs="Arial"/>
          <w:sz w:val="24"/>
          <w:szCs w:val="24"/>
        </w:rPr>
        <w:t>The Government desired outcomes that the Department works to achieve its services are:</w:t>
      </w:r>
    </w:p>
    <w:p w:rsidR="00881F74" w:rsidRPr="00C54FEA" w:rsidRDefault="00881F74" w:rsidP="00881F74">
      <w:pPr>
        <w:widowControl w:val="0"/>
        <w:kinsoku w:val="0"/>
        <w:overflowPunct w:val="0"/>
        <w:autoSpaceDE w:val="0"/>
        <w:autoSpaceDN w:val="0"/>
        <w:adjustRightInd w:val="0"/>
        <w:spacing w:before="141" w:line="240" w:lineRule="auto"/>
        <w:rPr>
          <w:rFonts w:ascii="Arial" w:hAnsi="Arial" w:cs="Arial"/>
          <w:sz w:val="24"/>
          <w:szCs w:val="24"/>
        </w:rPr>
      </w:pPr>
    </w:p>
    <w:p w:rsidR="00881F74" w:rsidRDefault="00881F74" w:rsidP="00881F74">
      <w:pPr>
        <w:keepNext/>
        <w:rPr>
          <w:rFonts w:ascii="Arial" w:hAnsi="Arial" w:cs="Arial"/>
          <w:b/>
          <w:bCs/>
          <w:sz w:val="24"/>
          <w:szCs w:val="24"/>
        </w:rPr>
      </w:pPr>
      <w:r>
        <w:rPr>
          <w:rFonts w:ascii="Arial" w:hAnsi="Arial" w:cs="Arial"/>
          <w:b/>
          <w:sz w:val="24"/>
          <w:szCs w:val="24"/>
        </w:rPr>
        <w:fldChar w:fldCharType="begin"/>
      </w:r>
      <w:r>
        <w:rPr>
          <w:rFonts w:ascii="Arial" w:hAnsi="Arial" w:cs="Arial"/>
          <w:b/>
          <w:sz w:val="24"/>
          <w:szCs w:val="24"/>
        </w:rPr>
        <w:instrText xml:space="preserve"> SEQ Table \* ARABIC \r77 </w:instrText>
      </w:r>
      <w:r>
        <w:rPr>
          <w:rFonts w:ascii="Arial" w:hAnsi="Arial" w:cs="Arial"/>
          <w:b/>
          <w:sz w:val="24"/>
          <w:szCs w:val="24"/>
        </w:rPr>
        <w:fldChar w:fldCharType="separate"/>
      </w:r>
      <w:r w:rsidR="00D8778B">
        <w:rPr>
          <w:rFonts w:ascii="Arial" w:hAnsi="Arial" w:cs="Arial"/>
          <w:b/>
          <w:noProof/>
          <w:sz w:val="24"/>
          <w:szCs w:val="24"/>
        </w:rPr>
        <w:t>77</w:t>
      </w:r>
      <w:r>
        <w:rPr>
          <w:rFonts w:ascii="Arial" w:hAnsi="Arial" w:cs="Arial"/>
          <w:b/>
          <w:sz w:val="24"/>
          <w:szCs w:val="24"/>
        </w:rPr>
        <w:fldChar w:fldCharType="end"/>
      </w:r>
      <w:r w:rsidRPr="00FD4C79">
        <w:rPr>
          <w:rFonts w:ascii="Arial" w:hAnsi="Arial" w:cs="Arial"/>
          <w:b/>
          <w:bCs/>
          <w:sz w:val="24"/>
          <w:szCs w:val="24"/>
        </w:rPr>
        <w:t xml:space="preserve"> Government desired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AB1398" w:rsidTr="00854541">
        <w:trPr>
          <w:trHeight w:val="416"/>
        </w:trPr>
        <w:tc>
          <w:tcPr>
            <w:tcW w:w="3080" w:type="dxa"/>
            <w:shd w:val="clear" w:color="auto" w:fill="auto"/>
          </w:tcPr>
          <w:p w:rsidR="00AB1398" w:rsidRPr="00911400" w:rsidRDefault="00AB1398" w:rsidP="00854541">
            <w:pPr>
              <w:pStyle w:val="Tableboldedtext"/>
              <w:spacing w:before="141" w:after="0"/>
            </w:pPr>
            <w:r w:rsidRPr="00911400">
              <w:t>Government goals</w:t>
            </w:r>
          </w:p>
        </w:tc>
        <w:tc>
          <w:tcPr>
            <w:tcW w:w="3081" w:type="dxa"/>
            <w:shd w:val="clear" w:color="auto" w:fill="auto"/>
          </w:tcPr>
          <w:p w:rsidR="00AB1398" w:rsidRPr="00911400" w:rsidRDefault="00AB1398" w:rsidP="00854541">
            <w:pPr>
              <w:pStyle w:val="Tableboldedtext"/>
              <w:spacing w:before="141" w:after="0"/>
            </w:pPr>
            <w:r w:rsidRPr="00911400">
              <w:t>Desired outcomes</w:t>
            </w:r>
          </w:p>
        </w:tc>
        <w:tc>
          <w:tcPr>
            <w:tcW w:w="3081" w:type="dxa"/>
            <w:shd w:val="clear" w:color="auto" w:fill="auto"/>
          </w:tcPr>
          <w:p w:rsidR="00AB1398" w:rsidRPr="00911400" w:rsidRDefault="00AB1398" w:rsidP="00854541">
            <w:pPr>
              <w:pStyle w:val="Tableboldedtext"/>
              <w:spacing w:before="141" w:after="0"/>
            </w:pPr>
            <w:r w:rsidRPr="00911400">
              <w:t>Services</w:t>
            </w:r>
          </w:p>
        </w:tc>
      </w:tr>
      <w:tr w:rsidR="00AB1398" w:rsidTr="00854541">
        <w:trPr>
          <w:trHeight w:val="421"/>
        </w:trPr>
        <w:tc>
          <w:tcPr>
            <w:tcW w:w="9242" w:type="dxa"/>
            <w:gridSpan w:val="3"/>
            <w:shd w:val="clear" w:color="auto" w:fill="auto"/>
          </w:tcPr>
          <w:p w:rsidR="00AB1398" w:rsidRPr="00621188" w:rsidRDefault="00AB1398" w:rsidP="00854541">
            <w:pPr>
              <w:pStyle w:val="Tableboldedtext"/>
              <w:spacing w:before="141" w:after="0"/>
            </w:pPr>
            <w:r w:rsidRPr="00621188">
              <w:t>Financial and economic responsibility</w:t>
            </w:r>
          </w:p>
        </w:tc>
      </w:tr>
      <w:tr w:rsidR="00AB1398" w:rsidTr="00854541">
        <w:trPr>
          <w:trHeight w:val="981"/>
        </w:trPr>
        <w:tc>
          <w:tcPr>
            <w:tcW w:w="3080" w:type="dxa"/>
            <w:vMerge w:val="restart"/>
            <w:shd w:val="clear" w:color="auto" w:fill="auto"/>
          </w:tcPr>
          <w:p w:rsidR="00AB1398" w:rsidRPr="001A015B" w:rsidRDefault="00AB1398" w:rsidP="00854541">
            <w:pPr>
              <w:pStyle w:val="Tabletext"/>
              <w:spacing w:before="141" w:after="0"/>
            </w:pPr>
            <w:r w:rsidRPr="00E86B8F">
              <w:t>Responsibly managing the State’s finances through the efficient and effective delivery of services, encouraging economic activity and reducing regulatory burdens on the private sector.</w:t>
            </w:r>
          </w:p>
        </w:tc>
        <w:tc>
          <w:tcPr>
            <w:tcW w:w="3081" w:type="dxa"/>
            <w:shd w:val="clear" w:color="auto" w:fill="auto"/>
          </w:tcPr>
          <w:p w:rsidR="00AB1398" w:rsidRDefault="00AB1398" w:rsidP="00854541">
            <w:pPr>
              <w:pStyle w:val="Tabletext"/>
              <w:spacing w:before="141" w:after="0"/>
            </w:pPr>
            <w:r>
              <w:t>Due and payable revenue is</w:t>
            </w:r>
            <w:r w:rsidRPr="001A015B">
              <w:t xml:space="preserve"> </w:t>
            </w:r>
            <w:r>
              <w:t>collected and eligible grants,</w:t>
            </w:r>
            <w:r w:rsidRPr="001A015B">
              <w:t xml:space="preserve"> </w:t>
            </w:r>
            <w:r>
              <w:t>subsidies and rebates paid.</w:t>
            </w:r>
          </w:p>
        </w:tc>
        <w:tc>
          <w:tcPr>
            <w:tcW w:w="3081" w:type="dxa"/>
            <w:shd w:val="clear" w:color="auto" w:fill="auto"/>
          </w:tcPr>
          <w:p w:rsidR="00AB1398" w:rsidRDefault="00AB1398" w:rsidP="00854541">
            <w:pPr>
              <w:pStyle w:val="Tabletext"/>
              <w:spacing w:before="141" w:after="0"/>
            </w:pPr>
            <w:r>
              <w:t>Revenue assessment and</w:t>
            </w:r>
            <w:r w:rsidRPr="001A015B">
              <w:t xml:space="preserve"> </w:t>
            </w:r>
            <w:r>
              <w:t>collection, and grants and</w:t>
            </w:r>
            <w:r w:rsidRPr="001A015B">
              <w:t xml:space="preserve"> </w:t>
            </w:r>
            <w:r>
              <w:t>subsidies administration.</w:t>
            </w:r>
          </w:p>
        </w:tc>
      </w:tr>
      <w:tr w:rsidR="00AB1398" w:rsidTr="00854541">
        <w:trPr>
          <w:trHeight w:val="1606"/>
        </w:trPr>
        <w:tc>
          <w:tcPr>
            <w:tcW w:w="3080" w:type="dxa"/>
            <w:vMerge/>
            <w:shd w:val="clear" w:color="auto" w:fill="auto"/>
          </w:tcPr>
          <w:p w:rsidR="00AB1398" w:rsidRPr="00621188" w:rsidRDefault="00AB1398" w:rsidP="00854541">
            <w:pPr>
              <w:pStyle w:val="Tabletext"/>
              <w:spacing w:before="141" w:after="0"/>
            </w:pPr>
          </w:p>
        </w:tc>
        <w:tc>
          <w:tcPr>
            <w:tcW w:w="3081" w:type="dxa"/>
            <w:shd w:val="clear" w:color="auto" w:fill="auto"/>
          </w:tcPr>
          <w:p w:rsidR="00AB1398" w:rsidRPr="001A015B" w:rsidRDefault="00AB1398" w:rsidP="00854541">
            <w:pPr>
              <w:pStyle w:val="Tabletext"/>
              <w:spacing w:before="141" w:after="0"/>
            </w:pPr>
            <w:r w:rsidRPr="001A015B">
              <w:t xml:space="preserve">As sustainable, efficient, secure and affordable energy </w:t>
            </w:r>
          </w:p>
        </w:tc>
        <w:tc>
          <w:tcPr>
            <w:tcW w:w="3081" w:type="dxa"/>
            <w:shd w:val="clear" w:color="auto" w:fill="auto"/>
          </w:tcPr>
          <w:p w:rsidR="00AB1398" w:rsidRPr="001A015B" w:rsidRDefault="00AB1398" w:rsidP="00854541">
            <w:pPr>
              <w:pStyle w:val="Tabletext"/>
              <w:spacing w:before="141" w:after="0"/>
            </w:pPr>
            <w:r w:rsidRPr="001A015B">
              <w:t>Development and implementation of energy policy and economic reform; assessment of proposed policy changes and the impact on regulatory functions.</w:t>
            </w:r>
          </w:p>
        </w:tc>
      </w:tr>
      <w:tr w:rsidR="00AB1398" w:rsidTr="00854541">
        <w:trPr>
          <w:trHeight w:val="357"/>
        </w:trPr>
        <w:tc>
          <w:tcPr>
            <w:tcW w:w="9242" w:type="dxa"/>
            <w:gridSpan w:val="3"/>
            <w:shd w:val="clear" w:color="auto" w:fill="auto"/>
          </w:tcPr>
          <w:p w:rsidR="00AB1398" w:rsidRPr="00621188" w:rsidRDefault="00AB1398" w:rsidP="00854541">
            <w:pPr>
              <w:pStyle w:val="Tableboldedtext"/>
              <w:spacing w:before="141" w:after="0"/>
            </w:pPr>
            <w:r w:rsidRPr="00621188">
              <w:t>Results-based service delivery</w:t>
            </w:r>
          </w:p>
        </w:tc>
      </w:tr>
      <w:tr w:rsidR="00AB1398" w:rsidTr="00854541">
        <w:trPr>
          <w:trHeight w:val="1691"/>
        </w:trPr>
        <w:tc>
          <w:tcPr>
            <w:tcW w:w="3080" w:type="dxa"/>
            <w:vMerge w:val="restart"/>
            <w:shd w:val="clear" w:color="auto" w:fill="auto"/>
          </w:tcPr>
          <w:p w:rsidR="00AB1398" w:rsidRDefault="00AB1398" w:rsidP="00854541">
            <w:pPr>
              <w:pStyle w:val="Tabletext"/>
              <w:spacing w:before="141" w:after="0"/>
            </w:pPr>
            <w:r w:rsidRPr="00E86B8F">
              <w:t>Greater focus on achieving results in key service delivery areas for the benefit of all Western Australians.</w:t>
            </w:r>
          </w:p>
        </w:tc>
        <w:tc>
          <w:tcPr>
            <w:tcW w:w="3081" w:type="dxa"/>
            <w:shd w:val="clear" w:color="auto" w:fill="auto"/>
          </w:tcPr>
          <w:p w:rsidR="00AB1398" w:rsidRDefault="00AB1398" w:rsidP="00854541">
            <w:pPr>
              <w:pStyle w:val="Tabletext"/>
              <w:spacing w:before="141" w:after="0"/>
            </w:pPr>
            <w:r>
              <w:t>Value-for-money from public</w:t>
            </w:r>
            <w:r w:rsidRPr="00F9334D">
              <w:rPr>
                <w:spacing w:val="23"/>
              </w:rPr>
              <w:t xml:space="preserve"> </w:t>
            </w:r>
            <w:r>
              <w:t>sector procurement.</w:t>
            </w:r>
          </w:p>
        </w:tc>
        <w:tc>
          <w:tcPr>
            <w:tcW w:w="3081" w:type="dxa"/>
            <w:shd w:val="clear" w:color="auto" w:fill="auto"/>
          </w:tcPr>
          <w:p w:rsidR="00AB1398" w:rsidRDefault="00AB1398" w:rsidP="00854541">
            <w:pPr>
              <w:pStyle w:val="Tabletext"/>
              <w:spacing w:before="141" w:after="0"/>
            </w:pPr>
            <w:r>
              <w:t>Development and management</w:t>
            </w:r>
            <w:r w:rsidRPr="00F9334D">
              <w:rPr>
                <w:spacing w:val="35"/>
              </w:rPr>
              <w:t xml:space="preserve"> </w:t>
            </w:r>
            <w:r>
              <w:t>of common use contract arrangements, State Fleet leasing and disposal, and providing</w:t>
            </w:r>
            <w:r w:rsidRPr="00F9334D">
              <w:rPr>
                <w:spacing w:val="25"/>
              </w:rPr>
              <w:t xml:space="preserve"> </w:t>
            </w:r>
            <w:r>
              <w:t>facilitation service for agency</w:t>
            </w:r>
            <w:r w:rsidRPr="00F9334D">
              <w:rPr>
                <w:spacing w:val="35"/>
              </w:rPr>
              <w:t xml:space="preserve"> </w:t>
            </w:r>
            <w:r>
              <w:t>specific</w:t>
            </w:r>
            <w:r w:rsidRPr="00F9334D">
              <w:rPr>
                <w:spacing w:val="-7"/>
              </w:rPr>
              <w:t xml:space="preserve"> </w:t>
            </w:r>
            <w:r>
              <w:t>contracts.</w:t>
            </w:r>
          </w:p>
        </w:tc>
      </w:tr>
      <w:tr w:rsidR="00AB1398" w:rsidTr="00854541">
        <w:trPr>
          <w:trHeight w:val="978"/>
        </w:trPr>
        <w:tc>
          <w:tcPr>
            <w:tcW w:w="3080" w:type="dxa"/>
            <w:vMerge/>
            <w:shd w:val="clear" w:color="auto" w:fill="auto"/>
          </w:tcPr>
          <w:p w:rsidR="00AB1398" w:rsidRDefault="00AB1398" w:rsidP="00854541">
            <w:pPr>
              <w:spacing w:before="141" w:after="0" w:line="240" w:lineRule="auto"/>
            </w:pPr>
          </w:p>
        </w:tc>
        <w:tc>
          <w:tcPr>
            <w:tcW w:w="3081" w:type="dxa"/>
            <w:shd w:val="clear" w:color="auto" w:fill="auto"/>
          </w:tcPr>
          <w:p w:rsidR="00AB1398" w:rsidRDefault="00AB1398" w:rsidP="00854541">
            <w:pPr>
              <w:pStyle w:val="Tabletext"/>
              <w:spacing w:before="141" w:after="0"/>
            </w:pPr>
            <w:r>
              <w:t>Efficient and effective Corporate Services to the Department of Treasury.</w:t>
            </w:r>
          </w:p>
        </w:tc>
        <w:tc>
          <w:tcPr>
            <w:tcW w:w="3081" w:type="dxa"/>
            <w:shd w:val="clear" w:color="auto" w:fill="auto"/>
          </w:tcPr>
          <w:p w:rsidR="00AB1398" w:rsidRDefault="00AB1398" w:rsidP="00854541">
            <w:pPr>
              <w:pStyle w:val="Tabletext"/>
              <w:spacing w:before="141" w:after="0"/>
            </w:pPr>
            <w:r>
              <w:t>Corporate Services to the Department of Treasury.</w:t>
            </w:r>
          </w:p>
        </w:tc>
      </w:tr>
      <w:tr w:rsidR="00AB1398" w:rsidTr="00854541">
        <w:trPr>
          <w:trHeight w:val="416"/>
        </w:trPr>
        <w:tc>
          <w:tcPr>
            <w:tcW w:w="9242" w:type="dxa"/>
            <w:gridSpan w:val="3"/>
            <w:shd w:val="clear" w:color="auto" w:fill="auto"/>
          </w:tcPr>
          <w:p w:rsidR="00AB1398" w:rsidRPr="00621188" w:rsidRDefault="00AB1398" w:rsidP="00854541">
            <w:pPr>
              <w:pStyle w:val="Tableboldedtext"/>
              <w:spacing w:before="141" w:after="0"/>
            </w:pPr>
            <w:r w:rsidRPr="00621188">
              <w:t>State building - major projects</w:t>
            </w:r>
          </w:p>
        </w:tc>
      </w:tr>
      <w:tr w:rsidR="00AB1398" w:rsidTr="00854541">
        <w:trPr>
          <w:trHeight w:val="1465"/>
        </w:trPr>
        <w:tc>
          <w:tcPr>
            <w:tcW w:w="3080" w:type="dxa"/>
            <w:shd w:val="clear" w:color="auto" w:fill="auto"/>
          </w:tcPr>
          <w:p w:rsidR="00AB1398" w:rsidRPr="005D4853" w:rsidRDefault="00AB1398" w:rsidP="00854541">
            <w:pPr>
              <w:pStyle w:val="Tabletext"/>
              <w:spacing w:before="141" w:after="0"/>
            </w:pPr>
            <w:r w:rsidRPr="00E86B8F">
              <w:t>Building strategic infrastructure that will create jobs and underpin Western Australia’s long-term economic development.</w:t>
            </w:r>
          </w:p>
        </w:tc>
        <w:tc>
          <w:tcPr>
            <w:tcW w:w="3081" w:type="dxa"/>
            <w:shd w:val="clear" w:color="auto" w:fill="auto"/>
          </w:tcPr>
          <w:p w:rsidR="00AB1398" w:rsidRPr="005D4853" w:rsidRDefault="00AB1398" w:rsidP="00854541">
            <w:pPr>
              <w:pStyle w:val="Tabletext"/>
              <w:spacing w:before="141" w:after="0"/>
            </w:pPr>
            <w:r>
              <w:t>Value-for-money from</w:t>
            </w:r>
            <w:r w:rsidRPr="001A015B">
              <w:t xml:space="preserve"> </w:t>
            </w:r>
            <w:r>
              <w:t xml:space="preserve">the management of the </w:t>
            </w:r>
            <w:r w:rsidRPr="001A015B">
              <w:t>Government’s</w:t>
            </w:r>
            <w:r>
              <w:t xml:space="preserve"> non-residential</w:t>
            </w:r>
            <w:r w:rsidRPr="001A015B">
              <w:t xml:space="preserve"> </w:t>
            </w:r>
            <w:r>
              <w:t>buildings and public works.</w:t>
            </w:r>
          </w:p>
        </w:tc>
        <w:tc>
          <w:tcPr>
            <w:tcW w:w="3081" w:type="dxa"/>
            <w:shd w:val="clear" w:color="auto" w:fill="auto"/>
          </w:tcPr>
          <w:p w:rsidR="00AB1398" w:rsidRPr="005D4853" w:rsidRDefault="00AB1398" w:rsidP="00854541">
            <w:pPr>
              <w:pStyle w:val="Tabletext"/>
              <w:spacing w:before="141" w:after="0"/>
            </w:pPr>
            <w:r>
              <w:t>Leads the planning,</w:t>
            </w:r>
            <w:r w:rsidRPr="001A015B">
              <w:t xml:space="preserve"> </w:t>
            </w:r>
            <w:r>
              <w:t>delivery, management and maintenance of government</w:t>
            </w:r>
            <w:r w:rsidRPr="001A015B">
              <w:t xml:space="preserve"> </w:t>
            </w:r>
            <w:r>
              <w:t>buildings,</w:t>
            </w:r>
            <w:r w:rsidRPr="001A015B">
              <w:t xml:space="preserve"> </w:t>
            </w:r>
            <w:r>
              <w:t>projects and office</w:t>
            </w:r>
            <w:r w:rsidRPr="001A015B">
              <w:t xml:space="preserve"> </w:t>
            </w:r>
            <w:r>
              <w:t>accommodation.</w:t>
            </w:r>
          </w:p>
        </w:tc>
      </w:tr>
    </w:tbl>
    <w:p w:rsidR="00881F74" w:rsidRPr="00C54FEA" w:rsidRDefault="00881F74" w:rsidP="00881F74">
      <w:pPr>
        <w:keepNext/>
        <w:spacing w:before="240" w:after="60"/>
        <w:outlineLvl w:val="2"/>
        <w:rPr>
          <w:rFonts w:ascii="Arial" w:hAnsi="Arial"/>
          <w:b/>
          <w:bCs/>
          <w:sz w:val="28"/>
          <w:szCs w:val="26"/>
        </w:rPr>
      </w:pPr>
      <w:r w:rsidRPr="00C54FEA">
        <w:rPr>
          <w:rFonts w:ascii="Arial" w:hAnsi="Arial"/>
          <w:b/>
          <w:bCs/>
          <w:sz w:val="28"/>
          <w:szCs w:val="26"/>
        </w:rPr>
        <w:t xml:space="preserve">Measuring the performance </w:t>
      </w:r>
    </w:p>
    <w:p w:rsidR="00881F74" w:rsidRPr="00C54FEA" w:rsidRDefault="00881F74" w:rsidP="005E51B7">
      <w:pPr>
        <w:keepNext/>
        <w:keepLines/>
        <w:spacing w:before="141" w:after="0" w:line="240" w:lineRule="auto"/>
        <w:outlineLvl w:val="1"/>
        <w:rPr>
          <w:rFonts w:ascii="Arial" w:hAnsi="Arial"/>
          <w:b/>
          <w:bCs/>
          <w:sz w:val="40"/>
          <w:szCs w:val="26"/>
        </w:rPr>
      </w:pPr>
      <w:r w:rsidRPr="00CB4C52">
        <w:rPr>
          <w:rFonts w:ascii="Arial" w:hAnsi="Arial" w:cs="Arial"/>
          <w:sz w:val="24"/>
          <w:szCs w:val="24"/>
        </w:rPr>
        <w:t>The Department of Finance measures its</w:t>
      </w:r>
      <w:r>
        <w:rPr>
          <w:rFonts w:ascii="Arial" w:hAnsi="Arial" w:cs="Arial"/>
          <w:sz w:val="24"/>
          <w:szCs w:val="24"/>
        </w:rPr>
        <w:t xml:space="preserve"> </w:t>
      </w:r>
      <w:r w:rsidRPr="00CB4C52">
        <w:rPr>
          <w:rFonts w:ascii="Arial" w:hAnsi="Arial" w:cs="Arial"/>
          <w:sz w:val="24"/>
          <w:szCs w:val="24"/>
        </w:rPr>
        <w:t>performance through statistical information and</w:t>
      </w:r>
      <w:r>
        <w:rPr>
          <w:rFonts w:ascii="Arial" w:hAnsi="Arial" w:cs="Arial"/>
          <w:sz w:val="24"/>
          <w:szCs w:val="24"/>
        </w:rPr>
        <w:t xml:space="preserve"> </w:t>
      </w:r>
      <w:r w:rsidRPr="00CB4C52">
        <w:rPr>
          <w:rFonts w:ascii="Arial" w:hAnsi="Arial" w:cs="Arial"/>
          <w:sz w:val="24"/>
          <w:szCs w:val="24"/>
        </w:rPr>
        <w:t>survey questionnaires. Statistical indicators are</w:t>
      </w:r>
      <w:r>
        <w:rPr>
          <w:rFonts w:ascii="Arial" w:hAnsi="Arial" w:cs="Arial"/>
          <w:sz w:val="24"/>
          <w:szCs w:val="24"/>
        </w:rPr>
        <w:t xml:space="preserve"> </w:t>
      </w:r>
      <w:r w:rsidRPr="00CB4C52">
        <w:rPr>
          <w:rFonts w:ascii="Arial" w:hAnsi="Arial" w:cs="Arial"/>
          <w:sz w:val="24"/>
          <w:szCs w:val="24"/>
        </w:rPr>
        <w:t xml:space="preserve">included to help report </w:t>
      </w:r>
      <w:r>
        <w:rPr>
          <w:rFonts w:ascii="Arial" w:hAnsi="Arial" w:cs="Arial"/>
          <w:sz w:val="24"/>
          <w:szCs w:val="24"/>
        </w:rPr>
        <w:t>p</w:t>
      </w:r>
      <w:r w:rsidRPr="00CB4C52">
        <w:rPr>
          <w:rFonts w:ascii="Arial" w:hAnsi="Arial" w:cs="Arial"/>
          <w:sz w:val="24"/>
          <w:szCs w:val="24"/>
        </w:rPr>
        <w:t>erformance in both</w:t>
      </w:r>
      <w:r>
        <w:rPr>
          <w:rFonts w:ascii="Arial" w:hAnsi="Arial" w:cs="Arial"/>
          <w:sz w:val="24"/>
          <w:szCs w:val="24"/>
        </w:rPr>
        <w:t xml:space="preserve"> </w:t>
      </w:r>
      <w:r w:rsidRPr="00CB4C52">
        <w:rPr>
          <w:rFonts w:ascii="Arial" w:hAnsi="Arial" w:cs="Arial"/>
          <w:sz w:val="24"/>
          <w:szCs w:val="24"/>
        </w:rPr>
        <w:t>outcome and service areas. The use of in-house</w:t>
      </w:r>
      <w:r>
        <w:rPr>
          <w:rFonts w:ascii="Arial" w:hAnsi="Arial" w:cs="Arial"/>
          <w:sz w:val="24"/>
          <w:szCs w:val="24"/>
        </w:rPr>
        <w:t xml:space="preserve"> </w:t>
      </w:r>
      <w:r w:rsidRPr="00CB4C52">
        <w:rPr>
          <w:rFonts w:ascii="Arial" w:hAnsi="Arial" w:cs="Arial"/>
          <w:sz w:val="24"/>
          <w:szCs w:val="24"/>
        </w:rPr>
        <w:t>statistical data complements the survey-based</w:t>
      </w:r>
      <w:r>
        <w:rPr>
          <w:rFonts w:ascii="Arial" w:hAnsi="Arial" w:cs="Arial"/>
          <w:sz w:val="24"/>
          <w:szCs w:val="24"/>
        </w:rPr>
        <w:t xml:space="preserve"> </w:t>
      </w:r>
      <w:r w:rsidRPr="00CB4C52">
        <w:rPr>
          <w:rFonts w:ascii="Arial" w:hAnsi="Arial" w:cs="Arial"/>
          <w:sz w:val="24"/>
          <w:szCs w:val="24"/>
        </w:rPr>
        <w:t>results and adds scope and objectivity to the</w:t>
      </w:r>
      <w:r>
        <w:rPr>
          <w:rFonts w:ascii="Arial" w:hAnsi="Arial" w:cs="Arial"/>
          <w:sz w:val="24"/>
          <w:szCs w:val="24"/>
        </w:rPr>
        <w:t xml:space="preserve"> </w:t>
      </w:r>
      <w:r w:rsidRPr="00CB4C52">
        <w:rPr>
          <w:rFonts w:ascii="Arial" w:hAnsi="Arial" w:cs="Arial"/>
          <w:sz w:val="24"/>
          <w:szCs w:val="24"/>
        </w:rPr>
        <w:t>sources of information used in measuring</w:t>
      </w:r>
      <w:r>
        <w:rPr>
          <w:rFonts w:ascii="Arial" w:hAnsi="Arial" w:cs="Arial"/>
          <w:sz w:val="24"/>
          <w:szCs w:val="24"/>
        </w:rPr>
        <w:t xml:space="preserve"> </w:t>
      </w:r>
      <w:r w:rsidRPr="00CB4C52">
        <w:rPr>
          <w:rFonts w:ascii="Arial" w:hAnsi="Arial" w:cs="Arial"/>
          <w:sz w:val="24"/>
          <w:szCs w:val="24"/>
        </w:rPr>
        <w:t>our performance.</w:t>
      </w:r>
      <w:r w:rsidRPr="00C54FEA">
        <w:rPr>
          <w:rFonts w:ascii="Arial" w:hAnsi="Arial"/>
          <w:b/>
          <w:bCs/>
          <w:sz w:val="40"/>
          <w:szCs w:val="26"/>
        </w:rPr>
        <w:br w:type="page"/>
        <w:t>State Revenue</w:t>
      </w:r>
    </w:p>
    <w:p w:rsidR="00881F74" w:rsidRPr="00C54FEA" w:rsidRDefault="00881F74" w:rsidP="00881F74">
      <w:pPr>
        <w:keepNext/>
        <w:spacing w:before="240" w:after="60"/>
        <w:outlineLvl w:val="2"/>
        <w:rPr>
          <w:rFonts w:ascii="Arial" w:hAnsi="Arial"/>
          <w:b/>
          <w:bCs/>
          <w:sz w:val="28"/>
          <w:szCs w:val="26"/>
        </w:rPr>
      </w:pPr>
      <w:r w:rsidRPr="00C54FEA">
        <w:rPr>
          <w:rFonts w:ascii="Arial" w:hAnsi="Arial"/>
          <w:b/>
          <w:bCs/>
          <w:sz w:val="28"/>
          <w:szCs w:val="26"/>
        </w:rPr>
        <w:t>Key effectiveness indicators</w:t>
      </w:r>
    </w:p>
    <w:p w:rsidR="00881F74" w:rsidRPr="00C54FEA" w:rsidRDefault="00881F74" w:rsidP="00881F74">
      <w:pPr>
        <w:keepNext/>
        <w:spacing w:before="240" w:after="60"/>
        <w:outlineLvl w:val="3"/>
        <w:rPr>
          <w:rFonts w:ascii="Arial" w:hAnsi="Arial"/>
          <w:b/>
          <w:bCs/>
          <w:sz w:val="26"/>
          <w:szCs w:val="28"/>
        </w:rPr>
      </w:pPr>
      <w:r w:rsidRPr="00C54FEA">
        <w:rPr>
          <w:rFonts w:ascii="Arial" w:hAnsi="Arial"/>
          <w:b/>
          <w:bCs/>
          <w:sz w:val="26"/>
          <w:szCs w:val="28"/>
        </w:rPr>
        <w:t>Outcome 1: Due and payable revenue is collected and eligible grants, subsidies and rebates paid</w:t>
      </w:r>
    </w:p>
    <w:p w:rsidR="00881F74" w:rsidRPr="00CB4C52" w:rsidRDefault="00881F74" w:rsidP="00881F74">
      <w:pPr>
        <w:widowControl w:val="0"/>
        <w:kinsoku w:val="0"/>
        <w:overflowPunct w:val="0"/>
        <w:autoSpaceDE w:val="0"/>
        <w:autoSpaceDN w:val="0"/>
        <w:adjustRightInd w:val="0"/>
        <w:spacing w:before="141" w:line="240" w:lineRule="auto"/>
        <w:rPr>
          <w:rFonts w:ascii="Arial" w:hAnsi="Arial" w:cs="Arial"/>
          <w:sz w:val="24"/>
          <w:szCs w:val="24"/>
        </w:rPr>
      </w:pPr>
      <w:r w:rsidRPr="00CB4C52">
        <w:rPr>
          <w:rFonts w:ascii="Arial" w:hAnsi="Arial" w:cs="Arial"/>
          <w:sz w:val="24"/>
          <w:szCs w:val="24"/>
        </w:rPr>
        <w:t>The Department, through State Revenue,</w:t>
      </w:r>
      <w:r>
        <w:rPr>
          <w:rFonts w:ascii="Arial" w:hAnsi="Arial" w:cs="Arial"/>
          <w:sz w:val="24"/>
          <w:szCs w:val="24"/>
        </w:rPr>
        <w:t xml:space="preserve"> </w:t>
      </w:r>
      <w:r w:rsidRPr="00CB4C52">
        <w:rPr>
          <w:rFonts w:ascii="Arial" w:hAnsi="Arial" w:cs="Arial"/>
          <w:sz w:val="24"/>
          <w:szCs w:val="24"/>
        </w:rPr>
        <w:t>administers a range of revenue laws on behalf</w:t>
      </w:r>
      <w:r>
        <w:rPr>
          <w:rFonts w:ascii="Arial" w:hAnsi="Arial" w:cs="Arial"/>
          <w:sz w:val="24"/>
          <w:szCs w:val="24"/>
        </w:rPr>
        <w:t xml:space="preserve"> </w:t>
      </w:r>
      <w:r w:rsidRPr="00CB4C52">
        <w:rPr>
          <w:rFonts w:ascii="Arial" w:hAnsi="Arial" w:cs="Arial"/>
          <w:sz w:val="24"/>
          <w:szCs w:val="24"/>
        </w:rPr>
        <w:t>of the Government. This involves the collection</w:t>
      </w:r>
      <w:r>
        <w:rPr>
          <w:rFonts w:ascii="Arial" w:hAnsi="Arial" w:cs="Arial"/>
          <w:sz w:val="24"/>
          <w:szCs w:val="24"/>
        </w:rPr>
        <w:t xml:space="preserve"> </w:t>
      </w:r>
      <w:r w:rsidRPr="00CB4C52">
        <w:rPr>
          <w:rFonts w:ascii="Arial" w:hAnsi="Arial" w:cs="Arial"/>
          <w:sz w:val="24"/>
          <w:szCs w:val="24"/>
        </w:rPr>
        <w:t>of revenue raised and payment of grants and</w:t>
      </w:r>
      <w:r>
        <w:rPr>
          <w:rFonts w:ascii="Arial" w:hAnsi="Arial" w:cs="Arial"/>
          <w:sz w:val="24"/>
          <w:szCs w:val="24"/>
        </w:rPr>
        <w:t xml:space="preserve"> </w:t>
      </w:r>
      <w:r w:rsidRPr="00CB4C52">
        <w:rPr>
          <w:rFonts w:ascii="Arial" w:hAnsi="Arial" w:cs="Arial"/>
          <w:sz w:val="24"/>
          <w:szCs w:val="24"/>
        </w:rPr>
        <w:t>subsidies under relevant legislation, as well as a</w:t>
      </w:r>
      <w:r>
        <w:rPr>
          <w:rFonts w:ascii="Arial" w:hAnsi="Arial" w:cs="Arial"/>
          <w:sz w:val="24"/>
          <w:szCs w:val="24"/>
        </w:rPr>
        <w:t xml:space="preserve"> </w:t>
      </w:r>
      <w:r w:rsidRPr="00CB4C52">
        <w:rPr>
          <w:rFonts w:ascii="Arial" w:hAnsi="Arial" w:cs="Arial"/>
          <w:sz w:val="24"/>
          <w:szCs w:val="24"/>
        </w:rPr>
        <w:t>number of administrative-based schemes.</w:t>
      </w:r>
    </w:p>
    <w:p w:rsidR="00881F74" w:rsidRPr="00C54FEA" w:rsidRDefault="00881F74" w:rsidP="00881F74">
      <w:pPr>
        <w:widowControl w:val="0"/>
        <w:kinsoku w:val="0"/>
        <w:overflowPunct w:val="0"/>
        <w:autoSpaceDE w:val="0"/>
        <w:autoSpaceDN w:val="0"/>
        <w:adjustRightInd w:val="0"/>
        <w:spacing w:before="141" w:line="240" w:lineRule="auto"/>
        <w:rPr>
          <w:rFonts w:ascii="Arial" w:hAnsi="Arial" w:cs="Arial"/>
          <w:sz w:val="24"/>
          <w:szCs w:val="24"/>
        </w:rPr>
      </w:pPr>
      <w:r w:rsidRPr="00CB4C52">
        <w:rPr>
          <w:rFonts w:ascii="Arial" w:hAnsi="Arial" w:cs="Arial"/>
          <w:sz w:val="24"/>
          <w:szCs w:val="24"/>
        </w:rPr>
        <w:t>These measures for revenue collection and</w:t>
      </w:r>
      <w:r>
        <w:rPr>
          <w:rFonts w:ascii="Arial" w:hAnsi="Arial" w:cs="Arial"/>
          <w:sz w:val="24"/>
          <w:szCs w:val="24"/>
        </w:rPr>
        <w:t xml:space="preserve"> </w:t>
      </w:r>
      <w:r w:rsidRPr="00CB4C52">
        <w:rPr>
          <w:rFonts w:ascii="Arial" w:hAnsi="Arial" w:cs="Arial"/>
          <w:sz w:val="24"/>
          <w:szCs w:val="24"/>
        </w:rPr>
        <w:t>grant, subsidy and rebate payments provide</w:t>
      </w:r>
      <w:r>
        <w:rPr>
          <w:rFonts w:ascii="Arial" w:hAnsi="Arial" w:cs="Arial"/>
          <w:sz w:val="24"/>
          <w:szCs w:val="24"/>
        </w:rPr>
        <w:t xml:space="preserve"> </w:t>
      </w:r>
      <w:r w:rsidRPr="00CB4C52">
        <w:rPr>
          <w:rFonts w:ascii="Arial" w:hAnsi="Arial" w:cs="Arial"/>
          <w:sz w:val="24"/>
          <w:szCs w:val="24"/>
        </w:rPr>
        <w:t>an indication of our effectiveness in collecting</w:t>
      </w:r>
      <w:r>
        <w:rPr>
          <w:rFonts w:ascii="Arial" w:hAnsi="Arial" w:cs="Arial"/>
          <w:sz w:val="24"/>
          <w:szCs w:val="24"/>
        </w:rPr>
        <w:t xml:space="preserve"> </w:t>
      </w:r>
      <w:r w:rsidRPr="00CB4C52">
        <w:rPr>
          <w:rFonts w:ascii="Arial" w:hAnsi="Arial" w:cs="Arial"/>
          <w:sz w:val="24"/>
          <w:szCs w:val="24"/>
        </w:rPr>
        <w:t>the revenue that is available for collection and</w:t>
      </w:r>
      <w:r>
        <w:rPr>
          <w:rFonts w:ascii="Arial" w:hAnsi="Arial" w:cs="Arial"/>
          <w:sz w:val="24"/>
          <w:szCs w:val="24"/>
        </w:rPr>
        <w:t xml:space="preserve"> </w:t>
      </w:r>
      <w:r w:rsidRPr="00CB4C52">
        <w:rPr>
          <w:rFonts w:ascii="Arial" w:hAnsi="Arial" w:cs="Arial"/>
          <w:sz w:val="24"/>
          <w:szCs w:val="24"/>
        </w:rPr>
        <w:t>disbursing the grants, subsidies and rebates that</w:t>
      </w:r>
      <w:r>
        <w:rPr>
          <w:rFonts w:ascii="Arial" w:hAnsi="Arial" w:cs="Arial"/>
          <w:sz w:val="24"/>
          <w:szCs w:val="24"/>
        </w:rPr>
        <w:t xml:space="preserve"> </w:t>
      </w:r>
      <w:r w:rsidRPr="00CB4C52">
        <w:rPr>
          <w:rFonts w:ascii="Arial" w:hAnsi="Arial" w:cs="Arial"/>
          <w:sz w:val="24"/>
          <w:szCs w:val="24"/>
        </w:rPr>
        <w:t>should be paid.</w:t>
      </w:r>
    </w:p>
    <w:p w:rsidR="00881F74" w:rsidRPr="00C54FEA" w:rsidRDefault="00881F74" w:rsidP="00881F74">
      <w:pPr>
        <w:widowControl w:val="0"/>
        <w:kinsoku w:val="0"/>
        <w:overflowPunct w:val="0"/>
        <w:autoSpaceDE w:val="0"/>
        <w:autoSpaceDN w:val="0"/>
        <w:adjustRightInd w:val="0"/>
        <w:spacing w:before="141" w:line="240" w:lineRule="auto"/>
        <w:rPr>
          <w:rFonts w:ascii="Arial" w:hAnsi="Arial" w:cs="Arial"/>
          <w:sz w:val="24"/>
          <w:szCs w:val="24"/>
        </w:rPr>
      </w:pPr>
    </w:p>
    <w:p w:rsidR="00881F74" w:rsidRPr="00FD4C79" w:rsidRDefault="00881F74" w:rsidP="00881F74">
      <w:pPr>
        <w:keepNext/>
        <w:rPr>
          <w:rFonts w:ascii="Arial" w:hAnsi="Arial" w:cs="Arial"/>
          <w:b/>
          <w:bCs/>
          <w:sz w:val="24"/>
          <w:szCs w:val="24"/>
        </w:rPr>
      </w:pPr>
      <w:r w:rsidRPr="00FD4C79">
        <w:rPr>
          <w:rFonts w:ascii="Arial" w:hAnsi="Arial" w:cs="Arial"/>
          <w:b/>
          <w:sz w:val="24"/>
          <w:szCs w:val="24"/>
        </w:rPr>
        <w:fldChar w:fldCharType="begin"/>
      </w:r>
      <w:r w:rsidRPr="00FD4C79">
        <w:rPr>
          <w:rFonts w:ascii="Arial" w:hAnsi="Arial" w:cs="Arial"/>
          <w:b/>
          <w:sz w:val="24"/>
          <w:szCs w:val="24"/>
        </w:rPr>
        <w:instrText xml:space="preserve"> SEQ Table \* ARABIC </w:instrText>
      </w:r>
      <w:r w:rsidRPr="00FD4C79">
        <w:rPr>
          <w:rFonts w:ascii="Arial" w:hAnsi="Arial" w:cs="Arial"/>
          <w:b/>
          <w:sz w:val="24"/>
          <w:szCs w:val="24"/>
        </w:rPr>
        <w:fldChar w:fldCharType="separate"/>
      </w:r>
      <w:r w:rsidR="00D8778B">
        <w:rPr>
          <w:rFonts w:ascii="Arial" w:hAnsi="Arial" w:cs="Arial"/>
          <w:b/>
          <w:noProof/>
          <w:sz w:val="24"/>
          <w:szCs w:val="24"/>
        </w:rPr>
        <w:t>78</w:t>
      </w:r>
      <w:r w:rsidRPr="00FD4C79">
        <w:rPr>
          <w:rFonts w:ascii="Arial" w:hAnsi="Arial" w:cs="Arial"/>
          <w:b/>
          <w:sz w:val="24"/>
          <w:szCs w:val="24"/>
        </w:rPr>
        <w:fldChar w:fldCharType="end"/>
      </w:r>
      <w:r w:rsidRPr="00FD4C79">
        <w:rPr>
          <w:rFonts w:ascii="Arial" w:hAnsi="Arial" w:cs="Arial"/>
          <w:b/>
          <w:bCs/>
          <w:sz w:val="24"/>
          <w:szCs w:val="24"/>
        </w:rPr>
        <w:t xml:space="preserve"> State Revenue: Key effectiveness indicators</w:t>
      </w:r>
    </w:p>
    <w:tbl>
      <w:tblPr>
        <w:tblW w:w="8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094"/>
        <w:gridCol w:w="1095"/>
        <w:gridCol w:w="1095"/>
        <w:gridCol w:w="1095"/>
        <w:gridCol w:w="1095"/>
      </w:tblGrid>
      <w:tr w:rsidR="00881F74" w:rsidRPr="0019353C" w:rsidTr="000D7011">
        <w:tc>
          <w:tcPr>
            <w:tcW w:w="3369" w:type="dxa"/>
            <w:shd w:val="clear" w:color="auto" w:fill="auto"/>
          </w:tcPr>
          <w:p w:rsidR="00881F74" w:rsidRPr="00C54FEA" w:rsidRDefault="00881F74" w:rsidP="000D7011">
            <w:pPr>
              <w:spacing w:before="60" w:after="60" w:line="240" w:lineRule="auto"/>
              <w:rPr>
                <w:rFonts w:ascii="Arial" w:hAnsi="Arial" w:cs="Arial"/>
                <w:b/>
                <w:sz w:val="20"/>
                <w:szCs w:val="20"/>
              </w:rPr>
            </w:pPr>
            <w:r w:rsidRPr="00C54FEA">
              <w:rPr>
                <w:rFonts w:ascii="Arial" w:hAnsi="Arial" w:cs="Arial"/>
                <w:b/>
                <w:sz w:val="20"/>
                <w:szCs w:val="20"/>
              </w:rPr>
              <w:t>Key indicators of effectiveness</w:t>
            </w:r>
          </w:p>
        </w:tc>
        <w:tc>
          <w:tcPr>
            <w:tcW w:w="1094" w:type="dxa"/>
            <w:shd w:val="clear" w:color="auto" w:fill="auto"/>
          </w:tcPr>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2012-13</w:t>
            </w:r>
          </w:p>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actual</w:t>
            </w:r>
          </w:p>
        </w:tc>
        <w:tc>
          <w:tcPr>
            <w:tcW w:w="1095" w:type="dxa"/>
            <w:shd w:val="clear" w:color="auto" w:fill="auto"/>
          </w:tcPr>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2013-14</w:t>
            </w:r>
          </w:p>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actual</w:t>
            </w:r>
          </w:p>
        </w:tc>
        <w:tc>
          <w:tcPr>
            <w:tcW w:w="1095" w:type="dxa"/>
          </w:tcPr>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2014-15</w:t>
            </w:r>
          </w:p>
          <w:p w:rsidR="00881F74" w:rsidRPr="00C54FEA" w:rsidRDefault="00881F74" w:rsidP="000D7011">
            <w:pPr>
              <w:spacing w:before="60" w:after="60" w:line="240" w:lineRule="auto"/>
              <w:jc w:val="right"/>
              <w:rPr>
                <w:rFonts w:ascii="Arial" w:hAnsi="Arial" w:cs="Arial"/>
                <w:b/>
                <w:sz w:val="20"/>
                <w:szCs w:val="20"/>
              </w:rPr>
            </w:pPr>
            <w:r>
              <w:rPr>
                <w:rFonts w:ascii="Arial" w:hAnsi="Arial" w:cs="Arial"/>
                <w:b/>
                <w:sz w:val="20"/>
                <w:szCs w:val="20"/>
              </w:rPr>
              <w:t>actual</w:t>
            </w:r>
          </w:p>
        </w:tc>
        <w:tc>
          <w:tcPr>
            <w:tcW w:w="1095" w:type="dxa"/>
            <w:shd w:val="clear" w:color="auto" w:fill="auto"/>
          </w:tcPr>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201</w:t>
            </w:r>
            <w:r>
              <w:rPr>
                <w:rFonts w:ascii="Arial" w:hAnsi="Arial" w:cs="Arial"/>
                <w:b/>
                <w:sz w:val="20"/>
                <w:szCs w:val="20"/>
              </w:rPr>
              <w:t>5</w:t>
            </w:r>
            <w:r w:rsidRPr="00C54FEA">
              <w:rPr>
                <w:rFonts w:ascii="Arial" w:hAnsi="Arial" w:cs="Arial"/>
                <w:b/>
                <w:sz w:val="20"/>
                <w:szCs w:val="20"/>
              </w:rPr>
              <w:t>-1</w:t>
            </w:r>
            <w:r>
              <w:rPr>
                <w:rFonts w:ascii="Arial" w:hAnsi="Arial" w:cs="Arial"/>
                <w:b/>
                <w:sz w:val="20"/>
                <w:szCs w:val="20"/>
              </w:rPr>
              <w:t>6</w:t>
            </w:r>
          </w:p>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target</w:t>
            </w:r>
          </w:p>
        </w:tc>
        <w:tc>
          <w:tcPr>
            <w:tcW w:w="1095" w:type="dxa"/>
            <w:shd w:val="clear" w:color="auto" w:fill="auto"/>
          </w:tcPr>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201</w:t>
            </w:r>
            <w:r>
              <w:rPr>
                <w:rFonts w:ascii="Arial" w:hAnsi="Arial" w:cs="Arial"/>
                <w:b/>
                <w:sz w:val="20"/>
                <w:szCs w:val="20"/>
              </w:rPr>
              <w:t>5</w:t>
            </w:r>
            <w:r w:rsidRPr="00C54FEA">
              <w:rPr>
                <w:rFonts w:ascii="Arial" w:hAnsi="Arial" w:cs="Arial"/>
                <w:b/>
                <w:sz w:val="20"/>
                <w:szCs w:val="20"/>
              </w:rPr>
              <w:t>-1</w:t>
            </w:r>
            <w:r>
              <w:rPr>
                <w:rFonts w:ascii="Arial" w:hAnsi="Arial" w:cs="Arial"/>
                <w:b/>
                <w:sz w:val="20"/>
                <w:szCs w:val="20"/>
              </w:rPr>
              <w:t>6</w:t>
            </w:r>
          </w:p>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actual</w:t>
            </w:r>
          </w:p>
        </w:tc>
      </w:tr>
      <w:tr w:rsidR="00881F74" w:rsidRPr="0019353C" w:rsidTr="000D7011">
        <w:tc>
          <w:tcPr>
            <w:tcW w:w="3369" w:type="dxa"/>
            <w:shd w:val="clear" w:color="auto" w:fill="auto"/>
          </w:tcPr>
          <w:p w:rsidR="00881F74" w:rsidRPr="00C54FEA" w:rsidRDefault="00881F74" w:rsidP="000D7011">
            <w:pPr>
              <w:spacing w:before="60" w:after="60" w:line="240" w:lineRule="auto"/>
              <w:rPr>
                <w:rFonts w:ascii="Arial" w:hAnsi="Arial" w:cs="Arial"/>
                <w:spacing w:val="-1"/>
                <w:sz w:val="20"/>
                <w:szCs w:val="20"/>
              </w:rPr>
            </w:pPr>
            <w:r w:rsidRPr="00C54FEA">
              <w:rPr>
                <w:rFonts w:ascii="Arial" w:hAnsi="Arial" w:cs="Arial"/>
                <w:spacing w:val="-1"/>
                <w:sz w:val="20"/>
                <w:szCs w:val="20"/>
              </w:rPr>
              <w:t xml:space="preserve">Extent to which due revenue is collected (%) </w:t>
            </w:r>
            <w:r w:rsidRPr="00C54FEA">
              <w:rPr>
                <w:rFonts w:ascii="Arial" w:hAnsi="Arial" w:cs="Arial"/>
                <w:spacing w:val="-1"/>
                <w:sz w:val="20"/>
                <w:szCs w:val="20"/>
                <w:vertAlign w:val="superscript"/>
              </w:rPr>
              <w:t>(a)</w:t>
            </w:r>
          </w:p>
        </w:tc>
        <w:tc>
          <w:tcPr>
            <w:tcW w:w="1094"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Pr>
                <w:rFonts w:ascii="Arial" w:hAnsi="Arial" w:cs="Arial"/>
                <w:spacing w:val="-1"/>
                <w:sz w:val="20"/>
                <w:szCs w:val="20"/>
              </w:rPr>
              <w:t>92</w:t>
            </w:r>
          </w:p>
        </w:tc>
        <w:tc>
          <w:tcPr>
            <w:tcW w:w="1095"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92</w:t>
            </w:r>
          </w:p>
        </w:tc>
        <w:tc>
          <w:tcPr>
            <w:tcW w:w="1095" w:type="dxa"/>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9</w:t>
            </w:r>
            <w:r>
              <w:rPr>
                <w:rFonts w:ascii="Arial" w:hAnsi="Arial" w:cs="Arial"/>
                <w:spacing w:val="-1"/>
                <w:sz w:val="20"/>
                <w:szCs w:val="20"/>
              </w:rPr>
              <w:t>0</w:t>
            </w:r>
            <w:r w:rsidRPr="00C54FEA">
              <w:rPr>
                <w:rFonts w:ascii="Arial" w:hAnsi="Arial" w:cs="Arial"/>
                <w:spacing w:val="-1"/>
                <w:sz w:val="20"/>
                <w:szCs w:val="20"/>
              </w:rPr>
              <w:t xml:space="preserve"> </w:t>
            </w:r>
          </w:p>
        </w:tc>
        <w:tc>
          <w:tcPr>
            <w:tcW w:w="1095"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91</w:t>
            </w:r>
          </w:p>
        </w:tc>
        <w:tc>
          <w:tcPr>
            <w:tcW w:w="1095"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90</w:t>
            </w:r>
          </w:p>
        </w:tc>
      </w:tr>
      <w:tr w:rsidR="00881F74" w:rsidRPr="0019353C" w:rsidTr="000D7011">
        <w:tc>
          <w:tcPr>
            <w:tcW w:w="3369" w:type="dxa"/>
            <w:shd w:val="clear" w:color="auto" w:fill="auto"/>
          </w:tcPr>
          <w:p w:rsidR="00881F74" w:rsidRPr="00C54FEA" w:rsidRDefault="00881F74" w:rsidP="000D7011">
            <w:pPr>
              <w:spacing w:before="60" w:after="60" w:line="240" w:lineRule="auto"/>
              <w:rPr>
                <w:rFonts w:ascii="Arial" w:hAnsi="Arial" w:cs="Arial"/>
                <w:spacing w:val="-1"/>
                <w:sz w:val="20"/>
                <w:szCs w:val="20"/>
              </w:rPr>
            </w:pPr>
            <w:r w:rsidRPr="00C54FEA">
              <w:rPr>
                <w:rFonts w:ascii="Arial" w:hAnsi="Arial" w:cs="Arial"/>
                <w:spacing w:val="-1"/>
                <w:sz w:val="20"/>
                <w:szCs w:val="20"/>
              </w:rPr>
              <w:t xml:space="preserve">Extent to which correct grants, subsidies and rebates are paid (%) </w:t>
            </w:r>
            <w:r w:rsidRPr="00C54FEA">
              <w:rPr>
                <w:rFonts w:ascii="Arial" w:hAnsi="Arial" w:cs="Arial"/>
                <w:spacing w:val="-1"/>
                <w:sz w:val="20"/>
                <w:szCs w:val="20"/>
                <w:vertAlign w:val="superscript"/>
              </w:rPr>
              <w:t>(b)</w:t>
            </w:r>
          </w:p>
        </w:tc>
        <w:tc>
          <w:tcPr>
            <w:tcW w:w="1094"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99</w:t>
            </w:r>
          </w:p>
        </w:tc>
        <w:tc>
          <w:tcPr>
            <w:tcW w:w="1095"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Pr>
                <w:rFonts w:ascii="Arial" w:hAnsi="Arial" w:cs="Arial"/>
                <w:spacing w:val="-1"/>
                <w:sz w:val="20"/>
                <w:szCs w:val="20"/>
              </w:rPr>
              <w:t>100</w:t>
            </w:r>
          </w:p>
        </w:tc>
        <w:tc>
          <w:tcPr>
            <w:tcW w:w="1095" w:type="dxa"/>
          </w:tcPr>
          <w:p w:rsidR="00881F74" w:rsidRPr="00C54FEA" w:rsidRDefault="00881F74" w:rsidP="000D7011">
            <w:pPr>
              <w:spacing w:before="60" w:after="60" w:line="240" w:lineRule="auto"/>
              <w:jc w:val="right"/>
              <w:rPr>
                <w:rFonts w:ascii="Arial" w:hAnsi="Arial" w:cs="Arial"/>
                <w:spacing w:val="-1"/>
                <w:sz w:val="20"/>
                <w:szCs w:val="20"/>
              </w:rPr>
            </w:pPr>
            <w:r>
              <w:rPr>
                <w:rFonts w:ascii="Arial" w:hAnsi="Arial" w:cs="Arial"/>
                <w:spacing w:val="-1"/>
                <w:sz w:val="20"/>
                <w:szCs w:val="20"/>
              </w:rPr>
              <w:t>99.9</w:t>
            </w:r>
          </w:p>
        </w:tc>
        <w:tc>
          <w:tcPr>
            <w:tcW w:w="1095"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100</w:t>
            </w:r>
          </w:p>
        </w:tc>
        <w:tc>
          <w:tcPr>
            <w:tcW w:w="1095"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Pr>
                <w:rFonts w:ascii="Arial" w:hAnsi="Arial" w:cs="Arial"/>
                <w:spacing w:val="-1"/>
                <w:sz w:val="20"/>
                <w:szCs w:val="20"/>
              </w:rPr>
              <w:t>100</w:t>
            </w:r>
          </w:p>
        </w:tc>
      </w:tr>
    </w:tbl>
    <w:p w:rsidR="00881F74" w:rsidRDefault="00881F74" w:rsidP="000D7011">
      <w:pPr>
        <w:widowControl w:val="0"/>
        <w:numPr>
          <w:ilvl w:val="0"/>
          <w:numId w:val="31"/>
        </w:numPr>
        <w:kinsoku w:val="0"/>
        <w:overflowPunct w:val="0"/>
        <w:autoSpaceDE w:val="0"/>
        <w:autoSpaceDN w:val="0"/>
        <w:adjustRightInd w:val="0"/>
        <w:spacing w:before="141" w:line="240" w:lineRule="auto"/>
        <w:rPr>
          <w:rFonts w:ascii="Arial" w:hAnsi="Arial" w:cs="Arial"/>
          <w:sz w:val="24"/>
          <w:szCs w:val="24"/>
        </w:rPr>
      </w:pPr>
      <w:r w:rsidRPr="00F64120">
        <w:rPr>
          <w:rFonts w:ascii="Arial" w:hAnsi="Arial" w:cs="Arial"/>
          <w:sz w:val="24"/>
          <w:szCs w:val="24"/>
        </w:rPr>
        <w:t>This key performance indicator (KPI) is calculated as an average for land tax, duties and returns-based assessments. The amounts are calculated by subtracting the number of penalties (or adjustments for return-based taxes) from the total number of assessments (or returns for return-based taxes) and dividing</w:t>
      </w:r>
      <w:r>
        <w:rPr>
          <w:rFonts w:ascii="Arial" w:hAnsi="Arial" w:cs="Arial"/>
          <w:sz w:val="24"/>
          <w:szCs w:val="24"/>
        </w:rPr>
        <w:t xml:space="preserve"> </w:t>
      </w:r>
      <w:r w:rsidRPr="00F64120">
        <w:rPr>
          <w:rFonts w:ascii="Arial" w:hAnsi="Arial" w:cs="Arial"/>
          <w:sz w:val="24"/>
          <w:szCs w:val="24"/>
        </w:rPr>
        <w:t>the result by the total number of assessments.</w:t>
      </w:r>
    </w:p>
    <w:p w:rsidR="00881F74" w:rsidRPr="00F64120" w:rsidRDefault="00881F74" w:rsidP="000D7011">
      <w:pPr>
        <w:widowControl w:val="0"/>
        <w:numPr>
          <w:ilvl w:val="0"/>
          <w:numId w:val="31"/>
        </w:numPr>
        <w:kinsoku w:val="0"/>
        <w:overflowPunct w:val="0"/>
        <w:autoSpaceDE w:val="0"/>
        <w:autoSpaceDN w:val="0"/>
        <w:adjustRightInd w:val="0"/>
        <w:spacing w:before="141" w:line="240" w:lineRule="auto"/>
        <w:rPr>
          <w:rFonts w:ascii="Arial" w:hAnsi="Arial" w:cs="Arial"/>
          <w:sz w:val="24"/>
          <w:szCs w:val="24"/>
        </w:rPr>
      </w:pPr>
      <w:r w:rsidRPr="00F64120">
        <w:rPr>
          <w:rFonts w:ascii="Arial" w:hAnsi="Arial" w:cs="Arial"/>
          <w:sz w:val="24"/>
          <w:szCs w:val="24"/>
        </w:rPr>
        <w:t>The measurement of the extent to which grants, subsidies and rebates are paid correctly is calculated by totalling the number of claims paid, and subtracting the total number of claims paid incorrectly. This is expressed as a percentage by dividing this figure with the total number of claims paid. The payments are for first home owner grants, pensioners and seniors rebates, the life support equipment electricity subsidy, the thermoregulatory dysfunction energy subsidy and the energy</w:t>
      </w:r>
      <w:r>
        <w:rPr>
          <w:rFonts w:ascii="Arial" w:hAnsi="Arial" w:cs="Arial"/>
          <w:sz w:val="24"/>
          <w:szCs w:val="24"/>
        </w:rPr>
        <w:t xml:space="preserve"> </w:t>
      </w:r>
      <w:r w:rsidRPr="00F64120">
        <w:rPr>
          <w:rFonts w:ascii="Arial" w:hAnsi="Arial" w:cs="Arial"/>
          <w:sz w:val="24"/>
          <w:szCs w:val="24"/>
        </w:rPr>
        <w:t>concession extension scheme.</w:t>
      </w:r>
    </w:p>
    <w:p w:rsidR="00881F74" w:rsidRPr="00C54FEA" w:rsidRDefault="00881F74" w:rsidP="00881F74">
      <w:pPr>
        <w:widowControl w:val="0"/>
        <w:kinsoku w:val="0"/>
        <w:overflowPunct w:val="0"/>
        <w:autoSpaceDE w:val="0"/>
        <w:autoSpaceDN w:val="0"/>
        <w:adjustRightInd w:val="0"/>
        <w:spacing w:before="141" w:line="240" w:lineRule="auto"/>
        <w:rPr>
          <w:rFonts w:ascii="Arial" w:hAnsi="Arial" w:cs="Arial"/>
          <w:sz w:val="24"/>
          <w:szCs w:val="24"/>
        </w:rPr>
      </w:pPr>
    </w:p>
    <w:p w:rsidR="00881F74" w:rsidRPr="00C54FEA" w:rsidRDefault="00881F74" w:rsidP="00881F74">
      <w:pPr>
        <w:keepNext/>
        <w:spacing w:before="240" w:after="60"/>
        <w:outlineLvl w:val="2"/>
        <w:rPr>
          <w:rFonts w:ascii="Arial" w:hAnsi="Arial"/>
          <w:b/>
          <w:bCs/>
          <w:sz w:val="28"/>
          <w:szCs w:val="26"/>
        </w:rPr>
      </w:pPr>
      <w:r w:rsidRPr="00C54FEA">
        <w:rPr>
          <w:rFonts w:ascii="Arial" w:hAnsi="Arial"/>
          <w:b/>
          <w:bCs/>
          <w:sz w:val="28"/>
          <w:szCs w:val="26"/>
        </w:rPr>
        <w:br w:type="page"/>
        <w:t>Key efficiency indicators</w:t>
      </w:r>
    </w:p>
    <w:p w:rsidR="00881F74" w:rsidRPr="00C54FEA" w:rsidRDefault="00881F74" w:rsidP="00881F74">
      <w:pPr>
        <w:keepNext/>
        <w:spacing w:before="240" w:after="60"/>
        <w:outlineLvl w:val="3"/>
        <w:rPr>
          <w:rFonts w:ascii="Arial" w:hAnsi="Arial"/>
          <w:b/>
          <w:bCs/>
          <w:sz w:val="26"/>
          <w:szCs w:val="28"/>
        </w:rPr>
      </w:pPr>
      <w:r w:rsidRPr="00C54FEA">
        <w:rPr>
          <w:rFonts w:ascii="Arial" w:hAnsi="Arial"/>
          <w:b/>
          <w:bCs/>
          <w:sz w:val="26"/>
          <w:szCs w:val="28"/>
        </w:rPr>
        <w:t xml:space="preserve">Service 1: Revenue assessment and collection, and grants and subsidies administration </w:t>
      </w:r>
    </w:p>
    <w:p w:rsidR="00881F74" w:rsidRPr="00F64120" w:rsidRDefault="00881F74" w:rsidP="00881F74">
      <w:pPr>
        <w:widowControl w:val="0"/>
        <w:kinsoku w:val="0"/>
        <w:overflowPunct w:val="0"/>
        <w:autoSpaceDE w:val="0"/>
        <w:autoSpaceDN w:val="0"/>
        <w:adjustRightInd w:val="0"/>
        <w:spacing w:before="141" w:line="240" w:lineRule="auto"/>
        <w:rPr>
          <w:rFonts w:ascii="Arial" w:hAnsi="Arial" w:cs="Arial"/>
          <w:sz w:val="24"/>
          <w:szCs w:val="24"/>
        </w:rPr>
      </w:pPr>
      <w:r w:rsidRPr="00F64120">
        <w:rPr>
          <w:rFonts w:ascii="Arial" w:hAnsi="Arial" w:cs="Arial"/>
          <w:sz w:val="24"/>
          <w:szCs w:val="24"/>
        </w:rPr>
        <w:t>This service involves the assessment and</w:t>
      </w:r>
      <w:r>
        <w:rPr>
          <w:rFonts w:ascii="Arial" w:hAnsi="Arial" w:cs="Arial"/>
          <w:sz w:val="24"/>
          <w:szCs w:val="24"/>
        </w:rPr>
        <w:t xml:space="preserve"> </w:t>
      </w:r>
      <w:r w:rsidRPr="00F64120">
        <w:rPr>
          <w:rFonts w:ascii="Arial" w:hAnsi="Arial" w:cs="Arial"/>
          <w:sz w:val="24"/>
          <w:szCs w:val="24"/>
        </w:rPr>
        <w:t>collection of a range of statutory based revenues,</w:t>
      </w:r>
      <w:r>
        <w:rPr>
          <w:rFonts w:ascii="Arial" w:hAnsi="Arial" w:cs="Arial"/>
          <w:sz w:val="24"/>
          <w:szCs w:val="24"/>
        </w:rPr>
        <w:t xml:space="preserve"> </w:t>
      </w:r>
      <w:r w:rsidRPr="00F64120">
        <w:rPr>
          <w:rFonts w:ascii="Arial" w:hAnsi="Arial" w:cs="Arial"/>
          <w:sz w:val="24"/>
          <w:szCs w:val="24"/>
        </w:rPr>
        <w:t>including duties, land tax and payroll tax, and</w:t>
      </w:r>
      <w:r>
        <w:rPr>
          <w:rFonts w:ascii="Arial" w:hAnsi="Arial" w:cs="Arial"/>
          <w:sz w:val="24"/>
          <w:szCs w:val="24"/>
        </w:rPr>
        <w:t xml:space="preserve"> </w:t>
      </w:r>
      <w:r w:rsidRPr="00F64120">
        <w:rPr>
          <w:rFonts w:ascii="Arial" w:hAnsi="Arial" w:cs="Arial"/>
          <w:sz w:val="24"/>
          <w:szCs w:val="24"/>
        </w:rPr>
        <w:t>those that are collected on behalf of other</w:t>
      </w:r>
      <w:r>
        <w:rPr>
          <w:rFonts w:ascii="Arial" w:hAnsi="Arial" w:cs="Arial"/>
          <w:sz w:val="24"/>
          <w:szCs w:val="24"/>
        </w:rPr>
        <w:t xml:space="preserve"> </w:t>
      </w:r>
      <w:r w:rsidRPr="00F64120">
        <w:rPr>
          <w:rFonts w:ascii="Arial" w:hAnsi="Arial" w:cs="Arial"/>
          <w:sz w:val="24"/>
          <w:szCs w:val="24"/>
        </w:rPr>
        <w:t>agencies (for example, Perth parking levy fees</w:t>
      </w:r>
      <w:r>
        <w:rPr>
          <w:rFonts w:ascii="Arial" w:hAnsi="Arial" w:cs="Arial"/>
          <w:sz w:val="24"/>
          <w:szCs w:val="24"/>
        </w:rPr>
        <w:t xml:space="preserve"> </w:t>
      </w:r>
      <w:r w:rsidRPr="00F64120">
        <w:rPr>
          <w:rFonts w:ascii="Arial" w:hAnsi="Arial" w:cs="Arial"/>
          <w:sz w:val="24"/>
          <w:szCs w:val="24"/>
        </w:rPr>
        <w:t>on behalf of Department of Transport) or other</w:t>
      </w:r>
      <w:r>
        <w:rPr>
          <w:rFonts w:ascii="Arial" w:hAnsi="Arial" w:cs="Arial"/>
          <w:sz w:val="24"/>
          <w:szCs w:val="24"/>
        </w:rPr>
        <w:t xml:space="preserve"> </w:t>
      </w:r>
      <w:r w:rsidRPr="00F64120">
        <w:rPr>
          <w:rFonts w:ascii="Arial" w:hAnsi="Arial" w:cs="Arial"/>
          <w:sz w:val="24"/>
          <w:szCs w:val="24"/>
        </w:rPr>
        <w:t>jurisdictions (for example, collection of a range of</w:t>
      </w:r>
      <w:r>
        <w:rPr>
          <w:rFonts w:ascii="Arial" w:hAnsi="Arial" w:cs="Arial"/>
          <w:sz w:val="24"/>
          <w:szCs w:val="24"/>
        </w:rPr>
        <w:t xml:space="preserve"> </w:t>
      </w:r>
      <w:r w:rsidRPr="00F64120">
        <w:rPr>
          <w:rFonts w:ascii="Arial" w:hAnsi="Arial" w:cs="Arial"/>
          <w:sz w:val="24"/>
          <w:szCs w:val="24"/>
        </w:rPr>
        <w:t>taxes for the Commonwealth in the Indian Ocean</w:t>
      </w:r>
      <w:r>
        <w:rPr>
          <w:rFonts w:ascii="Arial" w:hAnsi="Arial" w:cs="Arial"/>
          <w:sz w:val="24"/>
          <w:szCs w:val="24"/>
        </w:rPr>
        <w:t xml:space="preserve"> </w:t>
      </w:r>
      <w:r w:rsidRPr="00F64120">
        <w:rPr>
          <w:rFonts w:ascii="Arial" w:hAnsi="Arial" w:cs="Arial"/>
          <w:sz w:val="24"/>
          <w:szCs w:val="24"/>
        </w:rPr>
        <w:t>Territories). State Revenue is also involved in the</w:t>
      </w:r>
      <w:r>
        <w:rPr>
          <w:rFonts w:ascii="Arial" w:hAnsi="Arial" w:cs="Arial"/>
          <w:sz w:val="24"/>
          <w:szCs w:val="24"/>
        </w:rPr>
        <w:t xml:space="preserve"> </w:t>
      </w:r>
      <w:r w:rsidRPr="00F64120">
        <w:rPr>
          <w:rFonts w:ascii="Arial" w:hAnsi="Arial" w:cs="Arial"/>
          <w:sz w:val="24"/>
          <w:szCs w:val="24"/>
        </w:rPr>
        <w:t>assessment and payment of a range of grants and</w:t>
      </w:r>
      <w:r>
        <w:rPr>
          <w:rFonts w:ascii="Arial" w:hAnsi="Arial" w:cs="Arial"/>
          <w:sz w:val="24"/>
          <w:szCs w:val="24"/>
        </w:rPr>
        <w:t xml:space="preserve"> </w:t>
      </w:r>
      <w:r w:rsidRPr="00F64120">
        <w:rPr>
          <w:rFonts w:ascii="Arial" w:hAnsi="Arial" w:cs="Arial"/>
          <w:sz w:val="24"/>
          <w:szCs w:val="24"/>
        </w:rPr>
        <w:t>subsidies under both statutory and administrative</w:t>
      </w:r>
      <w:r>
        <w:rPr>
          <w:rFonts w:ascii="Arial" w:hAnsi="Arial" w:cs="Arial"/>
          <w:sz w:val="24"/>
          <w:szCs w:val="24"/>
        </w:rPr>
        <w:t xml:space="preserve"> </w:t>
      </w:r>
      <w:r w:rsidRPr="00F64120">
        <w:rPr>
          <w:rFonts w:ascii="Arial" w:hAnsi="Arial" w:cs="Arial"/>
          <w:sz w:val="24"/>
          <w:szCs w:val="24"/>
        </w:rPr>
        <w:t>schemes. The majority of applications relate to</w:t>
      </w:r>
      <w:r>
        <w:rPr>
          <w:rFonts w:ascii="Arial" w:hAnsi="Arial" w:cs="Arial"/>
          <w:sz w:val="24"/>
          <w:szCs w:val="24"/>
        </w:rPr>
        <w:t xml:space="preserve"> </w:t>
      </w:r>
      <w:r w:rsidRPr="00F64120">
        <w:rPr>
          <w:rFonts w:ascii="Arial" w:hAnsi="Arial" w:cs="Arial"/>
          <w:sz w:val="24"/>
          <w:szCs w:val="24"/>
        </w:rPr>
        <w:t>the first home owner grant, the first home owner</w:t>
      </w:r>
      <w:r>
        <w:rPr>
          <w:rFonts w:ascii="Arial" w:hAnsi="Arial" w:cs="Arial"/>
          <w:sz w:val="24"/>
          <w:szCs w:val="24"/>
        </w:rPr>
        <w:t xml:space="preserve"> </w:t>
      </w:r>
      <w:r w:rsidRPr="00F64120">
        <w:rPr>
          <w:rFonts w:ascii="Arial" w:hAnsi="Arial" w:cs="Arial"/>
          <w:sz w:val="24"/>
          <w:szCs w:val="24"/>
        </w:rPr>
        <w:t>rate of duty concession, as well as concessions</w:t>
      </w:r>
      <w:r>
        <w:rPr>
          <w:rFonts w:ascii="Arial" w:hAnsi="Arial" w:cs="Arial"/>
          <w:sz w:val="24"/>
          <w:szCs w:val="24"/>
        </w:rPr>
        <w:t xml:space="preserve"> </w:t>
      </w:r>
      <w:r w:rsidRPr="00F64120">
        <w:rPr>
          <w:rFonts w:ascii="Arial" w:hAnsi="Arial" w:cs="Arial"/>
          <w:sz w:val="24"/>
          <w:szCs w:val="24"/>
        </w:rPr>
        <w:t>on local government rates and the emergency</w:t>
      </w:r>
      <w:r>
        <w:rPr>
          <w:rFonts w:ascii="Arial" w:hAnsi="Arial" w:cs="Arial"/>
          <w:sz w:val="24"/>
          <w:szCs w:val="24"/>
        </w:rPr>
        <w:t xml:space="preserve"> </w:t>
      </w:r>
      <w:r w:rsidRPr="00F64120">
        <w:rPr>
          <w:rFonts w:ascii="Arial" w:hAnsi="Arial" w:cs="Arial"/>
          <w:sz w:val="24"/>
          <w:szCs w:val="24"/>
        </w:rPr>
        <w:t xml:space="preserve">services levy for </w:t>
      </w:r>
      <w:r>
        <w:rPr>
          <w:rFonts w:ascii="Arial" w:hAnsi="Arial" w:cs="Arial"/>
          <w:sz w:val="24"/>
          <w:szCs w:val="24"/>
        </w:rPr>
        <w:t>p</w:t>
      </w:r>
      <w:r w:rsidRPr="00F64120">
        <w:rPr>
          <w:rFonts w:ascii="Arial" w:hAnsi="Arial" w:cs="Arial"/>
          <w:sz w:val="24"/>
          <w:szCs w:val="24"/>
        </w:rPr>
        <w:t>ensioners and seniors.</w:t>
      </w:r>
    </w:p>
    <w:p w:rsidR="00881F74" w:rsidRDefault="00881F74" w:rsidP="00881F74">
      <w:pPr>
        <w:widowControl w:val="0"/>
        <w:kinsoku w:val="0"/>
        <w:overflowPunct w:val="0"/>
        <w:autoSpaceDE w:val="0"/>
        <w:autoSpaceDN w:val="0"/>
        <w:adjustRightInd w:val="0"/>
        <w:spacing w:before="141" w:line="240" w:lineRule="auto"/>
        <w:rPr>
          <w:rFonts w:ascii="Arial" w:hAnsi="Arial" w:cs="Arial"/>
          <w:sz w:val="24"/>
          <w:szCs w:val="24"/>
        </w:rPr>
      </w:pPr>
      <w:r w:rsidRPr="00F64120">
        <w:rPr>
          <w:rFonts w:ascii="Arial" w:hAnsi="Arial" w:cs="Arial"/>
          <w:sz w:val="24"/>
          <w:szCs w:val="24"/>
        </w:rPr>
        <w:t>The indicators represent the costs per unit of</w:t>
      </w:r>
      <w:r>
        <w:rPr>
          <w:rFonts w:ascii="Arial" w:hAnsi="Arial" w:cs="Arial"/>
          <w:sz w:val="24"/>
          <w:szCs w:val="24"/>
        </w:rPr>
        <w:t xml:space="preserve"> </w:t>
      </w:r>
      <w:r w:rsidRPr="00F64120">
        <w:rPr>
          <w:rFonts w:ascii="Arial" w:hAnsi="Arial" w:cs="Arial"/>
          <w:sz w:val="24"/>
          <w:szCs w:val="24"/>
        </w:rPr>
        <w:t xml:space="preserve">taxation raised and </w:t>
      </w:r>
      <w:r>
        <w:rPr>
          <w:rFonts w:ascii="Arial" w:hAnsi="Arial" w:cs="Arial"/>
          <w:sz w:val="24"/>
          <w:szCs w:val="24"/>
        </w:rPr>
        <w:t>g</w:t>
      </w:r>
      <w:r w:rsidRPr="00F64120">
        <w:rPr>
          <w:rFonts w:ascii="Arial" w:hAnsi="Arial" w:cs="Arial"/>
          <w:sz w:val="24"/>
          <w:szCs w:val="24"/>
        </w:rPr>
        <w:t>rant/subsidy/concession</w:t>
      </w:r>
      <w:r>
        <w:rPr>
          <w:rFonts w:ascii="Arial" w:hAnsi="Arial" w:cs="Arial"/>
          <w:sz w:val="24"/>
          <w:szCs w:val="24"/>
        </w:rPr>
        <w:t xml:space="preserve"> </w:t>
      </w:r>
      <w:r w:rsidRPr="00F64120">
        <w:rPr>
          <w:rFonts w:ascii="Arial" w:hAnsi="Arial" w:cs="Arial"/>
          <w:sz w:val="24"/>
          <w:szCs w:val="24"/>
        </w:rPr>
        <w:t>applications processed in a given year. Taken into</w:t>
      </w:r>
      <w:r>
        <w:rPr>
          <w:rFonts w:ascii="Arial" w:hAnsi="Arial" w:cs="Arial"/>
          <w:sz w:val="24"/>
          <w:szCs w:val="24"/>
        </w:rPr>
        <w:t xml:space="preserve"> </w:t>
      </w:r>
      <w:r w:rsidRPr="00F64120">
        <w:rPr>
          <w:rFonts w:ascii="Arial" w:hAnsi="Arial" w:cs="Arial"/>
          <w:sz w:val="24"/>
          <w:szCs w:val="24"/>
        </w:rPr>
        <w:t>account with the notes explaining any material</w:t>
      </w:r>
      <w:r>
        <w:rPr>
          <w:rFonts w:ascii="Arial" w:hAnsi="Arial" w:cs="Arial"/>
          <w:sz w:val="24"/>
          <w:szCs w:val="24"/>
        </w:rPr>
        <w:t xml:space="preserve"> </w:t>
      </w:r>
      <w:r w:rsidRPr="00F64120">
        <w:rPr>
          <w:rFonts w:ascii="Arial" w:hAnsi="Arial" w:cs="Arial"/>
          <w:sz w:val="24"/>
          <w:szCs w:val="24"/>
        </w:rPr>
        <w:t>variances, it provides a measure of efficiency.</w:t>
      </w:r>
    </w:p>
    <w:p w:rsidR="00881F74" w:rsidRPr="00C54FEA" w:rsidRDefault="00881F74" w:rsidP="00881F74">
      <w:pPr>
        <w:widowControl w:val="0"/>
        <w:kinsoku w:val="0"/>
        <w:overflowPunct w:val="0"/>
        <w:autoSpaceDE w:val="0"/>
        <w:autoSpaceDN w:val="0"/>
        <w:adjustRightInd w:val="0"/>
        <w:spacing w:before="141" w:line="240" w:lineRule="auto"/>
        <w:rPr>
          <w:rFonts w:ascii="Arial" w:hAnsi="Arial" w:cs="Arial"/>
          <w:sz w:val="24"/>
          <w:szCs w:val="24"/>
        </w:rPr>
      </w:pPr>
    </w:p>
    <w:p w:rsidR="00881F74" w:rsidRPr="00C54FEA" w:rsidRDefault="00881F74" w:rsidP="00881F74">
      <w:pPr>
        <w:keepNext/>
        <w:rPr>
          <w:rFonts w:ascii="Arial" w:hAnsi="Arial"/>
          <w:b/>
          <w:bCs/>
          <w:sz w:val="24"/>
          <w:szCs w:val="20"/>
        </w:rPr>
      </w:pPr>
      <w:r w:rsidRPr="00FD4C79">
        <w:rPr>
          <w:rFonts w:ascii="Arial" w:hAnsi="Arial" w:cs="Arial"/>
          <w:b/>
          <w:sz w:val="24"/>
          <w:szCs w:val="24"/>
        </w:rPr>
        <w:fldChar w:fldCharType="begin"/>
      </w:r>
      <w:r w:rsidRPr="00FD4C79">
        <w:rPr>
          <w:rFonts w:ascii="Arial" w:hAnsi="Arial" w:cs="Arial"/>
          <w:b/>
          <w:sz w:val="24"/>
          <w:szCs w:val="24"/>
        </w:rPr>
        <w:instrText xml:space="preserve"> SEQ Table \* ARABIC </w:instrText>
      </w:r>
      <w:r w:rsidRPr="00FD4C79">
        <w:rPr>
          <w:rFonts w:ascii="Arial" w:hAnsi="Arial" w:cs="Arial"/>
          <w:b/>
          <w:sz w:val="24"/>
          <w:szCs w:val="24"/>
        </w:rPr>
        <w:fldChar w:fldCharType="separate"/>
      </w:r>
      <w:r w:rsidR="00D8778B">
        <w:rPr>
          <w:rFonts w:ascii="Arial" w:hAnsi="Arial" w:cs="Arial"/>
          <w:b/>
          <w:noProof/>
          <w:sz w:val="24"/>
          <w:szCs w:val="24"/>
        </w:rPr>
        <w:t>79</w:t>
      </w:r>
      <w:r w:rsidRPr="00FD4C79">
        <w:rPr>
          <w:rFonts w:ascii="Arial" w:hAnsi="Arial" w:cs="Arial"/>
          <w:b/>
          <w:sz w:val="24"/>
          <w:szCs w:val="24"/>
        </w:rPr>
        <w:fldChar w:fldCharType="end"/>
      </w:r>
      <w:r>
        <w:rPr>
          <w:rFonts w:ascii="Arial" w:hAnsi="Arial"/>
          <w:b/>
          <w:bCs/>
          <w:sz w:val="24"/>
          <w:szCs w:val="20"/>
        </w:rPr>
        <w:t xml:space="preserve"> </w:t>
      </w:r>
      <w:r w:rsidRPr="00C54FEA">
        <w:rPr>
          <w:rFonts w:ascii="Arial" w:hAnsi="Arial"/>
          <w:b/>
          <w:bCs/>
          <w:sz w:val="24"/>
          <w:szCs w:val="20"/>
        </w:rPr>
        <w:t>State Revenue: Key efficiency indicators</w:t>
      </w:r>
    </w:p>
    <w:tbl>
      <w:tblPr>
        <w:tblW w:w="8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094"/>
        <w:gridCol w:w="1095"/>
        <w:gridCol w:w="1095"/>
        <w:gridCol w:w="1095"/>
        <w:gridCol w:w="1095"/>
      </w:tblGrid>
      <w:tr w:rsidR="00881F74" w:rsidRPr="0019353C" w:rsidTr="000D7011">
        <w:tc>
          <w:tcPr>
            <w:tcW w:w="3369" w:type="dxa"/>
            <w:shd w:val="clear" w:color="auto" w:fill="auto"/>
          </w:tcPr>
          <w:p w:rsidR="00881F74" w:rsidRPr="00C54FEA" w:rsidRDefault="00881F74" w:rsidP="000D7011">
            <w:pPr>
              <w:spacing w:before="60" w:after="60" w:line="240" w:lineRule="auto"/>
              <w:rPr>
                <w:rFonts w:ascii="Arial" w:hAnsi="Arial" w:cs="Arial"/>
                <w:b/>
                <w:sz w:val="20"/>
                <w:szCs w:val="20"/>
              </w:rPr>
            </w:pPr>
            <w:r w:rsidRPr="00C54FEA">
              <w:rPr>
                <w:rFonts w:ascii="Arial" w:hAnsi="Arial" w:cs="Arial"/>
                <w:b/>
                <w:sz w:val="20"/>
                <w:szCs w:val="20"/>
              </w:rPr>
              <w:t>Key indicators of efficiency</w:t>
            </w:r>
          </w:p>
        </w:tc>
        <w:tc>
          <w:tcPr>
            <w:tcW w:w="1094" w:type="dxa"/>
            <w:shd w:val="clear" w:color="auto" w:fill="auto"/>
          </w:tcPr>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2012-13</w:t>
            </w:r>
          </w:p>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actual</w:t>
            </w:r>
          </w:p>
        </w:tc>
        <w:tc>
          <w:tcPr>
            <w:tcW w:w="1095" w:type="dxa"/>
            <w:shd w:val="clear" w:color="auto" w:fill="auto"/>
          </w:tcPr>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2013-14</w:t>
            </w:r>
          </w:p>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actual</w:t>
            </w:r>
          </w:p>
        </w:tc>
        <w:tc>
          <w:tcPr>
            <w:tcW w:w="1095" w:type="dxa"/>
          </w:tcPr>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2014-15</w:t>
            </w:r>
          </w:p>
          <w:p w:rsidR="00881F74" w:rsidRPr="00C54FEA" w:rsidRDefault="00881F74" w:rsidP="000D7011">
            <w:pPr>
              <w:spacing w:before="60" w:after="60" w:line="240" w:lineRule="auto"/>
              <w:jc w:val="right"/>
              <w:rPr>
                <w:rFonts w:ascii="Arial" w:hAnsi="Arial" w:cs="Arial"/>
                <w:b/>
                <w:sz w:val="20"/>
                <w:szCs w:val="20"/>
              </w:rPr>
            </w:pPr>
            <w:r>
              <w:rPr>
                <w:rFonts w:ascii="Arial" w:hAnsi="Arial" w:cs="Arial"/>
                <w:b/>
                <w:sz w:val="20"/>
                <w:szCs w:val="20"/>
              </w:rPr>
              <w:t>actual</w:t>
            </w:r>
          </w:p>
        </w:tc>
        <w:tc>
          <w:tcPr>
            <w:tcW w:w="1095" w:type="dxa"/>
            <w:shd w:val="clear" w:color="auto" w:fill="auto"/>
          </w:tcPr>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201</w:t>
            </w:r>
            <w:r>
              <w:rPr>
                <w:rFonts w:ascii="Arial" w:hAnsi="Arial" w:cs="Arial"/>
                <w:b/>
                <w:sz w:val="20"/>
                <w:szCs w:val="20"/>
              </w:rPr>
              <w:t>5</w:t>
            </w:r>
            <w:r w:rsidRPr="00C54FEA">
              <w:rPr>
                <w:rFonts w:ascii="Arial" w:hAnsi="Arial" w:cs="Arial"/>
                <w:b/>
                <w:sz w:val="20"/>
                <w:szCs w:val="20"/>
              </w:rPr>
              <w:t>-1</w:t>
            </w:r>
            <w:r>
              <w:rPr>
                <w:rFonts w:ascii="Arial" w:hAnsi="Arial" w:cs="Arial"/>
                <w:b/>
                <w:sz w:val="20"/>
                <w:szCs w:val="20"/>
              </w:rPr>
              <w:t>6</w:t>
            </w:r>
          </w:p>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target</w:t>
            </w:r>
          </w:p>
        </w:tc>
        <w:tc>
          <w:tcPr>
            <w:tcW w:w="1095" w:type="dxa"/>
            <w:shd w:val="clear" w:color="auto" w:fill="auto"/>
          </w:tcPr>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201</w:t>
            </w:r>
            <w:r>
              <w:rPr>
                <w:rFonts w:ascii="Arial" w:hAnsi="Arial" w:cs="Arial"/>
                <w:b/>
                <w:sz w:val="20"/>
                <w:szCs w:val="20"/>
              </w:rPr>
              <w:t>5</w:t>
            </w:r>
            <w:r w:rsidRPr="00C54FEA">
              <w:rPr>
                <w:rFonts w:ascii="Arial" w:hAnsi="Arial" w:cs="Arial"/>
                <w:b/>
                <w:sz w:val="20"/>
                <w:szCs w:val="20"/>
              </w:rPr>
              <w:t>-1</w:t>
            </w:r>
            <w:r>
              <w:rPr>
                <w:rFonts w:ascii="Arial" w:hAnsi="Arial" w:cs="Arial"/>
                <w:b/>
                <w:sz w:val="20"/>
                <w:szCs w:val="20"/>
              </w:rPr>
              <w:t>6</w:t>
            </w:r>
          </w:p>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actual</w:t>
            </w:r>
          </w:p>
        </w:tc>
      </w:tr>
      <w:tr w:rsidR="00881F74" w:rsidRPr="0019353C" w:rsidTr="000D7011">
        <w:tc>
          <w:tcPr>
            <w:tcW w:w="3369" w:type="dxa"/>
            <w:shd w:val="clear" w:color="auto" w:fill="auto"/>
          </w:tcPr>
          <w:p w:rsidR="00881F74" w:rsidRPr="00C54FEA" w:rsidRDefault="00881F74" w:rsidP="000D7011">
            <w:pPr>
              <w:spacing w:before="60" w:after="60" w:line="240" w:lineRule="auto"/>
              <w:rPr>
                <w:rFonts w:ascii="Arial" w:hAnsi="Arial" w:cs="Arial"/>
                <w:spacing w:val="-1"/>
                <w:sz w:val="20"/>
                <w:szCs w:val="20"/>
              </w:rPr>
            </w:pPr>
            <w:r w:rsidRPr="00C54FEA">
              <w:rPr>
                <w:rFonts w:ascii="Arial" w:hAnsi="Arial" w:cs="Arial"/>
                <w:spacing w:val="-1"/>
                <w:sz w:val="20"/>
                <w:szCs w:val="20"/>
              </w:rPr>
              <w:t xml:space="preserve">Cost per $100 of revenue raised ($) </w:t>
            </w:r>
            <w:r w:rsidRPr="00C54FEA">
              <w:rPr>
                <w:rFonts w:ascii="Arial" w:hAnsi="Arial" w:cs="Arial"/>
                <w:spacing w:val="-1"/>
                <w:sz w:val="20"/>
                <w:szCs w:val="20"/>
                <w:vertAlign w:val="superscript"/>
              </w:rPr>
              <w:t>(a)</w:t>
            </w:r>
          </w:p>
        </w:tc>
        <w:tc>
          <w:tcPr>
            <w:tcW w:w="1094"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0.62</w:t>
            </w:r>
          </w:p>
        </w:tc>
        <w:tc>
          <w:tcPr>
            <w:tcW w:w="1095"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0.6</w:t>
            </w:r>
            <w:r>
              <w:rPr>
                <w:rFonts w:ascii="Arial" w:hAnsi="Arial" w:cs="Arial"/>
                <w:spacing w:val="-1"/>
                <w:sz w:val="20"/>
                <w:szCs w:val="20"/>
              </w:rPr>
              <w:t>6</w:t>
            </w:r>
          </w:p>
        </w:tc>
        <w:tc>
          <w:tcPr>
            <w:tcW w:w="1095" w:type="dxa"/>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0.</w:t>
            </w:r>
            <w:r>
              <w:rPr>
                <w:rFonts w:ascii="Arial" w:hAnsi="Arial" w:cs="Arial"/>
                <w:spacing w:val="-1"/>
                <w:sz w:val="20"/>
                <w:szCs w:val="20"/>
              </w:rPr>
              <w:t>71</w:t>
            </w:r>
          </w:p>
        </w:tc>
        <w:tc>
          <w:tcPr>
            <w:tcW w:w="1095"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0.6</w:t>
            </w:r>
            <w:r>
              <w:rPr>
                <w:rFonts w:ascii="Arial" w:hAnsi="Arial" w:cs="Arial"/>
                <w:spacing w:val="-1"/>
                <w:sz w:val="20"/>
                <w:szCs w:val="20"/>
              </w:rPr>
              <w:t>8</w:t>
            </w:r>
          </w:p>
        </w:tc>
        <w:tc>
          <w:tcPr>
            <w:tcW w:w="1095"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0.7</w:t>
            </w:r>
            <w:r>
              <w:rPr>
                <w:rFonts w:ascii="Arial" w:hAnsi="Arial" w:cs="Arial"/>
                <w:spacing w:val="-1"/>
                <w:sz w:val="20"/>
                <w:szCs w:val="20"/>
              </w:rPr>
              <w:t>0</w:t>
            </w:r>
          </w:p>
        </w:tc>
      </w:tr>
      <w:tr w:rsidR="00881F74" w:rsidRPr="0019353C" w:rsidTr="000D7011">
        <w:tc>
          <w:tcPr>
            <w:tcW w:w="3369" w:type="dxa"/>
            <w:shd w:val="clear" w:color="auto" w:fill="auto"/>
          </w:tcPr>
          <w:p w:rsidR="00881F74" w:rsidRPr="00C54FEA" w:rsidRDefault="00881F74" w:rsidP="000D7011">
            <w:pPr>
              <w:spacing w:before="60" w:after="60" w:line="240" w:lineRule="auto"/>
              <w:rPr>
                <w:rFonts w:ascii="Arial" w:hAnsi="Arial" w:cs="Arial"/>
                <w:spacing w:val="-1"/>
                <w:sz w:val="20"/>
                <w:szCs w:val="20"/>
              </w:rPr>
            </w:pPr>
            <w:r>
              <w:rPr>
                <w:rFonts w:ascii="Arial" w:hAnsi="Arial" w:cs="Arial"/>
                <w:spacing w:val="-1"/>
                <w:sz w:val="20"/>
                <w:szCs w:val="20"/>
              </w:rPr>
              <w:t>Average cost per application/</w:t>
            </w:r>
            <w:r w:rsidRPr="00C54FEA">
              <w:rPr>
                <w:rFonts w:ascii="Arial" w:hAnsi="Arial" w:cs="Arial"/>
                <w:spacing w:val="-1"/>
                <w:sz w:val="20"/>
                <w:szCs w:val="20"/>
              </w:rPr>
              <w:t xml:space="preserve">claim processed ($) </w:t>
            </w:r>
            <w:r w:rsidRPr="00C54FEA">
              <w:rPr>
                <w:rFonts w:ascii="Arial" w:hAnsi="Arial" w:cs="Arial"/>
                <w:spacing w:val="-1"/>
                <w:sz w:val="20"/>
                <w:szCs w:val="20"/>
                <w:vertAlign w:val="superscript"/>
              </w:rPr>
              <w:t>(b)</w:t>
            </w:r>
          </w:p>
        </w:tc>
        <w:tc>
          <w:tcPr>
            <w:tcW w:w="1094"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9.</w:t>
            </w:r>
            <w:r>
              <w:rPr>
                <w:rFonts w:ascii="Arial" w:hAnsi="Arial" w:cs="Arial"/>
                <w:spacing w:val="-1"/>
                <w:sz w:val="20"/>
                <w:szCs w:val="20"/>
              </w:rPr>
              <w:t>84</w:t>
            </w:r>
          </w:p>
        </w:tc>
        <w:tc>
          <w:tcPr>
            <w:tcW w:w="1095"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Pr>
                <w:rFonts w:ascii="Arial" w:hAnsi="Arial" w:cs="Arial"/>
                <w:spacing w:val="-1"/>
                <w:sz w:val="20"/>
                <w:szCs w:val="20"/>
              </w:rPr>
              <w:t>11.86</w:t>
            </w:r>
          </w:p>
        </w:tc>
        <w:tc>
          <w:tcPr>
            <w:tcW w:w="1095" w:type="dxa"/>
          </w:tcPr>
          <w:p w:rsidR="00881F74" w:rsidRPr="00C54FEA" w:rsidRDefault="00881F74" w:rsidP="000D7011">
            <w:pPr>
              <w:spacing w:before="60" w:after="60" w:line="240" w:lineRule="auto"/>
              <w:jc w:val="right"/>
              <w:rPr>
                <w:rFonts w:ascii="Arial" w:hAnsi="Arial" w:cs="Arial"/>
                <w:spacing w:val="-1"/>
                <w:sz w:val="20"/>
                <w:szCs w:val="20"/>
              </w:rPr>
            </w:pPr>
            <w:r>
              <w:rPr>
                <w:rFonts w:ascii="Arial" w:hAnsi="Arial" w:cs="Arial"/>
                <w:spacing w:val="-1"/>
                <w:sz w:val="20"/>
                <w:szCs w:val="20"/>
              </w:rPr>
              <w:t>11.85</w:t>
            </w:r>
          </w:p>
        </w:tc>
        <w:tc>
          <w:tcPr>
            <w:tcW w:w="1095"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Pr>
                <w:rFonts w:ascii="Arial" w:hAnsi="Arial" w:cs="Arial"/>
                <w:spacing w:val="-1"/>
                <w:sz w:val="20"/>
                <w:szCs w:val="20"/>
              </w:rPr>
              <w:t>12.17</w:t>
            </w:r>
          </w:p>
        </w:tc>
        <w:tc>
          <w:tcPr>
            <w:tcW w:w="1095"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11.</w:t>
            </w:r>
            <w:r>
              <w:rPr>
                <w:rFonts w:ascii="Arial" w:hAnsi="Arial" w:cs="Arial"/>
                <w:spacing w:val="-1"/>
                <w:sz w:val="20"/>
                <w:szCs w:val="20"/>
              </w:rPr>
              <w:t>5</w:t>
            </w:r>
            <w:r w:rsidRPr="00C54FEA">
              <w:rPr>
                <w:rFonts w:ascii="Arial" w:hAnsi="Arial" w:cs="Arial"/>
                <w:spacing w:val="-1"/>
                <w:sz w:val="20"/>
                <w:szCs w:val="20"/>
              </w:rPr>
              <w:t>8</w:t>
            </w:r>
            <w:r>
              <w:rPr>
                <w:rFonts w:ascii="Arial" w:hAnsi="Arial" w:cs="Arial"/>
                <w:spacing w:val="-1"/>
                <w:sz w:val="20"/>
                <w:szCs w:val="20"/>
              </w:rPr>
              <w:t xml:space="preserve"> </w:t>
            </w:r>
            <w:r w:rsidRPr="00F64120">
              <w:rPr>
                <w:rFonts w:ascii="Arial" w:hAnsi="Arial" w:cs="Arial"/>
                <w:spacing w:val="-1"/>
                <w:sz w:val="20"/>
                <w:szCs w:val="20"/>
                <w:vertAlign w:val="superscript"/>
              </w:rPr>
              <w:t>(1)</w:t>
            </w:r>
          </w:p>
        </w:tc>
      </w:tr>
    </w:tbl>
    <w:p w:rsidR="00881F74" w:rsidRPr="00F64120" w:rsidRDefault="00881F74" w:rsidP="000D7011">
      <w:pPr>
        <w:widowControl w:val="0"/>
        <w:numPr>
          <w:ilvl w:val="0"/>
          <w:numId w:val="33"/>
        </w:numPr>
        <w:kinsoku w:val="0"/>
        <w:overflowPunct w:val="0"/>
        <w:autoSpaceDE w:val="0"/>
        <w:autoSpaceDN w:val="0"/>
        <w:adjustRightInd w:val="0"/>
        <w:spacing w:before="141" w:line="240" w:lineRule="auto"/>
        <w:rPr>
          <w:rFonts w:ascii="Arial" w:hAnsi="Arial" w:cs="Arial"/>
          <w:spacing w:val="-3"/>
          <w:sz w:val="24"/>
          <w:szCs w:val="24"/>
        </w:rPr>
      </w:pPr>
      <w:r w:rsidRPr="00F64120">
        <w:rPr>
          <w:rFonts w:ascii="Arial" w:hAnsi="Arial" w:cs="Arial"/>
          <w:sz w:val="24"/>
          <w:szCs w:val="24"/>
        </w:rPr>
        <w:t>Calculated as the total of State Revenue costs divided by total revenue raised and multiplied by 100. A cost allocation model is used to apportion the costs of taxation administration based</w:t>
      </w:r>
      <w:r>
        <w:rPr>
          <w:rFonts w:ascii="Arial" w:hAnsi="Arial" w:cs="Arial"/>
          <w:sz w:val="24"/>
          <w:szCs w:val="24"/>
        </w:rPr>
        <w:t xml:space="preserve"> </w:t>
      </w:r>
      <w:r w:rsidRPr="00F64120">
        <w:rPr>
          <w:rFonts w:ascii="Arial" w:hAnsi="Arial" w:cs="Arial"/>
          <w:sz w:val="24"/>
          <w:szCs w:val="24"/>
        </w:rPr>
        <w:t>on FTE numbers and resource usage.</w:t>
      </w:r>
    </w:p>
    <w:p w:rsidR="00881F74" w:rsidRPr="00F64120" w:rsidRDefault="00881F74" w:rsidP="000D7011">
      <w:pPr>
        <w:widowControl w:val="0"/>
        <w:numPr>
          <w:ilvl w:val="0"/>
          <w:numId w:val="33"/>
        </w:numPr>
        <w:kinsoku w:val="0"/>
        <w:overflowPunct w:val="0"/>
        <w:autoSpaceDE w:val="0"/>
        <w:autoSpaceDN w:val="0"/>
        <w:adjustRightInd w:val="0"/>
        <w:spacing w:before="141" w:line="240" w:lineRule="auto"/>
        <w:rPr>
          <w:rFonts w:ascii="Arial" w:hAnsi="Arial" w:cs="Arial"/>
          <w:spacing w:val="-3"/>
          <w:sz w:val="24"/>
          <w:szCs w:val="24"/>
        </w:rPr>
      </w:pPr>
      <w:r w:rsidRPr="00F64120">
        <w:rPr>
          <w:rFonts w:ascii="Arial" w:hAnsi="Arial" w:cs="Arial"/>
          <w:spacing w:val="-3"/>
          <w:sz w:val="24"/>
          <w:szCs w:val="24"/>
        </w:rPr>
        <w:t>Calculated as the total of State Revenue costs divided by the number of applications/claims. These include first home owner grant applications, applications for the first home owner rate of duty concession, pensioner concession claims for local government rates and the emergency services levy, and minor energy subsidy scheme applications. A cost allocation model is used to apportion the costs of processing of applications and</w:t>
      </w:r>
      <w:r>
        <w:rPr>
          <w:rFonts w:ascii="Arial" w:hAnsi="Arial" w:cs="Arial"/>
          <w:spacing w:val="-3"/>
          <w:sz w:val="24"/>
          <w:szCs w:val="24"/>
        </w:rPr>
        <w:t xml:space="preserve"> </w:t>
      </w:r>
      <w:r w:rsidRPr="00F64120">
        <w:rPr>
          <w:rFonts w:ascii="Arial" w:hAnsi="Arial" w:cs="Arial"/>
          <w:spacing w:val="-3"/>
          <w:sz w:val="24"/>
          <w:szCs w:val="24"/>
        </w:rPr>
        <w:t>claims based on FTE numbers and resource usage.</w:t>
      </w:r>
    </w:p>
    <w:p w:rsidR="00881F74" w:rsidRPr="00F64120" w:rsidRDefault="00881F74" w:rsidP="000D7011">
      <w:pPr>
        <w:keepLines/>
        <w:widowControl w:val="0"/>
        <w:numPr>
          <w:ilvl w:val="0"/>
          <w:numId w:val="32"/>
        </w:numPr>
        <w:kinsoku w:val="0"/>
        <w:overflowPunct w:val="0"/>
        <w:autoSpaceDE w:val="0"/>
        <w:autoSpaceDN w:val="0"/>
        <w:adjustRightInd w:val="0"/>
        <w:spacing w:before="141" w:line="240" w:lineRule="auto"/>
        <w:jc w:val="both"/>
        <w:rPr>
          <w:rFonts w:ascii="Arial" w:hAnsi="Arial"/>
          <w:sz w:val="24"/>
          <w:szCs w:val="20"/>
        </w:rPr>
      </w:pPr>
      <w:r w:rsidRPr="00F64120">
        <w:rPr>
          <w:rFonts w:ascii="Arial" w:hAnsi="Arial"/>
          <w:sz w:val="24"/>
          <w:szCs w:val="20"/>
        </w:rPr>
        <w:t>Average costs, compared to the 2015-16 target, have reduced due to efficiencies achieved during the Agency Expenditure Review. Through the State Government initiated review, the Department delivered significant savings by examining its services</w:t>
      </w:r>
      <w:r>
        <w:rPr>
          <w:rFonts w:ascii="Arial" w:hAnsi="Arial"/>
          <w:sz w:val="24"/>
          <w:szCs w:val="20"/>
        </w:rPr>
        <w:t xml:space="preserve"> </w:t>
      </w:r>
      <w:r w:rsidRPr="00F64120">
        <w:rPr>
          <w:rFonts w:ascii="Arial" w:hAnsi="Arial"/>
          <w:sz w:val="24"/>
          <w:szCs w:val="20"/>
        </w:rPr>
        <w:t>and the way they are delivered.</w:t>
      </w:r>
    </w:p>
    <w:p w:rsidR="00881F74" w:rsidRPr="00C54FEA" w:rsidRDefault="00881F74" w:rsidP="00881F74">
      <w:pPr>
        <w:widowControl w:val="0"/>
        <w:kinsoku w:val="0"/>
        <w:overflowPunct w:val="0"/>
        <w:autoSpaceDE w:val="0"/>
        <w:autoSpaceDN w:val="0"/>
        <w:adjustRightInd w:val="0"/>
        <w:spacing w:before="141" w:line="240" w:lineRule="auto"/>
        <w:rPr>
          <w:rFonts w:ascii="Arial" w:hAnsi="Arial" w:cs="Arial"/>
          <w:sz w:val="24"/>
          <w:szCs w:val="24"/>
        </w:rPr>
      </w:pPr>
    </w:p>
    <w:p w:rsidR="00881F74" w:rsidRPr="00C54FEA" w:rsidRDefault="00881F74" w:rsidP="00881F74">
      <w:pPr>
        <w:keepNext/>
        <w:keepLines/>
        <w:spacing w:before="200"/>
        <w:outlineLvl w:val="1"/>
        <w:rPr>
          <w:rFonts w:ascii="Arial" w:hAnsi="Arial"/>
          <w:b/>
          <w:bCs/>
          <w:sz w:val="40"/>
          <w:szCs w:val="26"/>
        </w:rPr>
      </w:pPr>
      <w:r w:rsidRPr="00C54FEA">
        <w:rPr>
          <w:rFonts w:ascii="Arial" w:hAnsi="Arial"/>
          <w:b/>
          <w:bCs/>
          <w:sz w:val="40"/>
          <w:szCs w:val="26"/>
        </w:rPr>
        <w:br w:type="page"/>
        <w:t>Government Procurement</w:t>
      </w:r>
    </w:p>
    <w:p w:rsidR="00881F74" w:rsidRPr="00C54FEA" w:rsidRDefault="00881F74" w:rsidP="00881F74">
      <w:pPr>
        <w:keepNext/>
        <w:spacing w:before="240" w:after="60"/>
        <w:outlineLvl w:val="2"/>
        <w:rPr>
          <w:rFonts w:ascii="Arial" w:hAnsi="Arial"/>
          <w:b/>
          <w:bCs/>
          <w:sz w:val="28"/>
          <w:szCs w:val="26"/>
        </w:rPr>
      </w:pPr>
      <w:r w:rsidRPr="00C54FEA">
        <w:rPr>
          <w:rFonts w:ascii="Arial" w:hAnsi="Arial"/>
          <w:b/>
          <w:bCs/>
          <w:sz w:val="28"/>
          <w:szCs w:val="26"/>
        </w:rPr>
        <w:t>Key effectiveness indicators</w:t>
      </w:r>
    </w:p>
    <w:p w:rsidR="00881F74" w:rsidRPr="00C54FEA" w:rsidRDefault="00881F74" w:rsidP="00881F74">
      <w:pPr>
        <w:keepNext/>
        <w:spacing w:before="240" w:after="60"/>
        <w:outlineLvl w:val="2"/>
        <w:rPr>
          <w:rFonts w:ascii="Arial" w:hAnsi="Arial"/>
          <w:b/>
          <w:bCs/>
          <w:sz w:val="28"/>
          <w:szCs w:val="26"/>
        </w:rPr>
      </w:pPr>
      <w:r w:rsidRPr="00C54FEA">
        <w:rPr>
          <w:rFonts w:ascii="Arial" w:hAnsi="Arial"/>
          <w:b/>
          <w:bCs/>
          <w:sz w:val="28"/>
          <w:szCs w:val="26"/>
        </w:rPr>
        <w:t>Outcome 2: Value-for-money from public sector procurement</w:t>
      </w:r>
    </w:p>
    <w:p w:rsidR="00881F74" w:rsidRPr="00F64120" w:rsidRDefault="00881F74" w:rsidP="00881F74">
      <w:pPr>
        <w:widowControl w:val="0"/>
        <w:kinsoku w:val="0"/>
        <w:overflowPunct w:val="0"/>
        <w:autoSpaceDE w:val="0"/>
        <w:autoSpaceDN w:val="0"/>
        <w:adjustRightInd w:val="0"/>
        <w:spacing w:before="141" w:line="240" w:lineRule="auto"/>
        <w:rPr>
          <w:rFonts w:ascii="Arial" w:hAnsi="Arial" w:cs="Arial"/>
          <w:sz w:val="24"/>
          <w:szCs w:val="24"/>
        </w:rPr>
      </w:pPr>
      <w:r w:rsidRPr="00F64120">
        <w:rPr>
          <w:rFonts w:ascii="Arial" w:hAnsi="Arial" w:cs="Arial"/>
          <w:sz w:val="24"/>
          <w:szCs w:val="24"/>
        </w:rPr>
        <w:t>This outcome aims to deliver value-for-money</w:t>
      </w:r>
      <w:r>
        <w:rPr>
          <w:rFonts w:ascii="Arial" w:hAnsi="Arial" w:cs="Arial"/>
          <w:sz w:val="24"/>
          <w:szCs w:val="24"/>
        </w:rPr>
        <w:t xml:space="preserve"> </w:t>
      </w:r>
      <w:r w:rsidRPr="00F64120">
        <w:rPr>
          <w:rFonts w:ascii="Arial" w:hAnsi="Arial" w:cs="Arial"/>
          <w:sz w:val="24"/>
          <w:szCs w:val="24"/>
        </w:rPr>
        <w:t>procurement services and frameworks across the</w:t>
      </w:r>
      <w:r>
        <w:rPr>
          <w:rFonts w:ascii="Arial" w:hAnsi="Arial" w:cs="Arial"/>
          <w:sz w:val="24"/>
          <w:szCs w:val="24"/>
        </w:rPr>
        <w:t xml:space="preserve"> </w:t>
      </w:r>
      <w:r w:rsidRPr="00F64120">
        <w:rPr>
          <w:rFonts w:ascii="Arial" w:hAnsi="Arial" w:cs="Arial"/>
          <w:sz w:val="24"/>
          <w:szCs w:val="24"/>
        </w:rPr>
        <w:t>Western Australian public sector. Value-for-money</w:t>
      </w:r>
      <w:r>
        <w:rPr>
          <w:rFonts w:ascii="Arial" w:hAnsi="Arial" w:cs="Arial"/>
          <w:sz w:val="24"/>
          <w:szCs w:val="24"/>
        </w:rPr>
        <w:t xml:space="preserve"> </w:t>
      </w:r>
      <w:r w:rsidRPr="00F64120">
        <w:rPr>
          <w:rFonts w:ascii="Arial" w:hAnsi="Arial" w:cs="Arial"/>
          <w:sz w:val="24"/>
          <w:szCs w:val="24"/>
        </w:rPr>
        <w:t>is a key policy objective and ensures public</w:t>
      </w:r>
      <w:r>
        <w:rPr>
          <w:rFonts w:ascii="Arial" w:hAnsi="Arial" w:cs="Arial"/>
          <w:sz w:val="24"/>
          <w:szCs w:val="24"/>
        </w:rPr>
        <w:t xml:space="preserve"> </w:t>
      </w:r>
      <w:r w:rsidRPr="00F64120">
        <w:rPr>
          <w:rFonts w:ascii="Arial" w:hAnsi="Arial" w:cs="Arial"/>
          <w:sz w:val="24"/>
          <w:szCs w:val="24"/>
        </w:rPr>
        <w:t>authorities achieve the best possible outcome</w:t>
      </w:r>
      <w:r>
        <w:rPr>
          <w:rFonts w:ascii="Arial" w:hAnsi="Arial" w:cs="Arial"/>
          <w:sz w:val="24"/>
          <w:szCs w:val="24"/>
        </w:rPr>
        <w:t xml:space="preserve"> </w:t>
      </w:r>
      <w:r w:rsidRPr="00F64120">
        <w:rPr>
          <w:rFonts w:ascii="Arial" w:hAnsi="Arial" w:cs="Arial"/>
          <w:sz w:val="24"/>
          <w:szCs w:val="24"/>
        </w:rPr>
        <w:t>for the amount of money spent when purchasing</w:t>
      </w:r>
      <w:r>
        <w:rPr>
          <w:rFonts w:ascii="Arial" w:hAnsi="Arial" w:cs="Arial"/>
          <w:sz w:val="24"/>
          <w:szCs w:val="24"/>
        </w:rPr>
        <w:t xml:space="preserve"> </w:t>
      </w:r>
      <w:r w:rsidRPr="00F64120">
        <w:rPr>
          <w:rFonts w:ascii="Arial" w:hAnsi="Arial" w:cs="Arial"/>
          <w:sz w:val="24"/>
          <w:szCs w:val="24"/>
        </w:rPr>
        <w:t>goods and services.</w:t>
      </w:r>
    </w:p>
    <w:p w:rsidR="00881F74" w:rsidRDefault="00881F74" w:rsidP="00881F74">
      <w:pPr>
        <w:widowControl w:val="0"/>
        <w:kinsoku w:val="0"/>
        <w:overflowPunct w:val="0"/>
        <w:autoSpaceDE w:val="0"/>
        <w:autoSpaceDN w:val="0"/>
        <w:adjustRightInd w:val="0"/>
        <w:spacing w:before="141" w:line="240" w:lineRule="auto"/>
        <w:rPr>
          <w:rFonts w:ascii="Arial" w:hAnsi="Arial" w:cs="Arial"/>
          <w:sz w:val="24"/>
          <w:szCs w:val="24"/>
        </w:rPr>
      </w:pPr>
      <w:r w:rsidRPr="00F64120">
        <w:rPr>
          <w:rFonts w:ascii="Arial" w:hAnsi="Arial" w:cs="Arial"/>
          <w:sz w:val="24"/>
          <w:szCs w:val="24"/>
        </w:rPr>
        <w:t>Value-for-money from public sector procurement</w:t>
      </w:r>
      <w:r>
        <w:rPr>
          <w:rFonts w:ascii="Arial" w:hAnsi="Arial" w:cs="Arial"/>
          <w:sz w:val="24"/>
          <w:szCs w:val="24"/>
        </w:rPr>
        <w:t xml:space="preserve"> </w:t>
      </w:r>
      <w:r w:rsidRPr="00F64120">
        <w:rPr>
          <w:rFonts w:ascii="Arial" w:hAnsi="Arial" w:cs="Arial"/>
          <w:sz w:val="24"/>
          <w:szCs w:val="24"/>
        </w:rPr>
        <w:t>is considered effective if:</w:t>
      </w:r>
      <w:r>
        <w:rPr>
          <w:rFonts w:ascii="Arial" w:hAnsi="Arial" w:cs="Arial"/>
          <w:sz w:val="24"/>
          <w:szCs w:val="24"/>
        </w:rPr>
        <w:t xml:space="preserve"> </w:t>
      </w:r>
    </w:p>
    <w:p w:rsidR="00881F74" w:rsidRPr="00F64120" w:rsidRDefault="00881F74" w:rsidP="000D7011">
      <w:pPr>
        <w:pStyle w:val="BodyText"/>
        <w:numPr>
          <w:ilvl w:val="0"/>
          <w:numId w:val="45"/>
        </w:numPr>
      </w:pPr>
      <w:r w:rsidRPr="00F64120">
        <w:t>Economies of scale are achieved through</w:t>
      </w:r>
      <w:r>
        <w:t xml:space="preserve"> </w:t>
      </w:r>
      <w:r w:rsidRPr="00F64120">
        <w:t>the aggregation of the acquisition, fleet</w:t>
      </w:r>
      <w:r>
        <w:t xml:space="preserve"> </w:t>
      </w:r>
      <w:r w:rsidRPr="00F64120">
        <w:t>management and disposal activities related</w:t>
      </w:r>
      <w:r>
        <w:t xml:space="preserve"> </w:t>
      </w:r>
      <w:r w:rsidRPr="00F64120">
        <w:t>to the Government’s light vehicle fleet.</w:t>
      </w:r>
    </w:p>
    <w:p w:rsidR="00881F74" w:rsidRPr="00C54FEA" w:rsidRDefault="00881F74" w:rsidP="000D7011">
      <w:pPr>
        <w:pStyle w:val="BodyText"/>
        <w:numPr>
          <w:ilvl w:val="0"/>
          <w:numId w:val="45"/>
        </w:numPr>
      </w:pPr>
      <w:r w:rsidRPr="00F64120">
        <w:t>Client agencies agree that Common Use</w:t>
      </w:r>
      <w:r>
        <w:t xml:space="preserve"> </w:t>
      </w:r>
      <w:r w:rsidRPr="00F64120">
        <w:t>Arrangements (CUAs) are awarded and</w:t>
      </w:r>
      <w:r>
        <w:t xml:space="preserve"> </w:t>
      </w:r>
      <w:r w:rsidRPr="00F64120">
        <w:t>managed on a value-for-money basis.</w:t>
      </w:r>
    </w:p>
    <w:p w:rsidR="00881F74" w:rsidRPr="00C54FEA" w:rsidRDefault="00881F74" w:rsidP="00881F74">
      <w:pPr>
        <w:widowControl w:val="0"/>
        <w:kinsoku w:val="0"/>
        <w:overflowPunct w:val="0"/>
        <w:autoSpaceDE w:val="0"/>
        <w:autoSpaceDN w:val="0"/>
        <w:adjustRightInd w:val="0"/>
        <w:spacing w:before="141" w:line="240" w:lineRule="auto"/>
        <w:rPr>
          <w:rFonts w:ascii="Arial" w:hAnsi="Arial" w:cs="Arial"/>
          <w:sz w:val="24"/>
          <w:szCs w:val="24"/>
        </w:rPr>
      </w:pPr>
    </w:p>
    <w:p w:rsidR="00881F74" w:rsidRPr="00C54FEA" w:rsidRDefault="00881F74" w:rsidP="00881F74">
      <w:pPr>
        <w:keepNext/>
        <w:rPr>
          <w:rFonts w:ascii="Arial" w:hAnsi="Arial"/>
          <w:b/>
          <w:bCs/>
          <w:sz w:val="24"/>
          <w:szCs w:val="20"/>
        </w:rPr>
      </w:pPr>
      <w:r w:rsidRPr="00FD4C79">
        <w:rPr>
          <w:rFonts w:ascii="Arial" w:hAnsi="Arial" w:cs="Arial"/>
          <w:b/>
          <w:sz w:val="24"/>
          <w:szCs w:val="24"/>
        </w:rPr>
        <w:fldChar w:fldCharType="begin"/>
      </w:r>
      <w:r w:rsidRPr="00FD4C79">
        <w:rPr>
          <w:rFonts w:ascii="Arial" w:hAnsi="Arial" w:cs="Arial"/>
          <w:b/>
          <w:sz w:val="24"/>
          <w:szCs w:val="24"/>
        </w:rPr>
        <w:instrText xml:space="preserve"> SEQ Table \* ARABIC </w:instrText>
      </w:r>
      <w:r w:rsidRPr="00FD4C79">
        <w:rPr>
          <w:rFonts w:ascii="Arial" w:hAnsi="Arial" w:cs="Arial"/>
          <w:b/>
          <w:sz w:val="24"/>
          <w:szCs w:val="24"/>
        </w:rPr>
        <w:fldChar w:fldCharType="separate"/>
      </w:r>
      <w:r w:rsidR="00D8778B">
        <w:rPr>
          <w:rFonts w:ascii="Arial" w:hAnsi="Arial" w:cs="Arial"/>
          <w:b/>
          <w:noProof/>
          <w:sz w:val="24"/>
          <w:szCs w:val="24"/>
        </w:rPr>
        <w:t>80</w:t>
      </w:r>
      <w:r w:rsidRPr="00FD4C79">
        <w:rPr>
          <w:rFonts w:ascii="Arial" w:hAnsi="Arial" w:cs="Arial"/>
          <w:b/>
          <w:sz w:val="24"/>
          <w:szCs w:val="24"/>
        </w:rPr>
        <w:fldChar w:fldCharType="end"/>
      </w:r>
      <w:r>
        <w:rPr>
          <w:rFonts w:ascii="Arial" w:hAnsi="Arial" w:cs="Arial"/>
          <w:b/>
          <w:sz w:val="24"/>
          <w:szCs w:val="24"/>
        </w:rPr>
        <w:t xml:space="preserve"> </w:t>
      </w:r>
      <w:r w:rsidRPr="00C54FEA">
        <w:rPr>
          <w:rFonts w:ascii="Arial" w:hAnsi="Arial"/>
          <w:b/>
          <w:bCs/>
          <w:sz w:val="24"/>
          <w:szCs w:val="20"/>
        </w:rPr>
        <w:t>Government Procurement: Key effectiveness indicators</w:t>
      </w:r>
    </w:p>
    <w:tbl>
      <w:tblPr>
        <w:tblW w:w="8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094"/>
        <w:gridCol w:w="1095"/>
        <w:gridCol w:w="1095"/>
        <w:gridCol w:w="1095"/>
        <w:gridCol w:w="1095"/>
      </w:tblGrid>
      <w:tr w:rsidR="00881F74" w:rsidRPr="0019353C" w:rsidTr="000D7011">
        <w:tc>
          <w:tcPr>
            <w:tcW w:w="3369" w:type="dxa"/>
            <w:shd w:val="clear" w:color="auto" w:fill="auto"/>
          </w:tcPr>
          <w:p w:rsidR="00881F74" w:rsidRPr="00C54FEA" w:rsidRDefault="00881F74" w:rsidP="000D7011">
            <w:pPr>
              <w:spacing w:before="60" w:after="60" w:line="240" w:lineRule="auto"/>
              <w:rPr>
                <w:rFonts w:ascii="Arial" w:hAnsi="Arial" w:cs="Arial"/>
                <w:b/>
                <w:sz w:val="20"/>
                <w:szCs w:val="20"/>
              </w:rPr>
            </w:pPr>
            <w:r w:rsidRPr="00C54FEA">
              <w:rPr>
                <w:rFonts w:ascii="Arial" w:hAnsi="Arial" w:cs="Arial"/>
                <w:b/>
                <w:sz w:val="20"/>
                <w:szCs w:val="20"/>
              </w:rPr>
              <w:t>Key indicators of effectiveness</w:t>
            </w:r>
          </w:p>
        </w:tc>
        <w:tc>
          <w:tcPr>
            <w:tcW w:w="1094" w:type="dxa"/>
            <w:shd w:val="clear" w:color="auto" w:fill="auto"/>
          </w:tcPr>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2012-13</w:t>
            </w:r>
          </w:p>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actual</w:t>
            </w:r>
          </w:p>
        </w:tc>
        <w:tc>
          <w:tcPr>
            <w:tcW w:w="1095" w:type="dxa"/>
            <w:shd w:val="clear" w:color="auto" w:fill="auto"/>
          </w:tcPr>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2013-14</w:t>
            </w:r>
          </w:p>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actual</w:t>
            </w:r>
          </w:p>
        </w:tc>
        <w:tc>
          <w:tcPr>
            <w:tcW w:w="1095" w:type="dxa"/>
          </w:tcPr>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2014-15</w:t>
            </w:r>
          </w:p>
          <w:p w:rsidR="00881F74" w:rsidRPr="00C54FEA" w:rsidRDefault="00881F74" w:rsidP="000D7011">
            <w:pPr>
              <w:spacing w:before="60" w:after="60" w:line="240" w:lineRule="auto"/>
              <w:jc w:val="right"/>
              <w:rPr>
                <w:rFonts w:ascii="Arial" w:hAnsi="Arial" w:cs="Arial"/>
                <w:b/>
                <w:sz w:val="20"/>
                <w:szCs w:val="20"/>
              </w:rPr>
            </w:pPr>
            <w:r>
              <w:rPr>
                <w:rFonts w:ascii="Arial" w:hAnsi="Arial" w:cs="Arial"/>
                <w:b/>
                <w:sz w:val="20"/>
                <w:szCs w:val="20"/>
              </w:rPr>
              <w:t>actual</w:t>
            </w:r>
          </w:p>
        </w:tc>
        <w:tc>
          <w:tcPr>
            <w:tcW w:w="1095" w:type="dxa"/>
            <w:shd w:val="clear" w:color="auto" w:fill="auto"/>
          </w:tcPr>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201</w:t>
            </w:r>
            <w:r>
              <w:rPr>
                <w:rFonts w:ascii="Arial" w:hAnsi="Arial" w:cs="Arial"/>
                <w:b/>
                <w:sz w:val="20"/>
                <w:szCs w:val="20"/>
              </w:rPr>
              <w:t>5</w:t>
            </w:r>
            <w:r w:rsidRPr="00C54FEA">
              <w:rPr>
                <w:rFonts w:ascii="Arial" w:hAnsi="Arial" w:cs="Arial"/>
                <w:b/>
                <w:sz w:val="20"/>
                <w:szCs w:val="20"/>
              </w:rPr>
              <w:t>-1</w:t>
            </w:r>
            <w:r>
              <w:rPr>
                <w:rFonts w:ascii="Arial" w:hAnsi="Arial" w:cs="Arial"/>
                <w:b/>
                <w:sz w:val="20"/>
                <w:szCs w:val="20"/>
              </w:rPr>
              <w:t>6</w:t>
            </w:r>
          </w:p>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target</w:t>
            </w:r>
          </w:p>
        </w:tc>
        <w:tc>
          <w:tcPr>
            <w:tcW w:w="1095" w:type="dxa"/>
            <w:shd w:val="clear" w:color="auto" w:fill="auto"/>
          </w:tcPr>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201</w:t>
            </w:r>
            <w:r>
              <w:rPr>
                <w:rFonts w:ascii="Arial" w:hAnsi="Arial" w:cs="Arial"/>
                <w:b/>
                <w:sz w:val="20"/>
                <w:szCs w:val="20"/>
              </w:rPr>
              <w:t>5</w:t>
            </w:r>
            <w:r w:rsidRPr="00C54FEA">
              <w:rPr>
                <w:rFonts w:ascii="Arial" w:hAnsi="Arial" w:cs="Arial"/>
                <w:b/>
                <w:sz w:val="20"/>
                <w:szCs w:val="20"/>
              </w:rPr>
              <w:t>-1</w:t>
            </w:r>
            <w:r>
              <w:rPr>
                <w:rFonts w:ascii="Arial" w:hAnsi="Arial" w:cs="Arial"/>
                <w:b/>
                <w:sz w:val="20"/>
                <w:szCs w:val="20"/>
              </w:rPr>
              <w:t>6</w:t>
            </w:r>
          </w:p>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actual</w:t>
            </w:r>
          </w:p>
        </w:tc>
      </w:tr>
      <w:tr w:rsidR="00881F74" w:rsidRPr="0019353C" w:rsidTr="000D7011">
        <w:tc>
          <w:tcPr>
            <w:tcW w:w="3369" w:type="dxa"/>
            <w:shd w:val="clear" w:color="auto" w:fill="auto"/>
          </w:tcPr>
          <w:p w:rsidR="00881F74" w:rsidRPr="00C54FEA" w:rsidRDefault="00881F74" w:rsidP="000D7011">
            <w:pPr>
              <w:spacing w:before="60" w:after="60" w:line="240" w:lineRule="auto"/>
              <w:rPr>
                <w:rFonts w:ascii="Arial" w:hAnsi="Arial" w:cs="Arial"/>
                <w:spacing w:val="-1"/>
                <w:sz w:val="20"/>
                <w:szCs w:val="20"/>
              </w:rPr>
            </w:pPr>
            <w:r w:rsidRPr="00C54FEA">
              <w:rPr>
                <w:rFonts w:ascii="Arial" w:hAnsi="Arial" w:cs="Arial"/>
                <w:sz w:val="20"/>
                <w:szCs w:val="20"/>
              </w:rPr>
              <w:t xml:space="preserve">Profitability of the State’s light vehicle fleet ($000) </w:t>
            </w:r>
            <w:r w:rsidRPr="00C54FEA">
              <w:rPr>
                <w:rFonts w:ascii="Arial" w:hAnsi="Arial" w:cs="Arial"/>
                <w:sz w:val="20"/>
                <w:szCs w:val="20"/>
                <w:vertAlign w:val="superscript"/>
              </w:rPr>
              <w:t>(a)</w:t>
            </w:r>
          </w:p>
        </w:tc>
        <w:tc>
          <w:tcPr>
            <w:tcW w:w="1094"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 xml:space="preserve">19,354 </w:t>
            </w:r>
          </w:p>
        </w:tc>
        <w:tc>
          <w:tcPr>
            <w:tcW w:w="1095"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11,192</w:t>
            </w:r>
          </w:p>
        </w:tc>
        <w:tc>
          <w:tcPr>
            <w:tcW w:w="1095" w:type="dxa"/>
          </w:tcPr>
          <w:p w:rsidR="00881F74" w:rsidRPr="00C54FEA" w:rsidRDefault="00881F74" w:rsidP="000D7011">
            <w:pPr>
              <w:spacing w:before="60" w:after="60" w:line="240" w:lineRule="auto"/>
              <w:jc w:val="right"/>
              <w:rPr>
                <w:rFonts w:ascii="Arial" w:hAnsi="Arial" w:cs="Arial"/>
                <w:spacing w:val="-1"/>
                <w:sz w:val="20"/>
                <w:szCs w:val="20"/>
              </w:rPr>
            </w:pPr>
            <w:r>
              <w:rPr>
                <w:rFonts w:ascii="Arial" w:hAnsi="Arial" w:cs="Arial"/>
                <w:spacing w:val="-1"/>
                <w:sz w:val="20"/>
                <w:szCs w:val="20"/>
              </w:rPr>
              <w:t>11,495</w:t>
            </w:r>
          </w:p>
        </w:tc>
        <w:tc>
          <w:tcPr>
            <w:tcW w:w="1095"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Pr>
                <w:rFonts w:ascii="Arial" w:hAnsi="Arial" w:cs="Arial"/>
                <w:spacing w:val="-1"/>
                <w:sz w:val="20"/>
                <w:szCs w:val="20"/>
              </w:rPr>
              <w:t>10,176</w:t>
            </w:r>
          </w:p>
        </w:tc>
        <w:tc>
          <w:tcPr>
            <w:tcW w:w="1095"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Pr>
                <w:rFonts w:ascii="Arial" w:hAnsi="Arial" w:cs="Arial"/>
                <w:spacing w:val="-1"/>
                <w:sz w:val="20"/>
                <w:szCs w:val="20"/>
              </w:rPr>
              <w:t>16,871</w:t>
            </w:r>
            <w:r w:rsidRPr="00C54FEA">
              <w:rPr>
                <w:rFonts w:ascii="Arial" w:hAnsi="Arial" w:cs="Arial"/>
                <w:spacing w:val="-1"/>
                <w:sz w:val="20"/>
                <w:szCs w:val="20"/>
                <w:vertAlign w:val="superscript"/>
              </w:rPr>
              <w:t>(1)</w:t>
            </w:r>
          </w:p>
        </w:tc>
      </w:tr>
      <w:tr w:rsidR="00881F74" w:rsidRPr="0019353C" w:rsidTr="000D7011">
        <w:tc>
          <w:tcPr>
            <w:tcW w:w="3369" w:type="dxa"/>
            <w:shd w:val="clear" w:color="auto" w:fill="auto"/>
          </w:tcPr>
          <w:p w:rsidR="00881F74" w:rsidRPr="00C54FEA" w:rsidRDefault="00881F74" w:rsidP="000D7011">
            <w:pPr>
              <w:spacing w:before="60" w:after="60" w:line="240" w:lineRule="auto"/>
              <w:rPr>
                <w:rFonts w:ascii="Arial" w:hAnsi="Arial" w:cs="Arial"/>
                <w:spacing w:val="-1"/>
                <w:sz w:val="20"/>
                <w:szCs w:val="20"/>
              </w:rPr>
            </w:pPr>
            <w:r w:rsidRPr="00C54FEA">
              <w:rPr>
                <w:rFonts w:ascii="Arial" w:hAnsi="Arial" w:cs="Arial"/>
                <w:sz w:val="20"/>
                <w:szCs w:val="20"/>
              </w:rPr>
              <w:t xml:space="preserve">Extent to which client agencies agree that their agency contracts and </w:t>
            </w:r>
            <w:r>
              <w:rPr>
                <w:rFonts w:ascii="Arial" w:hAnsi="Arial" w:cs="Arial"/>
                <w:sz w:val="20"/>
                <w:szCs w:val="20"/>
              </w:rPr>
              <w:t>CUAs</w:t>
            </w:r>
            <w:r w:rsidRPr="00C54FEA">
              <w:rPr>
                <w:rFonts w:ascii="Arial" w:hAnsi="Arial" w:cs="Arial"/>
                <w:sz w:val="20"/>
                <w:szCs w:val="20"/>
              </w:rPr>
              <w:t xml:space="preserve"> achieved value</w:t>
            </w:r>
            <w:r>
              <w:rPr>
                <w:rFonts w:ascii="Arial" w:hAnsi="Arial" w:cs="Arial"/>
                <w:sz w:val="20"/>
                <w:szCs w:val="20"/>
              </w:rPr>
              <w:t>-</w:t>
            </w:r>
            <w:r w:rsidRPr="00C54FEA">
              <w:rPr>
                <w:rFonts w:ascii="Arial" w:hAnsi="Arial" w:cs="Arial"/>
                <w:sz w:val="20"/>
                <w:szCs w:val="20"/>
              </w:rPr>
              <w:t>for</w:t>
            </w:r>
            <w:r>
              <w:rPr>
                <w:rFonts w:ascii="Arial" w:hAnsi="Arial" w:cs="Arial"/>
                <w:sz w:val="20"/>
                <w:szCs w:val="20"/>
              </w:rPr>
              <w:t>-</w:t>
            </w:r>
            <w:r w:rsidRPr="00C54FEA">
              <w:rPr>
                <w:rFonts w:ascii="Arial" w:hAnsi="Arial" w:cs="Arial"/>
                <w:sz w:val="20"/>
                <w:szCs w:val="20"/>
              </w:rPr>
              <w:t xml:space="preserve"> money (%) </w:t>
            </w:r>
            <w:r w:rsidRPr="00C54FEA">
              <w:rPr>
                <w:rFonts w:ascii="Arial" w:hAnsi="Arial" w:cs="Arial"/>
                <w:sz w:val="20"/>
                <w:szCs w:val="20"/>
                <w:vertAlign w:val="superscript"/>
              </w:rPr>
              <w:t>(b)</w:t>
            </w:r>
          </w:p>
        </w:tc>
        <w:tc>
          <w:tcPr>
            <w:tcW w:w="1094"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9</w:t>
            </w:r>
            <w:r>
              <w:rPr>
                <w:rFonts w:ascii="Arial" w:hAnsi="Arial" w:cs="Arial"/>
                <w:spacing w:val="-1"/>
                <w:sz w:val="20"/>
                <w:szCs w:val="20"/>
              </w:rPr>
              <w:t>2</w:t>
            </w:r>
          </w:p>
        </w:tc>
        <w:tc>
          <w:tcPr>
            <w:tcW w:w="1095"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9</w:t>
            </w:r>
            <w:r>
              <w:rPr>
                <w:rFonts w:ascii="Arial" w:hAnsi="Arial" w:cs="Arial"/>
                <w:spacing w:val="-1"/>
                <w:sz w:val="20"/>
                <w:szCs w:val="20"/>
              </w:rPr>
              <w:t>3</w:t>
            </w:r>
          </w:p>
        </w:tc>
        <w:tc>
          <w:tcPr>
            <w:tcW w:w="1095" w:type="dxa"/>
          </w:tcPr>
          <w:p w:rsidR="00881F74" w:rsidRPr="00C54FEA" w:rsidRDefault="00881F74" w:rsidP="000D7011">
            <w:pPr>
              <w:spacing w:before="60" w:after="60" w:line="240" w:lineRule="auto"/>
              <w:jc w:val="right"/>
              <w:rPr>
                <w:rFonts w:ascii="Arial" w:hAnsi="Arial" w:cs="Arial"/>
                <w:spacing w:val="-1"/>
                <w:sz w:val="20"/>
                <w:szCs w:val="20"/>
              </w:rPr>
            </w:pPr>
            <w:r>
              <w:rPr>
                <w:rFonts w:ascii="Arial" w:hAnsi="Arial" w:cs="Arial"/>
                <w:spacing w:val="-1"/>
                <w:sz w:val="20"/>
                <w:szCs w:val="20"/>
              </w:rPr>
              <w:t>87</w:t>
            </w:r>
          </w:p>
        </w:tc>
        <w:tc>
          <w:tcPr>
            <w:tcW w:w="1095"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90</w:t>
            </w:r>
          </w:p>
        </w:tc>
        <w:tc>
          <w:tcPr>
            <w:tcW w:w="1095"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Pr>
                <w:rFonts w:ascii="Arial" w:hAnsi="Arial" w:cs="Arial"/>
                <w:spacing w:val="-1"/>
                <w:sz w:val="20"/>
                <w:szCs w:val="20"/>
              </w:rPr>
              <w:t>93</w:t>
            </w:r>
            <w:r w:rsidRPr="00C54FEA">
              <w:rPr>
                <w:rFonts w:ascii="Arial" w:hAnsi="Arial" w:cs="Arial"/>
                <w:spacing w:val="-1"/>
                <w:sz w:val="20"/>
                <w:szCs w:val="20"/>
                <w:vertAlign w:val="superscript"/>
              </w:rPr>
              <w:t>(2)</w:t>
            </w:r>
          </w:p>
        </w:tc>
      </w:tr>
    </w:tbl>
    <w:p w:rsidR="00881F74" w:rsidRPr="00C54FEA" w:rsidRDefault="00881F74" w:rsidP="000D7011">
      <w:pPr>
        <w:widowControl w:val="0"/>
        <w:numPr>
          <w:ilvl w:val="0"/>
          <w:numId w:val="35"/>
        </w:numPr>
        <w:kinsoku w:val="0"/>
        <w:overflowPunct w:val="0"/>
        <w:autoSpaceDE w:val="0"/>
        <w:autoSpaceDN w:val="0"/>
        <w:adjustRightInd w:val="0"/>
        <w:spacing w:before="141" w:line="240" w:lineRule="auto"/>
        <w:rPr>
          <w:rFonts w:ascii="Arial" w:hAnsi="Arial" w:cs="Arial"/>
          <w:sz w:val="24"/>
          <w:szCs w:val="24"/>
        </w:rPr>
      </w:pPr>
      <w:r w:rsidRPr="00C54FEA">
        <w:rPr>
          <w:rFonts w:ascii="Arial" w:hAnsi="Arial" w:cs="Arial"/>
          <w:sz w:val="24"/>
          <w:szCs w:val="24"/>
        </w:rPr>
        <w:t>This KPI is calculated by subtracting the operating expenses of the fleet from the operating revenue.</w:t>
      </w:r>
    </w:p>
    <w:p w:rsidR="00881F74" w:rsidRPr="009D12D0" w:rsidRDefault="00881F74" w:rsidP="000D7011">
      <w:pPr>
        <w:widowControl w:val="0"/>
        <w:numPr>
          <w:ilvl w:val="0"/>
          <w:numId w:val="35"/>
        </w:numPr>
        <w:kinsoku w:val="0"/>
        <w:overflowPunct w:val="0"/>
        <w:autoSpaceDE w:val="0"/>
        <w:autoSpaceDN w:val="0"/>
        <w:adjustRightInd w:val="0"/>
        <w:spacing w:before="113" w:line="240" w:lineRule="auto"/>
        <w:ind w:right="718"/>
        <w:jc w:val="both"/>
        <w:rPr>
          <w:rFonts w:ascii="Arial" w:hAnsi="Arial" w:cs="Arial"/>
          <w:spacing w:val="-1"/>
          <w:sz w:val="20"/>
          <w:szCs w:val="20"/>
        </w:rPr>
      </w:pPr>
      <w:r w:rsidRPr="009D12D0">
        <w:rPr>
          <w:rFonts w:ascii="Arial" w:hAnsi="Arial" w:cs="Arial"/>
          <w:sz w:val="24"/>
          <w:szCs w:val="24"/>
        </w:rPr>
        <w:t>This indicator is calculated by dividing the total number of satisfied responses with the total number of survey respondents for users of common use contract arrangements and clients of agency specific contracts (1,709 surveys issued; 1,372 responses; 80 per cent response rate; one per cent at 95 per</w:t>
      </w:r>
      <w:r>
        <w:rPr>
          <w:rFonts w:ascii="Arial" w:hAnsi="Arial" w:cs="Arial"/>
          <w:sz w:val="24"/>
          <w:szCs w:val="24"/>
        </w:rPr>
        <w:t xml:space="preserve"> </w:t>
      </w:r>
      <w:r w:rsidRPr="009D12D0">
        <w:rPr>
          <w:rFonts w:ascii="Arial" w:hAnsi="Arial" w:cs="Arial"/>
          <w:sz w:val="24"/>
          <w:szCs w:val="24"/>
        </w:rPr>
        <w:t>cent confidence leve</w:t>
      </w:r>
      <w:r>
        <w:rPr>
          <w:rFonts w:ascii="Arial" w:hAnsi="Arial" w:cs="Arial"/>
          <w:sz w:val="24"/>
          <w:szCs w:val="24"/>
        </w:rPr>
        <w:t>l</w:t>
      </w:r>
      <w:r w:rsidRPr="009D12D0">
        <w:rPr>
          <w:rFonts w:ascii="Arial" w:hAnsi="Arial" w:cs="Arial"/>
          <w:sz w:val="24"/>
          <w:szCs w:val="24"/>
        </w:rPr>
        <w:t>).</w:t>
      </w:r>
    </w:p>
    <w:p w:rsidR="00881F74" w:rsidRPr="009D12D0" w:rsidRDefault="00881F74" w:rsidP="000D7011">
      <w:pPr>
        <w:keepLines/>
        <w:widowControl w:val="0"/>
        <w:numPr>
          <w:ilvl w:val="0"/>
          <w:numId w:val="34"/>
        </w:numPr>
        <w:kinsoku w:val="0"/>
        <w:overflowPunct w:val="0"/>
        <w:autoSpaceDE w:val="0"/>
        <w:autoSpaceDN w:val="0"/>
        <w:adjustRightInd w:val="0"/>
        <w:spacing w:before="141" w:line="240" w:lineRule="auto"/>
        <w:jc w:val="both"/>
        <w:rPr>
          <w:rFonts w:ascii="Arial" w:hAnsi="Arial"/>
          <w:sz w:val="24"/>
          <w:szCs w:val="20"/>
        </w:rPr>
      </w:pPr>
      <w:r w:rsidRPr="009D12D0">
        <w:rPr>
          <w:rFonts w:ascii="Arial" w:hAnsi="Arial"/>
          <w:sz w:val="24"/>
          <w:szCs w:val="20"/>
        </w:rPr>
        <w:t>Profitability has improved, compared to 2014-15 actuals and the 2015-16 target, due to increased replacement activity as agencies have begun to replace vehicles previously being held on lease</w:t>
      </w:r>
      <w:r>
        <w:rPr>
          <w:rFonts w:ascii="Arial" w:hAnsi="Arial"/>
          <w:sz w:val="24"/>
          <w:szCs w:val="20"/>
        </w:rPr>
        <w:t xml:space="preserve"> </w:t>
      </w:r>
      <w:r w:rsidRPr="009D12D0">
        <w:rPr>
          <w:rFonts w:ascii="Arial" w:hAnsi="Arial"/>
          <w:sz w:val="24"/>
          <w:szCs w:val="20"/>
        </w:rPr>
        <w:t xml:space="preserve">extensions. </w:t>
      </w:r>
    </w:p>
    <w:p w:rsidR="00881F74" w:rsidRPr="009D12D0" w:rsidRDefault="00881F74" w:rsidP="000D7011">
      <w:pPr>
        <w:widowControl w:val="0"/>
        <w:numPr>
          <w:ilvl w:val="0"/>
          <w:numId w:val="34"/>
        </w:numPr>
        <w:kinsoku w:val="0"/>
        <w:overflowPunct w:val="0"/>
        <w:autoSpaceDE w:val="0"/>
        <w:autoSpaceDN w:val="0"/>
        <w:adjustRightInd w:val="0"/>
        <w:spacing w:before="141" w:line="240" w:lineRule="auto"/>
        <w:rPr>
          <w:rFonts w:ascii="Arial" w:hAnsi="Arial" w:cs="Arial"/>
          <w:sz w:val="24"/>
          <w:szCs w:val="24"/>
        </w:rPr>
      </w:pPr>
      <w:r w:rsidRPr="009D12D0">
        <w:rPr>
          <w:rFonts w:ascii="Arial" w:hAnsi="Arial" w:cs="Arial"/>
          <w:sz w:val="24"/>
          <w:szCs w:val="24"/>
        </w:rPr>
        <w:t>This increase, compared to 2014-15 actuals and the 2015-16 target, is due to agency contracts and CUAs both achieving favourable value-for-money satisfaction ratings. CUAs had a significantly higher number of returns that were above average, including</w:t>
      </w:r>
      <w:r>
        <w:rPr>
          <w:rFonts w:ascii="Arial" w:hAnsi="Arial" w:cs="Arial"/>
          <w:sz w:val="24"/>
          <w:szCs w:val="24"/>
        </w:rPr>
        <w:t xml:space="preserve"> </w:t>
      </w:r>
      <w:r w:rsidRPr="009D12D0">
        <w:rPr>
          <w:rFonts w:ascii="Arial" w:hAnsi="Arial" w:cs="Arial"/>
          <w:sz w:val="24"/>
          <w:szCs w:val="24"/>
        </w:rPr>
        <w:t>Removalist Services, Electricity and Audit Services.</w:t>
      </w:r>
    </w:p>
    <w:p w:rsidR="00881F74" w:rsidRPr="00C54FEA" w:rsidRDefault="00881F74" w:rsidP="00881F74">
      <w:pPr>
        <w:keepNext/>
        <w:spacing w:before="240" w:after="60"/>
        <w:outlineLvl w:val="2"/>
        <w:rPr>
          <w:rFonts w:ascii="Arial" w:hAnsi="Arial"/>
          <w:b/>
          <w:bCs/>
          <w:sz w:val="28"/>
          <w:szCs w:val="26"/>
        </w:rPr>
      </w:pPr>
      <w:r w:rsidRPr="00C54FEA">
        <w:rPr>
          <w:rFonts w:ascii="Arial" w:hAnsi="Arial"/>
          <w:b/>
          <w:bCs/>
          <w:sz w:val="28"/>
          <w:szCs w:val="26"/>
        </w:rPr>
        <w:br w:type="page"/>
        <w:t>Key efficiency indicators</w:t>
      </w:r>
    </w:p>
    <w:p w:rsidR="00881F74" w:rsidRPr="00C54FEA" w:rsidRDefault="00881F74" w:rsidP="00881F74">
      <w:pPr>
        <w:keepNext/>
        <w:spacing w:before="240" w:after="60"/>
        <w:outlineLvl w:val="3"/>
        <w:rPr>
          <w:rFonts w:ascii="Arial" w:hAnsi="Arial"/>
          <w:b/>
          <w:bCs/>
          <w:sz w:val="26"/>
          <w:szCs w:val="28"/>
        </w:rPr>
      </w:pPr>
      <w:r w:rsidRPr="00C54FEA">
        <w:rPr>
          <w:rFonts w:ascii="Arial" w:hAnsi="Arial"/>
          <w:b/>
          <w:bCs/>
          <w:sz w:val="26"/>
          <w:szCs w:val="28"/>
        </w:rPr>
        <w:t xml:space="preserve">Service 2: </w:t>
      </w:r>
      <w:r w:rsidRPr="00FB431F">
        <w:rPr>
          <w:rFonts w:ascii="Arial" w:hAnsi="Arial"/>
          <w:b/>
          <w:bCs/>
          <w:sz w:val="26"/>
          <w:szCs w:val="28"/>
        </w:rPr>
        <w:t>Development and management of CUAs, State Fleet leasing and disposal, and providing facilitation service for agency specific contracts</w:t>
      </w:r>
    </w:p>
    <w:p w:rsidR="00881F74" w:rsidRDefault="00881F74" w:rsidP="00881F74">
      <w:pPr>
        <w:widowControl w:val="0"/>
        <w:kinsoku w:val="0"/>
        <w:overflowPunct w:val="0"/>
        <w:autoSpaceDE w:val="0"/>
        <w:autoSpaceDN w:val="0"/>
        <w:adjustRightInd w:val="0"/>
        <w:spacing w:before="141" w:line="240" w:lineRule="auto"/>
        <w:rPr>
          <w:rFonts w:ascii="Arial" w:hAnsi="Arial" w:cs="Arial"/>
          <w:sz w:val="24"/>
          <w:szCs w:val="24"/>
        </w:rPr>
      </w:pPr>
      <w:r w:rsidRPr="009D12D0">
        <w:rPr>
          <w:rFonts w:ascii="Arial" w:hAnsi="Arial" w:cs="Arial"/>
          <w:sz w:val="24"/>
          <w:szCs w:val="24"/>
        </w:rPr>
        <w:t>The Department provides a whole-of-government approach to procurement that efficiently meets the business needs of government agencies, manages risk</w:t>
      </w:r>
      <w:r>
        <w:rPr>
          <w:rFonts w:ascii="Arial" w:hAnsi="Arial" w:cs="Arial"/>
          <w:sz w:val="24"/>
          <w:szCs w:val="24"/>
        </w:rPr>
        <w:t xml:space="preserve"> </w:t>
      </w:r>
      <w:r w:rsidRPr="009D12D0">
        <w:rPr>
          <w:rFonts w:ascii="Arial" w:hAnsi="Arial" w:cs="Arial"/>
          <w:sz w:val="24"/>
          <w:szCs w:val="24"/>
        </w:rPr>
        <w:t>and delivers value-for-money. The Department is responsible for managing the State’s vehicle fleet to ensure an efficient and effective use of government vehicles</w:t>
      </w:r>
      <w:r>
        <w:rPr>
          <w:rFonts w:ascii="Arial" w:hAnsi="Arial" w:cs="Arial"/>
          <w:sz w:val="24"/>
          <w:szCs w:val="24"/>
        </w:rPr>
        <w:t xml:space="preserve"> </w:t>
      </w:r>
      <w:r w:rsidRPr="009D12D0">
        <w:rPr>
          <w:rFonts w:ascii="Arial" w:hAnsi="Arial" w:cs="Arial"/>
          <w:sz w:val="24"/>
          <w:szCs w:val="24"/>
        </w:rPr>
        <w:t>with particular focus on the delivery of a sustainable vehicle fleet. The indicator measures the cost efficiency of managing the financing and administration of the</w:t>
      </w:r>
      <w:r>
        <w:rPr>
          <w:rFonts w:ascii="Arial" w:hAnsi="Arial" w:cs="Arial"/>
          <w:sz w:val="24"/>
          <w:szCs w:val="24"/>
        </w:rPr>
        <w:t xml:space="preserve"> </w:t>
      </w:r>
      <w:r w:rsidRPr="009D12D0">
        <w:rPr>
          <w:rFonts w:ascii="Arial" w:hAnsi="Arial" w:cs="Arial"/>
          <w:sz w:val="24"/>
          <w:szCs w:val="24"/>
        </w:rPr>
        <w:t>Government’s light vehicle fleet. In facilitating the development and management of client agency contracts, the State Fleet and CUAs, the Department needs</w:t>
      </w:r>
      <w:r>
        <w:rPr>
          <w:rFonts w:ascii="Arial" w:hAnsi="Arial" w:cs="Arial"/>
          <w:sz w:val="24"/>
          <w:szCs w:val="24"/>
        </w:rPr>
        <w:t xml:space="preserve"> </w:t>
      </w:r>
      <w:r w:rsidRPr="009D12D0">
        <w:rPr>
          <w:rFonts w:ascii="Arial" w:hAnsi="Arial" w:cs="Arial"/>
          <w:sz w:val="24"/>
          <w:szCs w:val="24"/>
        </w:rPr>
        <w:t>to effectively manage the cost of delivering this service which ensures agencies achieve value-for-money outcomes.</w:t>
      </w:r>
    </w:p>
    <w:p w:rsidR="00881F74" w:rsidRPr="00C54FEA" w:rsidRDefault="00881F74" w:rsidP="00881F74">
      <w:pPr>
        <w:widowControl w:val="0"/>
        <w:kinsoku w:val="0"/>
        <w:overflowPunct w:val="0"/>
        <w:autoSpaceDE w:val="0"/>
        <w:autoSpaceDN w:val="0"/>
        <w:adjustRightInd w:val="0"/>
        <w:spacing w:before="141" w:line="240" w:lineRule="auto"/>
        <w:rPr>
          <w:rFonts w:ascii="Arial" w:hAnsi="Arial" w:cs="Arial"/>
          <w:sz w:val="24"/>
          <w:szCs w:val="24"/>
        </w:rPr>
      </w:pPr>
    </w:p>
    <w:p w:rsidR="00881F74" w:rsidRPr="00C54FEA" w:rsidRDefault="00881F74" w:rsidP="00881F74">
      <w:pPr>
        <w:keepNext/>
        <w:rPr>
          <w:rFonts w:ascii="Arial" w:hAnsi="Arial"/>
          <w:b/>
          <w:bCs/>
          <w:sz w:val="24"/>
          <w:szCs w:val="20"/>
        </w:rPr>
      </w:pPr>
      <w:r w:rsidRPr="00FD4C79">
        <w:rPr>
          <w:rFonts w:ascii="Arial" w:hAnsi="Arial" w:cs="Arial"/>
          <w:b/>
          <w:sz w:val="24"/>
          <w:szCs w:val="24"/>
        </w:rPr>
        <w:fldChar w:fldCharType="begin"/>
      </w:r>
      <w:r w:rsidRPr="00FD4C79">
        <w:rPr>
          <w:rFonts w:ascii="Arial" w:hAnsi="Arial" w:cs="Arial"/>
          <w:b/>
          <w:sz w:val="24"/>
          <w:szCs w:val="24"/>
        </w:rPr>
        <w:instrText xml:space="preserve"> SEQ Table \* ARABIC </w:instrText>
      </w:r>
      <w:r w:rsidRPr="00FD4C79">
        <w:rPr>
          <w:rFonts w:ascii="Arial" w:hAnsi="Arial" w:cs="Arial"/>
          <w:b/>
          <w:sz w:val="24"/>
          <w:szCs w:val="24"/>
        </w:rPr>
        <w:fldChar w:fldCharType="separate"/>
      </w:r>
      <w:r w:rsidR="00D8778B">
        <w:rPr>
          <w:rFonts w:ascii="Arial" w:hAnsi="Arial" w:cs="Arial"/>
          <w:b/>
          <w:noProof/>
          <w:sz w:val="24"/>
          <w:szCs w:val="24"/>
        </w:rPr>
        <w:t>81</w:t>
      </w:r>
      <w:r w:rsidRPr="00FD4C79">
        <w:rPr>
          <w:rFonts w:ascii="Arial" w:hAnsi="Arial" w:cs="Arial"/>
          <w:b/>
          <w:sz w:val="24"/>
          <w:szCs w:val="24"/>
        </w:rPr>
        <w:fldChar w:fldCharType="end"/>
      </w:r>
      <w:r w:rsidRPr="00C54FEA">
        <w:rPr>
          <w:rFonts w:ascii="Arial" w:hAnsi="Arial"/>
          <w:b/>
          <w:bCs/>
          <w:sz w:val="24"/>
          <w:szCs w:val="20"/>
        </w:rPr>
        <w:t xml:space="preserve"> Government Procurement: Key efficiency indicators</w:t>
      </w:r>
    </w:p>
    <w:tbl>
      <w:tblPr>
        <w:tblW w:w="8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094"/>
        <w:gridCol w:w="1095"/>
        <w:gridCol w:w="1095"/>
        <w:gridCol w:w="1095"/>
        <w:gridCol w:w="1095"/>
      </w:tblGrid>
      <w:tr w:rsidR="00881F74" w:rsidRPr="0019353C" w:rsidTr="000D7011">
        <w:tc>
          <w:tcPr>
            <w:tcW w:w="3369" w:type="dxa"/>
            <w:shd w:val="clear" w:color="auto" w:fill="auto"/>
          </w:tcPr>
          <w:p w:rsidR="00881F74" w:rsidRPr="00C54FEA" w:rsidRDefault="00881F74" w:rsidP="000D7011">
            <w:pPr>
              <w:spacing w:before="60" w:after="60" w:line="240" w:lineRule="auto"/>
              <w:rPr>
                <w:rFonts w:ascii="Arial" w:hAnsi="Arial" w:cs="Arial"/>
                <w:b/>
                <w:sz w:val="20"/>
                <w:szCs w:val="20"/>
              </w:rPr>
            </w:pPr>
            <w:r w:rsidRPr="00C54FEA">
              <w:rPr>
                <w:rFonts w:ascii="Arial" w:hAnsi="Arial" w:cs="Arial"/>
                <w:b/>
                <w:sz w:val="20"/>
                <w:szCs w:val="20"/>
              </w:rPr>
              <w:t>Key indicators of efficiency</w:t>
            </w:r>
          </w:p>
        </w:tc>
        <w:tc>
          <w:tcPr>
            <w:tcW w:w="1094" w:type="dxa"/>
            <w:shd w:val="clear" w:color="auto" w:fill="auto"/>
          </w:tcPr>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2012-13</w:t>
            </w:r>
          </w:p>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actual</w:t>
            </w:r>
          </w:p>
        </w:tc>
        <w:tc>
          <w:tcPr>
            <w:tcW w:w="1095" w:type="dxa"/>
            <w:shd w:val="clear" w:color="auto" w:fill="auto"/>
          </w:tcPr>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2013-14</w:t>
            </w:r>
          </w:p>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actual</w:t>
            </w:r>
          </w:p>
        </w:tc>
        <w:tc>
          <w:tcPr>
            <w:tcW w:w="1095" w:type="dxa"/>
          </w:tcPr>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2014-15</w:t>
            </w:r>
          </w:p>
          <w:p w:rsidR="00881F74" w:rsidRPr="00C54FEA" w:rsidRDefault="00881F74" w:rsidP="000D7011">
            <w:pPr>
              <w:spacing w:before="60" w:after="60" w:line="240" w:lineRule="auto"/>
              <w:jc w:val="right"/>
              <w:rPr>
                <w:rFonts w:ascii="Arial" w:hAnsi="Arial" w:cs="Arial"/>
                <w:b/>
                <w:sz w:val="20"/>
                <w:szCs w:val="20"/>
              </w:rPr>
            </w:pPr>
            <w:r>
              <w:rPr>
                <w:rFonts w:ascii="Arial" w:hAnsi="Arial" w:cs="Arial"/>
                <w:b/>
                <w:sz w:val="20"/>
                <w:szCs w:val="20"/>
              </w:rPr>
              <w:t>actual</w:t>
            </w:r>
          </w:p>
        </w:tc>
        <w:tc>
          <w:tcPr>
            <w:tcW w:w="1095" w:type="dxa"/>
            <w:shd w:val="clear" w:color="auto" w:fill="auto"/>
          </w:tcPr>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201</w:t>
            </w:r>
            <w:r>
              <w:rPr>
                <w:rFonts w:ascii="Arial" w:hAnsi="Arial" w:cs="Arial"/>
                <w:b/>
                <w:sz w:val="20"/>
                <w:szCs w:val="20"/>
              </w:rPr>
              <w:t>5</w:t>
            </w:r>
            <w:r w:rsidRPr="00C54FEA">
              <w:rPr>
                <w:rFonts w:ascii="Arial" w:hAnsi="Arial" w:cs="Arial"/>
                <w:b/>
                <w:sz w:val="20"/>
                <w:szCs w:val="20"/>
              </w:rPr>
              <w:t>-1</w:t>
            </w:r>
            <w:r>
              <w:rPr>
                <w:rFonts w:ascii="Arial" w:hAnsi="Arial" w:cs="Arial"/>
                <w:b/>
                <w:sz w:val="20"/>
                <w:szCs w:val="20"/>
              </w:rPr>
              <w:t>6</w:t>
            </w:r>
          </w:p>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target</w:t>
            </w:r>
          </w:p>
        </w:tc>
        <w:tc>
          <w:tcPr>
            <w:tcW w:w="1095" w:type="dxa"/>
            <w:shd w:val="clear" w:color="auto" w:fill="auto"/>
          </w:tcPr>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201</w:t>
            </w:r>
            <w:r>
              <w:rPr>
                <w:rFonts w:ascii="Arial" w:hAnsi="Arial" w:cs="Arial"/>
                <w:b/>
                <w:sz w:val="20"/>
                <w:szCs w:val="20"/>
              </w:rPr>
              <w:t>5</w:t>
            </w:r>
            <w:r w:rsidRPr="00C54FEA">
              <w:rPr>
                <w:rFonts w:ascii="Arial" w:hAnsi="Arial" w:cs="Arial"/>
                <w:b/>
                <w:sz w:val="20"/>
                <w:szCs w:val="20"/>
              </w:rPr>
              <w:t>-1</w:t>
            </w:r>
            <w:r>
              <w:rPr>
                <w:rFonts w:ascii="Arial" w:hAnsi="Arial" w:cs="Arial"/>
                <w:b/>
                <w:sz w:val="20"/>
                <w:szCs w:val="20"/>
              </w:rPr>
              <w:t>6</w:t>
            </w:r>
          </w:p>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actual</w:t>
            </w:r>
          </w:p>
        </w:tc>
      </w:tr>
      <w:tr w:rsidR="00881F74" w:rsidRPr="0019353C" w:rsidTr="000D7011">
        <w:tc>
          <w:tcPr>
            <w:tcW w:w="3369" w:type="dxa"/>
            <w:shd w:val="clear" w:color="auto" w:fill="auto"/>
          </w:tcPr>
          <w:p w:rsidR="00881F74" w:rsidRPr="00C54FEA" w:rsidRDefault="00881F74" w:rsidP="000D7011">
            <w:pPr>
              <w:spacing w:before="60" w:after="60" w:line="240" w:lineRule="auto"/>
              <w:rPr>
                <w:rFonts w:ascii="Arial" w:hAnsi="Arial" w:cs="Arial"/>
                <w:spacing w:val="-1"/>
                <w:sz w:val="20"/>
                <w:szCs w:val="20"/>
              </w:rPr>
            </w:pPr>
            <w:r w:rsidRPr="00C54FEA">
              <w:rPr>
                <w:rFonts w:ascii="Arial" w:hAnsi="Arial" w:cs="Arial"/>
                <w:spacing w:val="-2"/>
                <w:sz w:val="20"/>
                <w:szCs w:val="20"/>
              </w:rPr>
              <w:t>Average</w:t>
            </w:r>
            <w:r w:rsidRPr="00C54FEA">
              <w:rPr>
                <w:rFonts w:ascii="Arial" w:hAnsi="Arial" w:cs="Arial"/>
                <w:sz w:val="20"/>
                <w:szCs w:val="20"/>
              </w:rPr>
              <w:t xml:space="preserve"> </w:t>
            </w:r>
            <w:r w:rsidRPr="00C54FEA">
              <w:rPr>
                <w:rFonts w:ascii="Arial" w:hAnsi="Arial" w:cs="Arial"/>
                <w:spacing w:val="-1"/>
                <w:sz w:val="20"/>
                <w:szCs w:val="20"/>
              </w:rPr>
              <w:t>administrative</w:t>
            </w:r>
            <w:r w:rsidRPr="00C54FEA">
              <w:rPr>
                <w:rFonts w:ascii="Arial" w:hAnsi="Arial" w:cs="Arial"/>
                <w:sz w:val="20"/>
                <w:szCs w:val="20"/>
              </w:rPr>
              <w:t xml:space="preserve"> </w:t>
            </w:r>
            <w:r w:rsidRPr="00C54FEA">
              <w:rPr>
                <w:rFonts w:ascii="Arial" w:hAnsi="Arial" w:cs="Arial"/>
                <w:spacing w:val="-1"/>
                <w:sz w:val="20"/>
                <w:szCs w:val="20"/>
              </w:rPr>
              <w:t>cost</w:t>
            </w:r>
            <w:r w:rsidRPr="00C54FEA">
              <w:rPr>
                <w:rFonts w:ascii="Arial" w:hAnsi="Arial" w:cs="Arial"/>
                <w:spacing w:val="37"/>
                <w:sz w:val="20"/>
                <w:szCs w:val="20"/>
              </w:rPr>
              <w:t xml:space="preserve"> </w:t>
            </w:r>
            <w:r w:rsidRPr="00C54FEA">
              <w:rPr>
                <w:rFonts w:ascii="Arial" w:hAnsi="Arial" w:cs="Arial"/>
                <w:sz w:val="20"/>
                <w:szCs w:val="20"/>
              </w:rPr>
              <w:t>per</w:t>
            </w:r>
            <w:r w:rsidRPr="00C54FEA">
              <w:rPr>
                <w:rFonts w:ascii="Arial" w:hAnsi="Arial" w:cs="Arial"/>
                <w:spacing w:val="-2"/>
                <w:sz w:val="20"/>
                <w:szCs w:val="20"/>
              </w:rPr>
              <w:t xml:space="preserve"> </w:t>
            </w:r>
            <w:r w:rsidRPr="00C54FEA">
              <w:rPr>
                <w:rFonts w:ascii="Arial" w:hAnsi="Arial" w:cs="Arial"/>
                <w:spacing w:val="-1"/>
                <w:sz w:val="20"/>
                <w:szCs w:val="20"/>
              </w:rPr>
              <w:t>vehicle</w:t>
            </w:r>
            <w:r w:rsidRPr="00C54FEA">
              <w:rPr>
                <w:rFonts w:ascii="Arial" w:hAnsi="Arial" w:cs="Arial"/>
                <w:spacing w:val="-2"/>
                <w:sz w:val="20"/>
                <w:szCs w:val="20"/>
              </w:rPr>
              <w:t xml:space="preserve"> </w:t>
            </w:r>
            <w:r w:rsidRPr="00C54FEA">
              <w:rPr>
                <w:rFonts w:ascii="Arial" w:hAnsi="Arial" w:cs="Arial"/>
                <w:spacing w:val="-1"/>
                <w:sz w:val="20"/>
                <w:szCs w:val="20"/>
              </w:rPr>
              <w:t>for</w:t>
            </w:r>
            <w:r w:rsidRPr="00C54FEA">
              <w:rPr>
                <w:rFonts w:ascii="Arial" w:hAnsi="Arial" w:cs="Arial"/>
                <w:spacing w:val="-2"/>
                <w:sz w:val="20"/>
                <w:szCs w:val="20"/>
              </w:rPr>
              <w:t xml:space="preserve"> </w:t>
            </w:r>
            <w:r w:rsidRPr="00C54FEA">
              <w:rPr>
                <w:rFonts w:ascii="Arial" w:hAnsi="Arial" w:cs="Arial"/>
                <w:sz w:val="20"/>
                <w:szCs w:val="20"/>
              </w:rPr>
              <w:t>financing</w:t>
            </w:r>
            <w:r w:rsidRPr="00C54FEA">
              <w:rPr>
                <w:rFonts w:ascii="Arial" w:hAnsi="Arial" w:cs="Arial"/>
                <w:spacing w:val="-2"/>
                <w:sz w:val="20"/>
                <w:szCs w:val="20"/>
              </w:rPr>
              <w:t xml:space="preserve"> </w:t>
            </w:r>
            <w:r w:rsidRPr="00C54FEA">
              <w:rPr>
                <w:rFonts w:ascii="Arial" w:hAnsi="Arial" w:cs="Arial"/>
                <w:sz w:val="20"/>
                <w:szCs w:val="20"/>
              </w:rPr>
              <w:t>and</w:t>
            </w:r>
            <w:r w:rsidRPr="00C54FEA">
              <w:rPr>
                <w:rFonts w:ascii="Arial" w:hAnsi="Arial" w:cs="Arial"/>
                <w:spacing w:val="25"/>
                <w:sz w:val="20"/>
                <w:szCs w:val="20"/>
              </w:rPr>
              <w:t xml:space="preserve"> </w:t>
            </w:r>
            <w:r w:rsidRPr="00C54FEA">
              <w:rPr>
                <w:rFonts w:ascii="Arial" w:hAnsi="Arial" w:cs="Arial"/>
                <w:spacing w:val="-1"/>
                <w:sz w:val="20"/>
                <w:szCs w:val="20"/>
              </w:rPr>
              <w:t>managing</w:t>
            </w:r>
            <w:r w:rsidRPr="00C54FEA">
              <w:rPr>
                <w:rFonts w:ascii="Arial" w:hAnsi="Arial" w:cs="Arial"/>
                <w:sz w:val="20"/>
                <w:szCs w:val="20"/>
              </w:rPr>
              <w:t xml:space="preserve"> the </w:t>
            </w:r>
            <w:r w:rsidRPr="00C54FEA">
              <w:rPr>
                <w:rFonts w:ascii="Arial" w:hAnsi="Arial" w:cs="Arial"/>
                <w:spacing w:val="-1"/>
                <w:sz w:val="20"/>
                <w:szCs w:val="20"/>
              </w:rPr>
              <w:t>State</w:t>
            </w:r>
            <w:r w:rsidRPr="00C54FEA">
              <w:rPr>
                <w:rFonts w:ascii="Arial" w:hAnsi="Arial" w:cs="Arial"/>
                <w:sz w:val="20"/>
                <w:szCs w:val="20"/>
              </w:rPr>
              <w:t xml:space="preserve"> </w:t>
            </w:r>
            <w:r w:rsidRPr="00C54FEA">
              <w:rPr>
                <w:rFonts w:ascii="Arial" w:hAnsi="Arial" w:cs="Arial"/>
                <w:spacing w:val="-1"/>
                <w:sz w:val="20"/>
                <w:szCs w:val="20"/>
              </w:rPr>
              <w:t>Fleet</w:t>
            </w:r>
            <w:r w:rsidRPr="00C54FEA">
              <w:rPr>
                <w:rFonts w:ascii="Arial" w:hAnsi="Arial" w:cs="Arial"/>
                <w:spacing w:val="29"/>
                <w:sz w:val="20"/>
                <w:szCs w:val="20"/>
              </w:rPr>
              <w:t xml:space="preserve"> </w:t>
            </w:r>
            <w:r w:rsidRPr="00C54FEA">
              <w:rPr>
                <w:rFonts w:ascii="Arial" w:hAnsi="Arial" w:cs="Arial"/>
                <w:sz w:val="20"/>
                <w:szCs w:val="20"/>
              </w:rPr>
              <w:t>service ($)</w:t>
            </w:r>
            <w:r w:rsidRPr="00C54FEA">
              <w:rPr>
                <w:rFonts w:ascii="Arial" w:hAnsi="Arial" w:cs="Arial"/>
                <w:spacing w:val="6"/>
                <w:sz w:val="20"/>
                <w:szCs w:val="20"/>
              </w:rPr>
              <w:t xml:space="preserve"> </w:t>
            </w:r>
            <w:r w:rsidRPr="00C54FEA">
              <w:rPr>
                <w:rFonts w:ascii="Arial" w:hAnsi="Arial" w:cs="Arial"/>
                <w:spacing w:val="-1"/>
                <w:sz w:val="20"/>
                <w:szCs w:val="20"/>
                <w:vertAlign w:val="superscript"/>
              </w:rPr>
              <w:t>(a)</w:t>
            </w:r>
          </w:p>
        </w:tc>
        <w:tc>
          <w:tcPr>
            <w:tcW w:w="1094"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87</w:t>
            </w:r>
          </w:p>
        </w:tc>
        <w:tc>
          <w:tcPr>
            <w:tcW w:w="1095"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94</w:t>
            </w:r>
          </w:p>
        </w:tc>
        <w:tc>
          <w:tcPr>
            <w:tcW w:w="1095" w:type="dxa"/>
          </w:tcPr>
          <w:p w:rsidR="00881F74" w:rsidRPr="00C54FEA" w:rsidRDefault="00881F74" w:rsidP="000D7011">
            <w:pPr>
              <w:spacing w:before="60" w:after="60" w:line="240" w:lineRule="auto"/>
              <w:jc w:val="right"/>
              <w:rPr>
                <w:rFonts w:ascii="Arial" w:hAnsi="Arial" w:cs="Arial"/>
                <w:spacing w:val="-1"/>
                <w:sz w:val="20"/>
                <w:szCs w:val="20"/>
              </w:rPr>
            </w:pPr>
            <w:r>
              <w:rPr>
                <w:rFonts w:ascii="Arial" w:hAnsi="Arial" w:cs="Arial"/>
                <w:spacing w:val="-1"/>
                <w:sz w:val="20"/>
                <w:szCs w:val="20"/>
              </w:rPr>
              <w:t>95</w:t>
            </w:r>
          </w:p>
        </w:tc>
        <w:tc>
          <w:tcPr>
            <w:tcW w:w="1095"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10</w:t>
            </w:r>
            <w:r>
              <w:rPr>
                <w:rFonts w:ascii="Arial" w:hAnsi="Arial" w:cs="Arial"/>
                <w:spacing w:val="-1"/>
                <w:sz w:val="20"/>
                <w:szCs w:val="20"/>
              </w:rPr>
              <w:t>0</w:t>
            </w:r>
          </w:p>
        </w:tc>
        <w:tc>
          <w:tcPr>
            <w:tcW w:w="1095"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9</w:t>
            </w:r>
            <w:r>
              <w:rPr>
                <w:rFonts w:ascii="Arial" w:hAnsi="Arial" w:cs="Arial"/>
                <w:spacing w:val="-1"/>
                <w:sz w:val="20"/>
                <w:szCs w:val="20"/>
              </w:rPr>
              <w:t>4</w:t>
            </w:r>
            <w:r w:rsidRPr="00C54FEA">
              <w:rPr>
                <w:rFonts w:ascii="Arial" w:hAnsi="Arial" w:cs="Arial"/>
                <w:spacing w:val="-1"/>
                <w:sz w:val="20"/>
                <w:szCs w:val="20"/>
              </w:rPr>
              <w:t xml:space="preserve"> </w:t>
            </w:r>
            <w:r w:rsidRPr="00C54FEA">
              <w:rPr>
                <w:rFonts w:ascii="Arial" w:hAnsi="Arial" w:cs="Arial"/>
                <w:spacing w:val="-1"/>
                <w:sz w:val="20"/>
                <w:szCs w:val="20"/>
                <w:vertAlign w:val="superscript"/>
              </w:rPr>
              <w:t>(1)</w:t>
            </w:r>
          </w:p>
        </w:tc>
      </w:tr>
      <w:tr w:rsidR="00881F74" w:rsidRPr="0019353C" w:rsidTr="000D7011">
        <w:tc>
          <w:tcPr>
            <w:tcW w:w="3369" w:type="dxa"/>
            <w:shd w:val="clear" w:color="auto" w:fill="auto"/>
          </w:tcPr>
          <w:p w:rsidR="00881F74" w:rsidRPr="00C54FEA" w:rsidRDefault="00881F74" w:rsidP="000D7011">
            <w:pPr>
              <w:spacing w:before="60" w:after="60" w:line="240" w:lineRule="auto"/>
              <w:rPr>
                <w:rFonts w:ascii="Arial" w:hAnsi="Arial" w:cs="Arial"/>
                <w:spacing w:val="-1"/>
                <w:sz w:val="20"/>
                <w:szCs w:val="20"/>
              </w:rPr>
            </w:pPr>
            <w:r w:rsidRPr="00C54FEA">
              <w:rPr>
                <w:rFonts w:ascii="Arial" w:hAnsi="Arial" w:cs="Arial"/>
                <w:spacing w:val="-2"/>
                <w:sz w:val="20"/>
                <w:szCs w:val="20"/>
              </w:rPr>
              <w:t>Cost</w:t>
            </w:r>
            <w:r w:rsidRPr="00C54FEA">
              <w:rPr>
                <w:rFonts w:ascii="Arial" w:hAnsi="Arial" w:cs="Arial"/>
                <w:spacing w:val="-3"/>
                <w:sz w:val="20"/>
                <w:szCs w:val="20"/>
              </w:rPr>
              <w:t xml:space="preserve"> </w:t>
            </w:r>
            <w:r w:rsidRPr="00C54FEA">
              <w:rPr>
                <w:rFonts w:ascii="Arial" w:hAnsi="Arial" w:cs="Arial"/>
                <w:spacing w:val="-1"/>
                <w:sz w:val="20"/>
                <w:szCs w:val="20"/>
              </w:rPr>
              <w:t>of</w:t>
            </w:r>
            <w:r w:rsidRPr="00C54FEA">
              <w:rPr>
                <w:rFonts w:ascii="Arial" w:hAnsi="Arial" w:cs="Arial"/>
                <w:spacing w:val="-3"/>
                <w:sz w:val="20"/>
                <w:szCs w:val="20"/>
              </w:rPr>
              <w:t xml:space="preserve"> </w:t>
            </w:r>
            <w:r w:rsidRPr="00C54FEA">
              <w:rPr>
                <w:rFonts w:ascii="Arial" w:hAnsi="Arial" w:cs="Arial"/>
                <w:spacing w:val="-2"/>
                <w:sz w:val="20"/>
                <w:szCs w:val="20"/>
              </w:rPr>
              <w:t>developing</w:t>
            </w:r>
            <w:r w:rsidRPr="00C54FEA">
              <w:rPr>
                <w:rFonts w:ascii="Arial" w:hAnsi="Arial" w:cs="Arial"/>
                <w:spacing w:val="-3"/>
                <w:sz w:val="20"/>
                <w:szCs w:val="20"/>
              </w:rPr>
              <w:t xml:space="preserve"> </w:t>
            </w:r>
            <w:r w:rsidRPr="00C54FEA">
              <w:rPr>
                <w:rFonts w:ascii="Arial" w:hAnsi="Arial" w:cs="Arial"/>
                <w:spacing w:val="-2"/>
                <w:sz w:val="20"/>
                <w:szCs w:val="20"/>
              </w:rPr>
              <w:t>and</w:t>
            </w:r>
            <w:r w:rsidRPr="00C54FEA">
              <w:rPr>
                <w:rFonts w:ascii="Arial" w:hAnsi="Arial" w:cs="Arial"/>
                <w:spacing w:val="19"/>
                <w:sz w:val="20"/>
                <w:szCs w:val="20"/>
              </w:rPr>
              <w:t xml:space="preserve"> </w:t>
            </w:r>
            <w:r w:rsidRPr="00C54FEA">
              <w:rPr>
                <w:rFonts w:ascii="Arial" w:hAnsi="Arial" w:cs="Arial"/>
                <w:spacing w:val="-2"/>
                <w:sz w:val="20"/>
                <w:szCs w:val="20"/>
              </w:rPr>
              <w:t>managing</w:t>
            </w:r>
            <w:r w:rsidRPr="00C54FEA">
              <w:rPr>
                <w:rFonts w:ascii="Arial" w:hAnsi="Arial" w:cs="Arial"/>
                <w:spacing w:val="-3"/>
                <w:sz w:val="20"/>
                <w:szCs w:val="20"/>
              </w:rPr>
              <w:t xml:space="preserve"> </w:t>
            </w:r>
            <w:r w:rsidRPr="00C54FEA">
              <w:rPr>
                <w:rFonts w:ascii="Arial" w:hAnsi="Arial" w:cs="Arial"/>
                <w:spacing w:val="-1"/>
                <w:sz w:val="20"/>
                <w:szCs w:val="20"/>
              </w:rPr>
              <w:t>whole-of-</w:t>
            </w:r>
            <w:r w:rsidRPr="00C54FEA">
              <w:rPr>
                <w:rFonts w:ascii="Arial" w:hAnsi="Arial" w:cs="Arial"/>
                <w:spacing w:val="21"/>
                <w:sz w:val="20"/>
                <w:szCs w:val="20"/>
              </w:rPr>
              <w:t xml:space="preserve"> </w:t>
            </w:r>
            <w:r w:rsidRPr="00C54FEA">
              <w:rPr>
                <w:rFonts w:ascii="Arial" w:hAnsi="Arial" w:cs="Arial"/>
                <w:spacing w:val="-2"/>
                <w:sz w:val="20"/>
                <w:szCs w:val="20"/>
              </w:rPr>
              <w:t>government</w:t>
            </w:r>
            <w:r w:rsidRPr="00C54FEA">
              <w:rPr>
                <w:rFonts w:ascii="Arial" w:hAnsi="Arial" w:cs="Arial"/>
                <w:spacing w:val="-3"/>
                <w:sz w:val="20"/>
                <w:szCs w:val="20"/>
              </w:rPr>
              <w:t xml:space="preserve"> </w:t>
            </w:r>
            <w:r>
              <w:rPr>
                <w:rFonts w:ascii="Arial" w:hAnsi="Arial" w:cs="Arial"/>
                <w:spacing w:val="-4"/>
                <w:sz w:val="20"/>
                <w:szCs w:val="20"/>
              </w:rPr>
              <w:t>CUA</w:t>
            </w:r>
            <w:r w:rsidRPr="00C54FEA">
              <w:rPr>
                <w:rFonts w:ascii="Arial" w:hAnsi="Arial" w:cs="Arial"/>
                <w:spacing w:val="-4"/>
                <w:sz w:val="20"/>
                <w:szCs w:val="20"/>
              </w:rPr>
              <w:t>s</w:t>
            </w:r>
            <w:r w:rsidRPr="00C54FEA">
              <w:rPr>
                <w:rFonts w:ascii="Arial" w:hAnsi="Arial" w:cs="Arial"/>
                <w:spacing w:val="-3"/>
                <w:sz w:val="20"/>
                <w:szCs w:val="20"/>
              </w:rPr>
              <w:t xml:space="preserve"> </w:t>
            </w:r>
            <w:r w:rsidRPr="00C54FEA">
              <w:rPr>
                <w:rFonts w:ascii="Arial" w:hAnsi="Arial" w:cs="Arial"/>
                <w:spacing w:val="-1"/>
                <w:sz w:val="20"/>
                <w:szCs w:val="20"/>
              </w:rPr>
              <w:t>as</w:t>
            </w:r>
            <w:r w:rsidRPr="00C54FEA">
              <w:rPr>
                <w:rFonts w:ascii="Arial" w:hAnsi="Arial" w:cs="Arial"/>
                <w:spacing w:val="-3"/>
                <w:sz w:val="20"/>
                <w:szCs w:val="20"/>
              </w:rPr>
              <w:t xml:space="preserve"> </w:t>
            </w:r>
            <w:r w:rsidRPr="00C54FEA">
              <w:rPr>
                <w:rFonts w:ascii="Arial" w:hAnsi="Arial" w:cs="Arial"/>
                <w:sz w:val="20"/>
                <w:szCs w:val="20"/>
              </w:rPr>
              <w:t>a</w:t>
            </w:r>
            <w:r w:rsidRPr="00C54FEA">
              <w:rPr>
                <w:rFonts w:ascii="Arial" w:hAnsi="Arial" w:cs="Arial"/>
                <w:spacing w:val="24"/>
                <w:sz w:val="20"/>
                <w:szCs w:val="20"/>
              </w:rPr>
              <w:t xml:space="preserve"> </w:t>
            </w:r>
            <w:r w:rsidRPr="00C54FEA">
              <w:rPr>
                <w:rFonts w:ascii="Arial" w:hAnsi="Arial" w:cs="Arial"/>
                <w:spacing w:val="-3"/>
                <w:sz w:val="20"/>
                <w:szCs w:val="20"/>
              </w:rPr>
              <w:t xml:space="preserve">percentage </w:t>
            </w:r>
            <w:r w:rsidRPr="00C54FEA">
              <w:rPr>
                <w:rFonts w:ascii="Arial" w:hAnsi="Arial" w:cs="Arial"/>
                <w:spacing w:val="-1"/>
                <w:sz w:val="20"/>
                <w:szCs w:val="20"/>
              </w:rPr>
              <w:t>of</w:t>
            </w:r>
            <w:r w:rsidRPr="00C54FEA">
              <w:rPr>
                <w:rFonts w:ascii="Arial" w:hAnsi="Arial" w:cs="Arial"/>
                <w:spacing w:val="-3"/>
                <w:sz w:val="20"/>
                <w:szCs w:val="20"/>
              </w:rPr>
              <w:t xml:space="preserve"> </w:t>
            </w:r>
            <w:r w:rsidRPr="00C54FEA">
              <w:rPr>
                <w:rFonts w:ascii="Arial" w:hAnsi="Arial" w:cs="Arial"/>
                <w:spacing w:val="-2"/>
                <w:sz w:val="20"/>
                <w:szCs w:val="20"/>
              </w:rPr>
              <w:t>the</w:t>
            </w:r>
            <w:r w:rsidRPr="00C54FEA">
              <w:rPr>
                <w:rFonts w:ascii="Arial" w:hAnsi="Arial" w:cs="Arial"/>
                <w:spacing w:val="-3"/>
                <w:sz w:val="20"/>
                <w:szCs w:val="20"/>
              </w:rPr>
              <w:t xml:space="preserve"> total</w:t>
            </w:r>
            <w:r w:rsidRPr="00C54FEA">
              <w:rPr>
                <w:rFonts w:ascii="Arial" w:hAnsi="Arial" w:cs="Arial"/>
                <w:spacing w:val="29"/>
                <w:sz w:val="20"/>
                <w:szCs w:val="20"/>
              </w:rPr>
              <w:t xml:space="preserve"> </w:t>
            </w:r>
            <w:r w:rsidRPr="00C54FEA">
              <w:rPr>
                <w:rFonts w:ascii="Arial" w:hAnsi="Arial" w:cs="Arial"/>
                <w:spacing w:val="-2"/>
                <w:sz w:val="20"/>
                <w:szCs w:val="20"/>
              </w:rPr>
              <w:t>annual</w:t>
            </w:r>
            <w:r w:rsidRPr="00C54FEA">
              <w:rPr>
                <w:rFonts w:ascii="Arial" w:hAnsi="Arial" w:cs="Arial"/>
                <w:spacing w:val="-3"/>
                <w:sz w:val="20"/>
                <w:szCs w:val="20"/>
              </w:rPr>
              <w:t xml:space="preserve"> </w:t>
            </w:r>
            <w:r w:rsidRPr="00C54FEA">
              <w:rPr>
                <w:rFonts w:ascii="Arial" w:hAnsi="Arial" w:cs="Arial"/>
                <w:spacing w:val="-2"/>
                <w:sz w:val="20"/>
                <w:szCs w:val="20"/>
              </w:rPr>
              <w:t>value</w:t>
            </w:r>
            <w:r w:rsidRPr="00C54FEA">
              <w:rPr>
                <w:rFonts w:ascii="Arial" w:hAnsi="Arial" w:cs="Arial"/>
                <w:spacing w:val="-3"/>
                <w:sz w:val="20"/>
                <w:szCs w:val="20"/>
              </w:rPr>
              <w:t xml:space="preserve"> </w:t>
            </w:r>
            <w:r w:rsidRPr="00C54FEA">
              <w:rPr>
                <w:rFonts w:ascii="Arial" w:hAnsi="Arial" w:cs="Arial"/>
                <w:spacing w:val="-1"/>
                <w:sz w:val="20"/>
                <w:szCs w:val="20"/>
              </w:rPr>
              <w:t>of</w:t>
            </w:r>
            <w:r w:rsidRPr="00C54FEA">
              <w:rPr>
                <w:rFonts w:ascii="Arial" w:hAnsi="Arial" w:cs="Arial"/>
                <w:spacing w:val="-3"/>
                <w:sz w:val="20"/>
                <w:szCs w:val="20"/>
              </w:rPr>
              <w:t xml:space="preserve"> purchases</w:t>
            </w:r>
            <w:r w:rsidRPr="00C54FEA">
              <w:rPr>
                <w:rFonts w:ascii="Arial" w:hAnsi="Arial" w:cs="Arial"/>
                <w:spacing w:val="21"/>
                <w:sz w:val="20"/>
                <w:szCs w:val="20"/>
              </w:rPr>
              <w:t xml:space="preserve"> </w:t>
            </w:r>
            <w:r w:rsidRPr="00C54FEA">
              <w:rPr>
                <w:rFonts w:ascii="Arial" w:hAnsi="Arial" w:cs="Arial"/>
                <w:spacing w:val="-2"/>
                <w:sz w:val="20"/>
                <w:szCs w:val="20"/>
              </w:rPr>
              <w:t>through</w:t>
            </w:r>
            <w:r w:rsidRPr="00C54FEA">
              <w:rPr>
                <w:rFonts w:ascii="Arial" w:hAnsi="Arial" w:cs="Arial"/>
                <w:spacing w:val="-1"/>
                <w:sz w:val="20"/>
                <w:szCs w:val="20"/>
              </w:rPr>
              <w:t xml:space="preserve"> </w:t>
            </w:r>
            <w:r w:rsidRPr="00C54FEA">
              <w:rPr>
                <w:rFonts w:ascii="Arial" w:hAnsi="Arial" w:cs="Arial"/>
                <w:spacing w:val="-2"/>
                <w:sz w:val="20"/>
                <w:szCs w:val="20"/>
              </w:rPr>
              <w:t>the</w:t>
            </w:r>
            <w:r w:rsidRPr="00C54FEA">
              <w:rPr>
                <w:rFonts w:ascii="Arial" w:hAnsi="Arial" w:cs="Arial"/>
                <w:sz w:val="20"/>
                <w:szCs w:val="20"/>
              </w:rPr>
              <w:t xml:space="preserve"> </w:t>
            </w:r>
            <w:r w:rsidRPr="00C54FEA">
              <w:rPr>
                <w:rFonts w:ascii="Arial" w:hAnsi="Arial" w:cs="Arial"/>
                <w:spacing w:val="-2"/>
                <w:sz w:val="20"/>
                <w:szCs w:val="20"/>
              </w:rPr>
              <w:t>arrangements (%)</w:t>
            </w:r>
            <w:r w:rsidRPr="00C54FEA">
              <w:rPr>
                <w:rFonts w:ascii="Arial" w:hAnsi="Arial" w:cs="Arial"/>
                <w:spacing w:val="-1"/>
                <w:sz w:val="20"/>
                <w:szCs w:val="20"/>
                <w:vertAlign w:val="superscript"/>
              </w:rPr>
              <w:t xml:space="preserve"> (b)</w:t>
            </w:r>
          </w:p>
        </w:tc>
        <w:tc>
          <w:tcPr>
            <w:tcW w:w="1094"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1.7</w:t>
            </w:r>
          </w:p>
        </w:tc>
        <w:tc>
          <w:tcPr>
            <w:tcW w:w="1095"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1.5</w:t>
            </w:r>
          </w:p>
        </w:tc>
        <w:tc>
          <w:tcPr>
            <w:tcW w:w="1095" w:type="dxa"/>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1.</w:t>
            </w:r>
            <w:r>
              <w:rPr>
                <w:rFonts w:ascii="Arial" w:hAnsi="Arial" w:cs="Arial"/>
                <w:spacing w:val="-1"/>
                <w:sz w:val="20"/>
                <w:szCs w:val="20"/>
              </w:rPr>
              <w:t>6</w:t>
            </w:r>
          </w:p>
        </w:tc>
        <w:tc>
          <w:tcPr>
            <w:tcW w:w="1095"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Pr>
                <w:rFonts w:ascii="Arial" w:hAnsi="Arial" w:cs="Arial"/>
                <w:spacing w:val="-1"/>
                <w:sz w:val="20"/>
                <w:szCs w:val="20"/>
              </w:rPr>
              <w:t>2.2</w:t>
            </w:r>
          </w:p>
        </w:tc>
        <w:tc>
          <w:tcPr>
            <w:tcW w:w="1095"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Pr>
                <w:rFonts w:ascii="Arial" w:hAnsi="Arial" w:cs="Arial"/>
                <w:spacing w:val="-1"/>
                <w:sz w:val="20"/>
                <w:szCs w:val="20"/>
              </w:rPr>
              <w:t>1.4</w:t>
            </w:r>
            <w:r w:rsidRPr="00C54FEA">
              <w:rPr>
                <w:rFonts w:ascii="Arial" w:hAnsi="Arial" w:cs="Arial"/>
                <w:spacing w:val="-1"/>
                <w:sz w:val="20"/>
                <w:szCs w:val="20"/>
              </w:rPr>
              <w:t xml:space="preserve"> </w:t>
            </w:r>
            <w:r w:rsidRPr="00C54FEA">
              <w:rPr>
                <w:rFonts w:ascii="Arial" w:hAnsi="Arial" w:cs="Arial"/>
                <w:spacing w:val="-1"/>
                <w:sz w:val="20"/>
                <w:szCs w:val="20"/>
                <w:vertAlign w:val="superscript"/>
              </w:rPr>
              <w:t>(2)</w:t>
            </w:r>
          </w:p>
        </w:tc>
      </w:tr>
      <w:tr w:rsidR="00881F74" w:rsidRPr="0019353C" w:rsidTr="000D7011">
        <w:tc>
          <w:tcPr>
            <w:tcW w:w="3369" w:type="dxa"/>
            <w:shd w:val="clear" w:color="auto" w:fill="auto"/>
          </w:tcPr>
          <w:p w:rsidR="00881F74" w:rsidRPr="00C54FEA" w:rsidRDefault="00881F74" w:rsidP="000D7011">
            <w:pPr>
              <w:spacing w:before="60" w:after="60" w:line="240" w:lineRule="auto"/>
              <w:rPr>
                <w:rFonts w:ascii="Arial" w:hAnsi="Arial" w:cs="Arial"/>
                <w:spacing w:val="-1"/>
                <w:sz w:val="20"/>
                <w:szCs w:val="20"/>
              </w:rPr>
            </w:pPr>
            <w:r w:rsidRPr="00C54FEA">
              <w:rPr>
                <w:rFonts w:ascii="Arial" w:hAnsi="Arial" w:cs="Arial"/>
                <w:spacing w:val="-1"/>
                <w:sz w:val="20"/>
                <w:szCs w:val="20"/>
              </w:rPr>
              <w:t>Cost</w:t>
            </w:r>
            <w:r w:rsidRPr="00C54FEA">
              <w:rPr>
                <w:rFonts w:ascii="Arial" w:hAnsi="Arial" w:cs="Arial"/>
                <w:sz w:val="20"/>
                <w:szCs w:val="20"/>
              </w:rPr>
              <w:t xml:space="preserve"> of </w:t>
            </w:r>
            <w:r w:rsidRPr="00C54FEA">
              <w:rPr>
                <w:rFonts w:ascii="Arial" w:hAnsi="Arial" w:cs="Arial"/>
                <w:spacing w:val="-1"/>
                <w:sz w:val="20"/>
                <w:szCs w:val="20"/>
              </w:rPr>
              <w:t>facilitating</w:t>
            </w:r>
            <w:r w:rsidRPr="00C54FEA">
              <w:rPr>
                <w:rFonts w:ascii="Arial" w:hAnsi="Arial" w:cs="Arial"/>
                <w:spacing w:val="25"/>
                <w:sz w:val="20"/>
                <w:szCs w:val="20"/>
              </w:rPr>
              <w:t xml:space="preserve"> </w:t>
            </w:r>
            <w:r w:rsidRPr="00C54FEA">
              <w:rPr>
                <w:rFonts w:ascii="Arial" w:hAnsi="Arial" w:cs="Arial"/>
                <w:sz w:val="20"/>
                <w:szCs w:val="20"/>
              </w:rPr>
              <w:t xml:space="preserve">the </w:t>
            </w:r>
            <w:r w:rsidRPr="00C54FEA">
              <w:rPr>
                <w:rFonts w:ascii="Arial" w:hAnsi="Arial" w:cs="Arial"/>
                <w:spacing w:val="-1"/>
                <w:sz w:val="20"/>
                <w:szCs w:val="20"/>
              </w:rPr>
              <w:t>development</w:t>
            </w:r>
            <w:r w:rsidRPr="00C54FEA">
              <w:rPr>
                <w:rFonts w:ascii="Arial" w:hAnsi="Arial" w:cs="Arial"/>
                <w:sz w:val="20"/>
                <w:szCs w:val="20"/>
              </w:rPr>
              <w:t xml:space="preserve"> and </w:t>
            </w:r>
            <w:r w:rsidRPr="00C54FEA">
              <w:rPr>
                <w:rFonts w:ascii="Arial" w:hAnsi="Arial" w:cs="Arial"/>
                <w:spacing w:val="-1"/>
                <w:sz w:val="20"/>
                <w:szCs w:val="20"/>
              </w:rPr>
              <w:t>management</w:t>
            </w:r>
            <w:r w:rsidRPr="00C54FEA">
              <w:rPr>
                <w:rFonts w:ascii="Arial" w:hAnsi="Arial" w:cs="Arial"/>
                <w:sz w:val="20"/>
                <w:szCs w:val="20"/>
              </w:rPr>
              <w:t xml:space="preserve"> of agency</w:t>
            </w:r>
            <w:r w:rsidRPr="00C54FEA">
              <w:rPr>
                <w:rFonts w:ascii="Arial" w:hAnsi="Arial" w:cs="Arial"/>
                <w:spacing w:val="24"/>
                <w:sz w:val="20"/>
                <w:szCs w:val="20"/>
              </w:rPr>
              <w:t xml:space="preserve"> </w:t>
            </w:r>
            <w:r w:rsidRPr="00C54FEA">
              <w:rPr>
                <w:rFonts w:ascii="Arial" w:hAnsi="Arial" w:cs="Arial"/>
                <w:sz w:val="20"/>
                <w:szCs w:val="20"/>
              </w:rPr>
              <w:t>specific</w:t>
            </w:r>
            <w:r w:rsidRPr="00C54FEA">
              <w:rPr>
                <w:rFonts w:ascii="Arial" w:hAnsi="Arial" w:cs="Arial"/>
                <w:spacing w:val="-3"/>
                <w:sz w:val="20"/>
                <w:szCs w:val="20"/>
              </w:rPr>
              <w:t xml:space="preserve"> </w:t>
            </w:r>
            <w:r w:rsidRPr="00C54FEA">
              <w:rPr>
                <w:rFonts w:ascii="Arial" w:hAnsi="Arial" w:cs="Arial"/>
                <w:spacing w:val="-1"/>
                <w:sz w:val="20"/>
                <w:szCs w:val="20"/>
              </w:rPr>
              <w:t>contracts</w:t>
            </w:r>
            <w:r w:rsidRPr="00C54FEA">
              <w:rPr>
                <w:rFonts w:ascii="Arial" w:hAnsi="Arial" w:cs="Arial"/>
                <w:spacing w:val="-2"/>
                <w:sz w:val="20"/>
                <w:szCs w:val="20"/>
              </w:rPr>
              <w:t xml:space="preserve"> </w:t>
            </w:r>
            <w:r w:rsidRPr="00C54FEA">
              <w:rPr>
                <w:rFonts w:ascii="Arial" w:hAnsi="Arial" w:cs="Arial"/>
                <w:sz w:val="20"/>
                <w:szCs w:val="20"/>
              </w:rPr>
              <w:t>as</w:t>
            </w:r>
            <w:r w:rsidRPr="00C54FEA">
              <w:rPr>
                <w:rFonts w:ascii="Arial" w:hAnsi="Arial" w:cs="Arial"/>
                <w:spacing w:val="-2"/>
                <w:sz w:val="20"/>
                <w:szCs w:val="20"/>
              </w:rPr>
              <w:t xml:space="preserve"> </w:t>
            </w:r>
            <w:r w:rsidRPr="00C54FEA">
              <w:rPr>
                <w:rFonts w:ascii="Arial" w:hAnsi="Arial" w:cs="Arial"/>
                <w:sz w:val="20"/>
                <w:szCs w:val="20"/>
              </w:rPr>
              <w:t>a</w:t>
            </w:r>
            <w:r w:rsidRPr="00C54FEA">
              <w:rPr>
                <w:rFonts w:ascii="Arial" w:hAnsi="Arial" w:cs="Arial"/>
                <w:spacing w:val="27"/>
                <w:sz w:val="20"/>
                <w:szCs w:val="20"/>
              </w:rPr>
              <w:t xml:space="preserve"> </w:t>
            </w:r>
            <w:r w:rsidRPr="00C54FEA">
              <w:rPr>
                <w:rFonts w:ascii="Arial" w:hAnsi="Arial" w:cs="Arial"/>
                <w:spacing w:val="-1"/>
                <w:sz w:val="20"/>
                <w:szCs w:val="20"/>
              </w:rPr>
              <w:t>percentage</w:t>
            </w:r>
            <w:r w:rsidRPr="00C54FEA">
              <w:rPr>
                <w:rFonts w:ascii="Arial" w:hAnsi="Arial" w:cs="Arial"/>
                <w:sz w:val="20"/>
                <w:szCs w:val="20"/>
              </w:rPr>
              <w:t xml:space="preserve"> of the </w:t>
            </w:r>
            <w:r w:rsidRPr="00C54FEA">
              <w:rPr>
                <w:rFonts w:ascii="Arial" w:hAnsi="Arial" w:cs="Arial"/>
                <w:spacing w:val="-1"/>
                <w:sz w:val="20"/>
                <w:szCs w:val="20"/>
              </w:rPr>
              <w:t>contract</w:t>
            </w:r>
            <w:r w:rsidRPr="00C54FEA">
              <w:rPr>
                <w:rFonts w:ascii="Arial" w:hAnsi="Arial" w:cs="Arial"/>
                <w:spacing w:val="23"/>
                <w:sz w:val="20"/>
                <w:szCs w:val="20"/>
              </w:rPr>
              <w:t xml:space="preserve"> </w:t>
            </w:r>
            <w:r w:rsidRPr="00C54FEA">
              <w:rPr>
                <w:rFonts w:ascii="Arial" w:hAnsi="Arial" w:cs="Arial"/>
                <w:spacing w:val="-1"/>
                <w:sz w:val="20"/>
                <w:szCs w:val="20"/>
              </w:rPr>
              <w:t>award</w:t>
            </w:r>
            <w:r w:rsidRPr="00C54FEA">
              <w:rPr>
                <w:rFonts w:ascii="Arial" w:hAnsi="Arial" w:cs="Arial"/>
                <w:spacing w:val="2"/>
                <w:sz w:val="20"/>
                <w:szCs w:val="20"/>
              </w:rPr>
              <w:t xml:space="preserve"> </w:t>
            </w:r>
            <w:r w:rsidRPr="00C54FEA">
              <w:rPr>
                <w:rFonts w:ascii="Arial" w:hAnsi="Arial" w:cs="Arial"/>
                <w:spacing w:val="-1"/>
                <w:sz w:val="20"/>
                <w:szCs w:val="20"/>
              </w:rPr>
              <w:t xml:space="preserve">value (%) </w:t>
            </w:r>
            <w:r w:rsidRPr="00C54FEA">
              <w:rPr>
                <w:rFonts w:ascii="Arial" w:hAnsi="Arial" w:cs="Arial"/>
                <w:spacing w:val="-1"/>
                <w:sz w:val="20"/>
                <w:szCs w:val="20"/>
                <w:vertAlign w:val="superscript"/>
              </w:rPr>
              <w:t>(c)</w:t>
            </w:r>
          </w:p>
        </w:tc>
        <w:tc>
          <w:tcPr>
            <w:tcW w:w="1094"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2.4</w:t>
            </w:r>
          </w:p>
        </w:tc>
        <w:tc>
          <w:tcPr>
            <w:tcW w:w="1095" w:type="dxa"/>
            <w:shd w:val="clear" w:color="auto" w:fill="auto"/>
          </w:tcPr>
          <w:p w:rsidR="00881F74" w:rsidRPr="00C54FEA" w:rsidRDefault="00881F74" w:rsidP="000D7011">
            <w:pPr>
              <w:spacing w:before="60" w:after="60" w:line="240" w:lineRule="auto"/>
              <w:jc w:val="right"/>
              <w:rPr>
                <w:rFonts w:ascii="Arial" w:hAnsi="Arial" w:cs="Arial"/>
                <w:color w:val="000000"/>
                <w:spacing w:val="-1"/>
                <w:sz w:val="20"/>
                <w:szCs w:val="20"/>
              </w:rPr>
            </w:pPr>
            <w:r w:rsidRPr="00C54FEA">
              <w:rPr>
                <w:rFonts w:ascii="Arial" w:hAnsi="Arial" w:cs="Arial"/>
                <w:color w:val="6F2771"/>
                <w:spacing w:val="-1"/>
                <w:sz w:val="20"/>
                <w:szCs w:val="20"/>
              </w:rPr>
              <w:t>2.4</w:t>
            </w:r>
          </w:p>
        </w:tc>
        <w:tc>
          <w:tcPr>
            <w:tcW w:w="1095" w:type="dxa"/>
          </w:tcPr>
          <w:p w:rsidR="00881F74" w:rsidRPr="00C54FEA" w:rsidRDefault="00881F74" w:rsidP="000D7011">
            <w:pPr>
              <w:spacing w:before="60" w:after="60" w:line="240" w:lineRule="auto"/>
              <w:jc w:val="right"/>
              <w:rPr>
                <w:rFonts w:ascii="Arial" w:hAnsi="Arial" w:cs="Arial"/>
                <w:color w:val="000000"/>
                <w:spacing w:val="-1"/>
                <w:sz w:val="20"/>
                <w:szCs w:val="20"/>
              </w:rPr>
            </w:pPr>
            <w:r w:rsidRPr="00C54FEA">
              <w:rPr>
                <w:rFonts w:ascii="Arial" w:hAnsi="Arial" w:cs="Arial"/>
                <w:color w:val="6F2771"/>
                <w:spacing w:val="-1"/>
                <w:sz w:val="20"/>
                <w:szCs w:val="20"/>
              </w:rPr>
              <w:t>2.</w:t>
            </w:r>
            <w:r>
              <w:rPr>
                <w:rFonts w:ascii="Arial" w:hAnsi="Arial" w:cs="Arial"/>
                <w:color w:val="6F2771"/>
                <w:spacing w:val="-1"/>
                <w:sz w:val="20"/>
                <w:szCs w:val="20"/>
              </w:rPr>
              <w:t>1</w:t>
            </w:r>
          </w:p>
        </w:tc>
        <w:tc>
          <w:tcPr>
            <w:tcW w:w="1095"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2.2</w:t>
            </w:r>
          </w:p>
        </w:tc>
        <w:tc>
          <w:tcPr>
            <w:tcW w:w="1095" w:type="dxa"/>
            <w:shd w:val="clear" w:color="auto" w:fill="auto"/>
          </w:tcPr>
          <w:p w:rsidR="00881F74" w:rsidRPr="00C54FEA" w:rsidRDefault="00881F74" w:rsidP="000D7011">
            <w:pPr>
              <w:spacing w:before="60" w:after="60" w:line="240" w:lineRule="auto"/>
              <w:jc w:val="right"/>
              <w:rPr>
                <w:rFonts w:ascii="Arial" w:hAnsi="Arial" w:cs="Arial"/>
                <w:color w:val="000000"/>
                <w:spacing w:val="-1"/>
                <w:sz w:val="20"/>
                <w:szCs w:val="20"/>
              </w:rPr>
            </w:pPr>
            <w:r>
              <w:rPr>
                <w:rFonts w:ascii="Arial" w:hAnsi="Arial" w:cs="Arial"/>
                <w:color w:val="6F2771"/>
                <w:spacing w:val="-1"/>
                <w:sz w:val="20"/>
                <w:szCs w:val="20"/>
              </w:rPr>
              <w:t>1.9</w:t>
            </w:r>
            <w:r w:rsidRPr="00C54FEA">
              <w:rPr>
                <w:rFonts w:ascii="Arial" w:hAnsi="Arial" w:cs="Arial"/>
                <w:color w:val="6F2771"/>
                <w:spacing w:val="-1"/>
                <w:sz w:val="20"/>
                <w:szCs w:val="20"/>
              </w:rPr>
              <w:t xml:space="preserve"> </w:t>
            </w:r>
            <w:r w:rsidRPr="00C54FEA">
              <w:rPr>
                <w:rFonts w:ascii="Arial" w:hAnsi="Arial" w:cs="Arial"/>
                <w:color w:val="6F2771"/>
                <w:spacing w:val="-1"/>
                <w:sz w:val="20"/>
                <w:szCs w:val="20"/>
                <w:vertAlign w:val="superscript"/>
              </w:rPr>
              <w:t>(3)</w:t>
            </w:r>
          </w:p>
        </w:tc>
      </w:tr>
    </w:tbl>
    <w:p w:rsidR="00881F74" w:rsidRPr="00C54FEA" w:rsidRDefault="00881F74" w:rsidP="000D7011">
      <w:pPr>
        <w:widowControl w:val="0"/>
        <w:numPr>
          <w:ilvl w:val="0"/>
          <w:numId w:val="37"/>
        </w:numPr>
        <w:kinsoku w:val="0"/>
        <w:overflowPunct w:val="0"/>
        <w:autoSpaceDE w:val="0"/>
        <w:autoSpaceDN w:val="0"/>
        <w:adjustRightInd w:val="0"/>
        <w:spacing w:before="141" w:line="240" w:lineRule="auto"/>
        <w:rPr>
          <w:rFonts w:ascii="Arial" w:hAnsi="Arial" w:cs="Arial"/>
          <w:sz w:val="24"/>
          <w:szCs w:val="24"/>
        </w:rPr>
      </w:pPr>
      <w:r w:rsidRPr="00C54FEA">
        <w:rPr>
          <w:rFonts w:ascii="Arial" w:hAnsi="Arial" w:cs="Arial"/>
          <w:sz w:val="24"/>
          <w:szCs w:val="24"/>
        </w:rPr>
        <w:t>This indicator is calculated by dividing the State Fleet operating costs by the number of vehicles managed by State Fleet.</w:t>
      </w:r>
    </w:p>
    <w:p w:rsidR="00881F74" w:rsidRPr="00C54FEA" w:rsidRDefault="00881F74" w:rsidP="000D7011">
      <w:pPr>
        <w:widowControl w:val="0"/>
        <w:numPr>
          <w:ilvl w:val="0"/>
          <w:numId w:val="37"/>
        </w:numPr>
        <w:kinsoku w:val="0"/>
        <w:overflowPunct w:val="0"/>
        <w:autoSpaceDE w:val="0"/>
        <w:autoSpaceDN w:val="0"/>
        <w:adjustRightInd w:val="0"/>
        <w:spacing w:before="141" w:line="240" w:lineRule="auto"/>
        <w:rPr>
          <w:rFonts w:ascii="Arial" w:hAnsi="Arial" w:cs="Arial"/>
          <w:sz w:val="24"/>
          <w:szCs w:val="24"/>
        </w:rPr>
      </w:pPr>
      <w:r w:rsidRPr="00C54FEA">
        <w:rPr>
          <w:rFonts w:ascii="Arial" w:hAnsi="Arial" w:cs="Arial"/>
          <w:sz w:val="24"/>
          <w:szCs w:val="24"/>
        </w:rPr>
        <w:t>This indicator is calculated by dividing the costs of delivering this service by the total common use contract arrangement turnover.</w:t>
      </w:r>
    </w:p>
    <w:p w:rsidR="00881F74" w:rsidRPr="00DC7857" w:rsidRDefault="00881F74" w:rsidP="000D7011">
      <w:pPr>
        <w:widowControl w:val="0"/>
        <w:numPr>
          <w:ilvl w:val="0"/>
          <w:numId w:val="37"/>
        </w:numPr>
        <w:kinsoku w:val="0"/>
        <w:overflowPunct w:val="0"/>
        <w:autoSpaceDE w:val="0"/>
        <w:autoSpaceDN w:val="0"/>
        <w:adjustRightInd w:val="0"/>
        <w:spacing w:before="141" w:line="240" w:lineRule="auto"/>
        <w:rPr>
          <w:rFonts w:ascii="Arial" w:hAnsi="Arial" w:cs="Arial"/>
          <w:spacing w:val="-1"/>
          <w:sz w:val="20"/>
          <w:szCs w:val="20"/>
        </w:rPr>
      </w:pPr>
      <w:r w:rsidRPr="00DC7857">
        <w:rPr>
          <w:rFonts w:ascii="Arial" w:hAnsi="Arial" w:cs="Arial"/>
          <w:sz w:val="24"/>
          <w:szCs w:val="24"/>
        </w:rPr>
        <w:t>This indicator is calculated by dividing the costs of delivering this service by the total contract value for agency contracts awarded in that year.</w:t>
      </w:r>
      <w:r w:rsidRPr="00DC7857">
        <w:t xml:space="preserve"> </w:t>
      </w:r>
      <w:r w:rsidRPr="00DC7857">
        <w:rPr>
          <w:rFonts w:ascii="Arial" w:hAnsi="Arial" w:cs="Arial"/>
          <w:sz w:val="24"/>
          <w:szCs w:val="24"/>
        </w:rPr>
        <w:t>Note that for 2015-16 the contract development costs included three contracts as part of the efficiency indicator that</w:t>
      </w:r>
      <w:r>
        <w:rPr>
          <w:rFonts w:ascii="Arial" w:hAnsi="Arial" w:cs="Arial"/>
          <w:sz w:val="24"/>
          <w:szCs w:val="24"/>
        </w:rPr>
        <w:t xml:space="preserve"> </w:t>
      </w:r>
      <w:r w:rsidRPr="00DC7857">
        <w:rPr>
          <w:rFonts w:ascii="Arial" w:hAnsi="Arial" w:cs="Arial"/>
          <w:sz w:val="24"/>
          <w:szCs w:val="24"/>
        </w:rPr>
        <w:t>did not progress to the establishment of a contract by agencies.</w:t>
      </w:r>
    </w:p>
    <w:p w:rsidR="00881F74" w:rsidRPr="00DC7857" w:rsidRDefault="00881F74" w:rsidP="000D7011">
      <w:pPr>
        <w:keepLines/>
        <w:widowControl w:val="0"/>
        <w:numPr>
          <w:ilvl w:val="0"/>
          <w:numId w:val="36"/>
        </w:numPr>
        <w:kinsoku w:val="0"/>
        <w:overflowPunct w:val="0"/>
        <w:autoSpaceDE w:val="0"/>
        <w:autoSpaceDN w:val="0"/>
        <w:adjustRightInd w:val="0"/>
        <w:spacing w:before="141" w:line="240" w:lineRule="auto"/>
        <w:jc w:val="both"/>
        <w:rPr>
          <w:rFonts w:ascii="Arial" w:hAnsi="Arial"/>
          <w:sz w:val="24"/>
          <w:szCs w:val="20"/>
        </w:rPr>
      </w:pPr>
      <w:r w:rsidRPr="00DC7857">
        <w:rPr>
          <w:rFonts w:ascii="Arial" w:hAnsi="Arial"/>
          <w:sz w:val="24"/>
          <w:szCs w:val="20"/>
        </w:rPr>
        <w:t>The reduction, compared to the 2015-16 target, is a result of decreased costs achieved through the</w:t>
      </w:r>
      <w:r>
        <w:rPr>
          <w:rFonts w:ascii="Arial" w:hAnsi="Arial"/>
          <w:sz w:val="24"/>
          <w:szCs w:val="20"/>
        </w:rPr>
        <w:t xml:space="preserve"> </w:t>
      </w:r>
      <w:r w:rsidRPr="00DC7857">
        <w:rPr>
          <w:rFonts w:ascii="Arial" w:hAnsi="Arial"/>
          <w:sz w:val="24"/>
          <w:szCs w:val="20"/>
        </w:rPr>
        <w:t xml:space="preserve">Agency Expenditure Review. </w:t>
      </w:r>
    </w:p>
    <w:p w:rsidR="00881F74" w:rsidRDefault="00881F74" w:rsidP="000D7011">
      <w:pPr>
        <w:keepLines/>
        <w:widowControl w:val="0"/>
        <w:numPr>
          <w:ilvl w:val="0"/>
          <w:numId w:val="36"/>
        </w:numPr>
        <w:kinsoku w:val="0"/>
        <w:overflowPunct w:val="0"/>
        <w:autoSpaceDE w:val="0"/>
        <w:autoSpaceDN w:val="0"/>
        <w:adjustRightInd w:val="0"/>
        <w:spacing w:before="141" w:line="240" w:lineRule="auto"/>
        <w:jc w:val="both"/>
        <w:rPr>
          <w:rFonts w:ascii="Arial" w:hAnsi="Arial"/>
          <w:sz w:val="24"/>
          <w:szCs w:val="20"/>
        </w:rPr>
      </w:pPr>
      <w:r w:rsidRPr="00DC7857">
        <w:rPr>
          <w:rFonts w:ascii="Arial" w:hAnsi="Arial"/>
          <w:sz w:val="24"/>
          <w:szCs w:val="20"/>
        </w:rPr>
        <w:t>The reduction, compared to the 2014-15 actual and the 2015-16 target, is a result of an increase in CUA throughput and a significant decrease in costs driven</w:t>
      </w:r>
      <w:r>
        <w:rPr>
          <w:rFonts w:ascii="Arial" w:hAnsi="Arial"/>
          <w:sz w:val="24"/>
          <w:szCs w:val="20"/>
        </w:rPr>
        <w:t xml:space="preserve"> </w:t>
      </w:r>
      <w:r w:rsidRPr="00DC7857">
        <w:rPr>
          <w:rFonts w:ascii="Arial" w:hAnsi="Arial"/>
          <w:sz w:val="24"/>
          <w:szCs w:val="20"/>
        </w:rPr>
        <w:t xml:space="preserve">by the Agency Expenditure Review. </w:t>
      </w:r>
    </w:p>
    <w:p w:rsidR="00881F74" w:rsidRPr="00DC7857" w:rsidRDefault="00881F74" w:rsidP="000D7011">
      <w:pPr>
        <w:keepLines/>
        <w:widowControl w:val="0"/>
        <w:numPr>
          <w:ilvl w:val="0"/>
          <w:numId w:val="36"/>
        </w:numPr>
        <w:kinsoku w:val="0"/>
        <w:overflowPunct w:val="0"/>
        <w:autoSpaceDE w:val="0"/>
        <w:autoSpaceDN w:val="0"/>
        <w:adjustRightInd w:val="0"/>
        <w:spacing w:before="141" w:line="240" w:lineRule="auto"/>
        <w:jc w:val="both"/>
        <w:rPr>
          <w:rFonts w:ascii="Arial" w:hAnsi="Arial"/>
          <w:sz w:val="24"/>
          <w:szCs w:val="20"/>
        </w:rPr>
      </w:pPr>
      <w:r w:rsidRPr="00DC7857">
        <w:rPr>
          <w:rFonts w:ascii="Arial" w:hAnsi="Arial"/>
          <w:sz w:val="24"/>
          <w:szCs w:val="20"/>
        </w:rPr>
        <w:t>The variation, compared to the 2014-15 actual and the 2015-16 target, is a result of significant decreases in costs achieved through the Agency</w:t>
      </w:r>
      <w:r>
        <w:rPr>
          <w:rFonts w:ascii="Arial" w:hAnsi="Arial"/>
          <w:sz w:val="24"/>
          <w:szCs w:val="20"/>
        </w:rPr>
        <w:t xml:space="preserve"> </w:t>
      </w:r>
      <w:r w:rsidRPr="00DC7857">
        <w:rPr>
          <w:rFonts w:ascii="Arial" w:hAnsi="Arial"/>
          <w:sz w:val="24"/>
          <w:szCs w:val="20"/>
        </w:rPr>
        <w:t>Expenditure Revie</w:t>
      </w:r>
      <w:r>
        <w:rPr>
          <w:rFonts w:ascii="Arial" w:hAnsi="Arial"/>
          <w:sz w:val="24"/>
          <w:szCs w:val="20"/>
        </w:rPr>
        <w:t>w.</w:t>
      </w:r>
    </w:p>
    <w:p w:rsidR="00881F74" w:rsidRDefault="00881F74" w:rsidP="00881F74">
      <w:pPr>
        <w:keepNext/>
        <w:keepLines/>
        <w:spacing w:before="200"/>
        <w:outlineLvl w:val="1"/>
        <w:rPr>
          <w:rFonts w:ascii="Arial" w:hAnsi="Arial"/>
          <w:b/>
          <w:bCs/>
          <w:sz w:val="40"/>
          <w:szCs w:val="26"/>
        </w:rPr>
      </w:pPr>
    </w:p>
    <w:p w:rsidR="00881F74" w:rsidRDefault="00881F74" w:rsidP="00881F74">
      <w:pPr>
        <w:keepNext/>
        <w:keepLines/>
        <w:spacing w:before="200"/>
        <w:outlineLvl w:val="1"/>
        <w:rPr>
          <w:rFonts w:ascii="Arial" w:hAnsi="Arial"/>
          <w:b/>
          <w:bCs/>
          <w:sz w:val="40"/>
          <w:szCs w:val="26"/>
        </w:rPr>
      </w:pPr>
    </w:p>
    <w:p w:rsidR="00881F74" w:rsidRPr="00C54FEA" w:rsidRDefault="00881F74" w:rsidP="00881F74">
      <w:pPr>
        <w:keepNext/>
        <w:keepLines/>
        <w:spacing w:before="200"/>
        <w:outlineLvl w:val="1"/>
        <w:rPr>
          <w:rFonts w:ascii="Arial" w:hAnsi="Arial"/>
          <w:b/>
          <w:bCs/>
          <w:sz w:val="40"/>
          <w:szCs w:val="26"/>
        </w:rPr>
      </w:pPr>
      <w:r>
        <w:rPr>
          <w:rFonts w:ascii="Arial" w:hAnsi="Arial"/>
          <w:b/>
          <w:bCs/>
          <w:sz w:val="40"/>
          <w:szCs w:val="26"/>
        </w:rPr>
        <w:br w:type="page"/>
      </w:r>
      <w:r w:rsidRPr="00C54FEA">
        <w:rPr>
          <w:rFonts w:ascii="Arial" w:hAnsi="Arial"/>
          <w:b/>
          <w:bCs/>
          <w:sz w:val="40"/>
          <w:szCs w:val="26"/>
        </w:rPr>
        <w:t>Corporate Services</w:t>
      </w:r>
    </w:p>
    <w:p w:rsidR="00881F74" w:rsidRPr="00C54FEA" w:rsidRDefault="00881F74" w:rsidP="00881F74">
      <w:pPr>
        <w:keepNext/>
        <w:spacing w:before="240" w:after="60"/>
        <w:outlineLvl w:val="2"/>
        <w:rPr>
          <w:rFonts w:ascii="Arial" w:hAnsi="Arial"/>
          <w:b/>
          <w:bCs/>
          <w:sz w:val="28"/>
          <w:szCs w:val="26"/>
        </w:rPr>
      </w:pPr>
      <w:r w:rsidRPr="00C54FEA">
        <w:rPr>
          <w:rFonts w:ascii="Arial" w:hAnsi="Arial"/>
          <w:b/>
          <w:bCs/>
          <w:sz w:val="28"/>
          <w:szCs w:val="26"/>
        </w:rPr>
        <w:t>Key effectiveness and efficiency indicators</w:t>
      </w:r>
    </w:p>
    <w:p w:rsidR="00881F74" w:rsidRPr="00C54FEA" w:rsidRDefault="00881F74" w:rsidP="00881F74">
      <w:pPr>
        <w:keepNext/>
        <w:spacing w:before="240" w:after="60"/>
        <w:outlineLvl w:val="3"/>
        <w:rPr>
          <w:rFonts w:ascii="Arial" w:hAnsi="Arial"/>
          <w:b/>
          <w:bCs/>
          <w:sz w:val="26"/>
          <w:szCs w:val="28"/>
        </w:rPr>
      </w:pPr>
      <w:r w:rsidRPr="00C54FEA">
        <w:rPr>
          <w:rFonts w:ascii="Arial" w:hAnsi="Arial"/>
          <w:b/>
          <w:bCs/>
          <w:sz w:val="26"/>
          <w:szCs w:val="28"/>
        </w:rPr>
        <w:t>Outcome 3: Efficient and effective Corporate Services to the Department of Treasury</w:t>
      </w:r>
    </w:p>
    <w:p w:rsidR="00881F74" w:rsidRPr="00C54FEA" w:rsidRDefault="00881F74" w:rsidP="00881F74">
      <w:pPr>
        <w:keepNext/>
        <w:spacing w:before="240" w:after="60"/>
        <w:outlineLvl w:val="3"/>
        <w:rPr>
          <w:rFonts w:ascii="Arial" w:hAnsi="Arial"/>
          <w:b/>
          <w:bCs/>
          <w:sz w:val="26"/>
          <w:szCs w:val="28"/>
        </w:rPr>
      </w:pPr>
      <w:r w:rsidRPr="00C54FEA">
        <w:rPr>
          <w:rFonts w:ascii="Arial" w:hAnsi="Arial"/>
          <w:b/>
          <w:bCs/>
          <w:sz w:val="26"/>
          <w:szCs w:val="28"/>
        </w:rPr>
        <w:t>Service 3: Corporate Services to the Department of Treasury</w:t>
      </w:r>
    </w:p>
    <w:p w:rsidR="00881F74" w:rsidRDefault="00881F74" w:rsidP="00881F74">
      <w:pPr>
        <w:widowControl w:val="0"/>
        <w:kinsoku w:val="0"/>
        <w:overflowPunct w:val="0"/>
        <w:autoSpaceDE w:val="0"/>
        <w:autoSpaceDN w:val="0"/>
        <w:adjustRightInd w:val="0"/>
        <w:spacing w:before="141" w:line="240" w:lineRule="auto"/>
        <w:rPr>
          <w:rFonts w:ascii="Arial" w:hAnsi="Arial" w:cs="Arial"/>
          <w:sz w:val="24"/>
          <w:szCs w:val="24"/>
        </w:rPr>
      </w:pPr>
      <w:r w:rsidRPr="00250A72">
        <w:rPr>
          <w:rFonts w:ascii="Arial" w:hAnsi="Arial" w:cs="Arial"/>
          <w:sz w:val="24"/>
          <w:szCs w:val="24"/>
        </w:rPr>
        <w:t>This outcome and service relates to Corporate</w:t>
      </w:r>
      <w:r>
        <w:rPr>
          <w:rFonts w:ascii="Arial" w:hAnsi="Arial" w:cs="Arial"/>
          <w:sz w:val="24"/>
          <w:szCs w:val="24"/>
        </w:rPr>
        <w:t xml:space="preserve"> </w:t>
      </w:r>
      <w:r w:rsidRPr="00250A72">
        <w:rPr>
          <w:rFonts w:ascii="Arial" w:hAnsi="Arial" w:cs="Arial"/>
          <w:sz w:val="24"/>
          <w:szCs w:val="24"/>
        </w:rPr>
        <w:t>Services (for example staff payroll) provided on</w:t>
      </w:r>
      <w:r>
        <w:rPr>
          <w:rFonts w:ascii="Arial" w:hAnsi="Arial" w:cs="Arial"/>
          <w:sz w:val="24"/>
          <w:szCs w:val="24"/>
        </w:rPr>
        <w:t xml:space="preserve"> </w:t>
      </w:r>
      <w:r w:rsidRPr="00250A72">
        <w:rPr>
          <w:rFonts w:ascii="Arial" w:hAnsi="Arial" w:cs="Arial"/>
          <w:sz w:val="24"/>
          <w:szCs w:val="24"/>
        </w:rPr>
        <w:t>behalf of the Department of Treasury. Given the</w:t>
      </w:r>
      <w:r>
        <w:rPr>
          <w:rFonts w:ascii="Arial" w:hAnsi="Arial" w:cs="Arial"/>
          <w:sz w:val="24"/>
          <w:szCs w:val="24"/>
        </w:rPr>
        <w:t xml:space="preserve"> </w:t>
      </w:r>
      <w:r w:rsidRPr="00250A72">
        <w:rPr>
          <w:rFonts w:ascii="Arial" w:hAnsi="Arial" w:cs="Arial"/>
          <w:sz w:val="24"/>
          <w:szCs w:val="24"/>
        </w:rPr>
        <w:t>outcome and service does not interact directly</w:t>
      </w:r>
      <w:r>
        <w:rPr>
          <w:rFonts w:ascii="Arial" w:hAnsi="Arial" w:cs="Arial"/>
          <w:sz w:val="24"/>
          <w:szCs w:val="24"/>
        </w:rPr>
        <w:t xml:space="preserve"> </w:t>
      </w:r>
      <w:r w:rsidRPr="00250A72">
        <w:rPr>
          <w:rFonts w:ascii="Arial" w:hAnsi="Arial" w:cs="Arial"/>
          <w:sz w:val="24"/>
          <w:szCs w:val="24"/>
        </w:rPr>
        <w:t>with or include any services to the community, no</w:t>
      </w:r>
      <w:r>
        <w:rPr>
          <w:rFonts w:ascii="Arial" w:hAnsi="Arial" w:cs="Arial"/>
          <w:sz w:val="24"/>
          <w:szCs w:val="24"/>
        </w:rPr>
        <w:t xml:space="preserve"> </w:t>
      </w:r>
      <w:r w:rsidRPr="00250A72">
        <w:rPr>
          <w:rFonts w:ascii="Arial" w:hAnsi="Arial" w:cs="Arial"/>
          <w:sz w:val="24"/>
          <w:szCs w:val="24"/>
        </w:rPr>
        <w:t>effectiveness or efficiency indicators are published.</w:t>
      </w:r>
      <w:r>
        <w:rPr>
          <w:rFonts w:ascii="Arial" w:hAnsi="Arial" w:cs="Arial"/>
          <w:sz w:val="24"/>
          <w:szCs w:val="24"/>
        </w:rPr>
        <w:t xml:space="preserve"> </w:t>
      </w:r>
    </w:p>
    <w:p w:rsidR="00881F74" w:rsidRPr="00250A72" w:rsidRDefault="00881F74" w:rsidP="00881F74">
      <w:pPr>
        <w:widowControl w:val="0"/>
        <w:kinsoku w:val="0"/>
        <w:overflowPunct w:val="0"/>
        <w:autoSpaceDE w:val="0"/>
        <w:autoSpaceDN w:val="0"/>
        <w:adjustRightInd w:val="0"/>
        <w:spacing w:before="141" w:line="240" w:lineRule="auto"/>
        <w:rPr>
          <w:rFonts w:ascii="Arial" w:hAnsi="Arial" w:cs="Arial"/>
          <w:sz w:val="24"/>
          <w:szCs w:val="24"/>
        </w:rPr>
      </w:pPr>
      <w:r w:rsidRPr="00250A72">
        <w:rPr>
          <w:rFonts w:ascii="Arial" w:hAnsi="Arial" w:cs="Arial"/>
          <w:sz w:val="24"/>
          <w:szCs w:val="24"/>
        </w:rPr>
        <w:t>The effectiveness and efficiency of the functions</w:t>
      </w:r>
      <w:r>
        <w:rPr>
          <w:rFonts w:ascii="Arial" w:hAnsi="Arial" w:cs="Arial"/>
          <w:sz w:val="24"/>
          <w:szCs w:val="24"/>
        </w:rPr>
        <w:t xml:space="preserve"> </w:t>
      </w:r>
      <w:r w:rsidRPr="00250A72">
        <w:rPr>
          <w:rFonts w:ascii="Arial" w:hAnsi="Arial" w:cs="Arial"/>
          <w:sz w:val="24"/>
          <w:szCs w:val="24"/>
        </w:rPr>
        <w:t>covered in this outcome and service are</w:t>
      </w:r>
      <w:r>
        <w:rPr>
          <w:rFonts w:ascii="Arial" w:hAnsi="Arial" w:cs="Arial"/>
          <w:sz w:val="24"/>
          <w:szCs w:val="24"/>
        </w:rPr>
        <w:t xml:space="preserve"> </w:t>
      </w:r>
      <w:r w:rsidRPr="00250A72">
        <w:rPr>
          <w:rFonts w:ascii="Arial" w:hAnsi="Arial" w:cs="Arial"/>
          <w:sz w:val="24"/>
          <w:szCs w:val="24"/>
        </w:rPr>
        <w:t>monitored via a service level agreement and</w:t>
      </w:r>
      <w:r>
        <w:rPr>
          <w:rFonts w:ascii="Arial" w:hAnsi="Arial" w:cs="Arial"/>
          <w:sz w:val="24"/>
          <w:szCs w:val="24"/>
        </w:rPr>
        <w:t xml:space="preserve"> </w:t>
      </w:r>
      <w:r w:rsidRPr="00250A72">
        <w:rPr>
          <w:rFonts w:ascii="Arial" w:hAnsi="Arial" w:cs="Arial"/>
          <w:sz w:val="24"/>
          <w:szCs w:val="24"/>
        </w:rPr>
        <w:t>performance indicators internal to government.</w:t>
      </w:r>
    </w:p>
    <w:p w:rsidR="00881F74" w:rsidRPr="00C54FEA" w:rsidRDefault="00881F74" w:rsidP="00881F74">
      <w:pPr>
        <w:widowControl w:val="0"/>
        <w:kinsoku w:val="0"/>
        <w:overflowPunct w:val="0"/>
        <w:autoSpaceDE w:val="0"/>
        <w:autoSpaceDN w:val="0"/>
        <w:adjustRightInd w:val="0"/>
        <w:spacing w:before="141" w:line="240" w:lineRule="auto"/>
        <w:rPr>
          <w:rFonts w:ascii="Arial" w:hAnsi="Arial" w:cs="Arial"/>
          <w:sz w:val="24"/>
          <w:szCs w:val="24"/>
        </w:rPr>
      </w:pPr>
      <w:r w:rsidRPr="00250A72">
        <w:rPr>
          <w:rFonts w:ascii="Arial" w:hAnsi="Arial" w:cs="Arial"/>
          <w:sz w:val="24"/>
          <w:szCs w:val="24"/>
        </w:rPr>
        <w:t>This service was expanded to include services to</w:t>
      </w:r>
      <w:r>
        <w:rPr>
          <w:rFonts w:ascii="Arial" w:hAnsi="Arial" w:cs="Arial"/>
          <w:sz w:val="24"/>
          <w:szCs w:val="24"/>
        </w:rPr>
        <w:t xml:space="preserve"> </w:t>
      </w:r>
      <w:r w:rsidRPr="00250A72">
        <w:rPr>
          <w:rFonts w:ascii="Arial" w:hAnsi="Arial" w:cs="Arial"/>
          <w:sz w:val="24"/>
          <w:szCs w:val="24"/>
        </w:rPr>
        <w:t>the Office of the Government Chief Information</w:t>
      </w:r>
      <w:r>
        <w:rPr>
          <w:rFonts w:ascii="Arial" w:hAnsi="Arial" w:cs="Arial"/>
          <w:sz w:val="24"/>
          <w:szCs w:val="24"/>
        </w:rPr>
        <w:t xml:space="preserve"> </w:t>
      </w:r>
      <w:r w:rsidRPr="00250A72">
        <w:rPr>
          <w:rFonts w:ascii="Arial" w:hAnsi="Arial" w:cs="Arial"/>
          <w:sz w:val="24"/>
          <w:szCs w:val="24"/>
        </w:rPr>
        <w:t>Officer which commenced operations on</w:t>
      </w:r>
      <w:r>
        <w:rPr>
          <w:rFonts w:ascii="Arial" w:hAnsi="Arial" w:cs="Arial"/>
          <w:sz w:val="24"/>
          <w:szCs w:val="24"/>
        </w:rPr>
        <w:t xml:space="preserve"> </w:t>
      </w:r>
      <w:r w:rsidRPr="00250A72">
        <w:rPr>
          <w:rFonts w:ascii="Arial" w:hAnsi="Arial" w:cs="Arial"/>
          <w:sz w:val="24"/>
          <w:szCs w:val="24"/>
        </w:rPr>
        <w:t>1 July 2015. The outcome title will change</w:t>
      </w:r>
      <w:r>
        <w:rPr>
          <w:rFonts w:ascii="Arial" w:hAnsi="Arial" w:cs="Arial"/>
          <w:sz w:val="24"/>
          <w:szCs w:val="24"/>
        </w:rPr>
        <w:t xml:space="preserve"> </w:t>
      </w:r>
      <w:r w:rsidRPr="00250A72">
        <w:rPr>
          <w:rFonts w:ascii="Arial" w:hAnsi="Arial" w:cs="Arial"/>
          <w:sz w:val="24"/>
          <w:szCs w:val="24"/>
        </w:rPr>
        <w:t>to “Efficient and Effective Corporate Services</w:t>
      </w:r>
      <w:r>
        <w:rPr>
          <w:rFonts w:ascii="Arial" w:hAnsi="Arial" w:cs="Arial"/>
          <w:sz w:val="24"/>
          <w:szCs w:val="24"/>
        </w:rPr>
        <w:t xml:space="preserve"> </w:t>
      </w:r>
      <w:r w:rsidRPr="00250A72">
        <w:rPr>
          <w:rFonts w:ascii="Arial" w:hAnsi="Arial" w:cs="Arial"/>
          <w:sz w:val="24"/>
          <w:szCs w:val="24"/>
        </w:rPr>
        <w:t>to Client Agencies” for the 2016-17 Annual</w:t>
      </w:r>
      <w:r>
        <w:rPr>
          <w:rFonts w:ascii="Arial" w:hAnsi="Arial" w:cs="Arial"/>
          <w:sz w:val="24"/>
          <w:szCs w:val="24"/>
        </w:rPr>
        <w:t xml:space="preserve"> </w:t>
      </w:r>
      <w:r w:rsidRPr="00250A72">
        <w:rPr>
          <w:rFonts w:ascii="Arial" w:hAnsi="Arial" w:cs="Arial"/>
          <w:sz w:val="24"/>
          <w:szCs w:val="24"/>
        </w:rPr>
        <w:t>Report onwards. The service title will change to</w:t>
      </w:r>
      <w:r>
        <w:rPr>
          <w:rFonts w:ascii="Arial" w:hAnsi="Arial" w:cs="Arial"/>
          <w:sz w:val="24"/>
          <w:szCs w:val="24"/>
        </w:rPr>
        <w:t xml:space="preserve"> </w:t>
      </w:r>
      <w:r w:rsidRPr="00250A72">
        <w:rPr>
          <w:rFonts w:ascii="Arial" w:hAnsi="Arial" w:cs="Arial"/>
          <w:sz w:val="24"/>
          <w:szCs w:val="24"/>
        </w:rPr>
        <w:t>“Corporate Services to Client Agencies” for the</w:t>
      </w:r>
      <w:r>
        <w:rPr>
          <w:rFonts w:ascii="Arial" w:hAnsi="Arial" w:cs="Arial"/>
          <w:sz w:val="24"/>
          <w:szCs w:val="24"/>
        </w:rPr>
        <w:t xml:space="preserve"> </w:t>
      </w:r>
      <w:r w:rsidRPr="00250A72">
        <w:rPr>
          <w:rFonts w:ascii="Arial" w:hAnsi="Arial" w:cs="Arial"/>
          <w:sz w:val="24"/>
          <w:szCs w:val="24"/>
        </w:rPr>
        <w:t>2016-17 Annual Report onwards.</w:t>
      </w:r>
    </w:p>
    <w:p w:rsidR="00881F74" w:rsidRPr="00C54FEA" w:rsidRDefault="00881F74" w:rsidP="00881F74">
      <w:pPr>
        <w:keepNext/>
        <w:keepLines/>
        <w:spacing w:before="200"/>
        <w:outlineLvl w:val="1"/>
        <w:rPr>
          <w:rFonts w:ascii="Arial" w:hAnsi="Arial"/>
          <w:b/>
          <w:bCs/>
          <w:sz w:val="40"/>
          <w:szCs w:val="26"/>
        </w:rPr>
      </w:pPr>
      <w:r w:rsidRPr="00C54FEA">
        <w:rPr>
          <w:rFonts w:ascii="Arial" w:hAnsi="Arial"/>
          <w:b/>
          <w:bCs/>
          <w:sz w:val="40"/>
          <w:szCs w:val="26"/>
        </w:rPr>
        <w:br w:type="page"/>
        <w:t>Building Management and Works</w:t>
      </w:r>
    </w:p>
    <w:p w:rsidR="00881F74" w:rsidRPr="00C54FEA" w:rsidRDefault="00881F74" w:rsidP="00881F74">
      <w:pPr>
        <w:keepNext/>
        <w:spacing w:before="240" w:after="60"/>
        <w:outlineLvl w:val="2"/>
        <w:rPr>
          <w:rFonts w:ascii="Arial" w:hAnsi="Arial"/>
          <w:b/>
          <w:bCs/>
          <w:sz w:val="28"/>
          <w:szCs w:val="26"/>
        </w:rPr>
      </w:pPr>
      <w:r w:rsidRPr="00C54FEA">
        <w:rPr>
          <w:rFonts w:ascii="Arial" w:hAnsi="Arial"/>
          <w:b/>
          <w:bCs/>
          <w:sz w:val="28"/>
          <w:szCs w:val="26"/>
        </w:rPr>
        <w:t>Key effectiveness indicators</w:t>
      </w:r>
    </w:p>
    <w:p w:rsidR="00881F74" w:rsidRPr="00C54FEA" w:rsidRDefault="00881F74" w:rsidP="00881F74">
      <w:pPr>
        <w:keepNext/>
        <w:spacing w:before="240" w:after="60"/>
        <w:outlineLvl w:val="3"/>
        <w:rPr>
          <w:rFonts w:ascii="Arial" w:hAnsi="Arial"/>
          <w:b/>
          <w:bCs/>
          <w:sz w:val="26"/>
          <w:szCs w:val="28"/>
        </w:rPr>
      </w:pPr>
      <w:r w:rsidRPr="00C54FEA">
        <w:rPr>
          <w:rFonts w:ascii="Arial" w:hAnsi="Arial"/>
          <w:b/>
          <w:bCs/>
          <w:sz w:val="26"/>
          <w:szCs w:val="28"/>
        </w:rPr>
        <w:t>Outcome 4: Value-for-money from the management of the Government’s non-residential buildings and public works</w:t>
      </w:r>
    </w:p>
    <w:p w:rsidR="00881F74" w:rsidRPr="00250A72" w:rsidRDefault="00881F74" w:rsidP="00881F74">
      <w:pPr>
        <w:widowControl w:val="0"/>
        <w:kinsoku w:val="0"/>
        <w:overflowPunct w:val="0"/>
        <w:autoSpaceDE w:val="0"/>
        <w:autoSpaceDN w:val="0"/>
        <w:adjustRightInd w:val="0"/>
        <w:spacing w:before="141" w:line="240" w:lineRule="auto"/>
        <w:rPr>
          <w:rFonts w:ascii="Arial" w:hAnsi="Arial" w:cs="Arial"/>
          <w:sz w:val="24"/>
          <w:szCs w:val="24"/>
        </w:rPr>
      </w:pPr>
      <w:r w:rsidRPr="00250A72">
        <w:rPr>
          <w:rFonts w:ascii="Arial" w:hAnsi="Arial" w:cs="Arial"/>
          <w:sz w:val="24"/>
          <w:szCs w:val="24"/>
        </w:rPr>
        <w:t>The Department, through Building Management</w:t>
      </w:r>
      <w:r>
        <w:rPr>
          <w:rFonts w:ascii="Arial" w:hAnsi="Arial" w:cs="Arial"/>
          <w:sz w:val="24"/>
          <w:szCs w:val="24"/>
        </w:rPr>
        <w:t xml:space="preserve"> </w:t>
      </w:r>
      <w:r w:rsidRPr="00250A72">
        <w:rPr>
          <w:rFonts w:ascii="Arial" w:hAnsi="Arial" w:cs="Arial"/>
          <w:sz w:val="24"/>
          <w:szCs w:val="24"/>
        </w:rPr>
        <w:t>and Works, delivers a range of services to lead the</w:t>
      </w:r>
      <w:r>
        <w:rPr>
          <w:rFonts w:ascii="Arial" w:hAnsi="Arial" w:cs="Arial"/>
          <w:sz w:val="24"/>
          <w:szCs w:val="24"/>
        </w:rPr>
        <w:t xml:space="preserve"> </w:t>
      </w:r>
      <w:r w:rsidRPr="00250A72">
        <w:rPr>
          <w:rFonts w:ascii="Arial" w:hAnsi="Arial" w:cs="Arial"/>
          <w:sz w:val="24"/>
          <w:szCs w:val="24"/>
        </w:rPr>
        <w:t>planning and delivery of a property portfolio that</w:t>
      </w:r>
      <w:r>
        <w:rPr>
          <w:rFonts w:ascii="Arial" w:hAnsi="Arial" w:cs="Arial"/>
          <w:sz w:val="24"/>
          <w:szCs w:val="24"/>
        </w:rPr>
        <w:t xml:space="preserve"> </w:t>
      </w:r>
      <w:r w:rsidRPr="00250A72">
        <w:rPr>
          <w:rFonts w:ascii="Arial" w:hAnsi="Arial" w:cs="Arial"/>
          <w:sz w:val="24"/>
          <w:szCs w:val="24"/>
        </w:rPr>
        <w:t>supports the delivery of government services to</w:t>
      </w:r>
      <w:r>
        <w:rPr>
          <w:rFonts w:ascii="Arial" w:hAnsi="Arial" w:cs="Arial"/>
          <w:sz w:val="24"/>
          <w:szCs w:val="24"/>
        </w:rPr>
        <w:t xml:space="preserve"> </w:t>
      </w:r>
      <w:r w:rsidRPr="00250A72">
        <w:rPr>
          <w:rFonts w:ascii="Arial" w:hAnsi="Arial" w:cs="Arial"/>
          <w:sz w:val="24"/>
          <w:szCs w:val="24"/>
        </w:rPr>
        <w:t>the community.</w:t>
      </w:r>
    </w:p>
    <w:p w:rsidR="00881F74" w:rsidRDefault="00881F74" w:rsidP="00881F74">
      <w:pPr>
        <w:widowControl w:val="0"/>
        <w:kinsoku w:val="0"/>
        <w:overflowPunct w:val="0"/>
        <w:autoSpaceDE w:val="0"/>
        <w:autoSpaceDN w:val="0"/>
        <w:adjustRightInd w:val="0"/>
        <w:spacing w:before="141" w:line="240" w:lineRule="auto"/>
        <w:rPr>
          <w:rFonts w:ascii="Arial" w:hAnsi="Arial" w:cs="Arial"/>
          <w:sz w:val="24"/>
          <w:szCs w:val="24"/>
        </w:rPr>
      </w:pPr>
      <w:r w:rsidRPr="00250A72">
        <w:rPr>
          <w:rFonts w:ascii="Arial" w:hAnsi="Arial" w:cs="Arial"/>
          <w:sz w:val="24"/>
          <w:szCs w:val="24"/>
        </w:rPr>
        <w:t>This indicator demonstrates the ability of Building</w:t>
      </w:r>
      <w:r>
        <w:rPr>
          <w:rFonts w:ascii="Arial" w:hAnsi="Arial" w:cs="Arial"/>
          <w:sz w:val="24"/>
          <w:szCs w:val="24"/>
        </w:rPr>
        <w:t xml:space="preserve"> </w:t>
      </w:r>
      <w:r w:rsidRPr="00250A72">
        <w:rPr>
          <w:rFonts w:ascii="Arial" w:hAnsi="Arial" w:cs="Arial"/>
          <w:sz w:val="24"/>
          <w:szCs w:val="24"/>
        </w:rPr>
        <w:t>Management and Works to deliver non-residential</w:t>
      </w:r>
      <w:r>
        <w:rPr>
          <w:rFonts w:ascii="Arial" w:hAnsi="Arial" w:cs="Arial"/>
          <w:sz w:val="24"/>
          <w:szCs w:val="24"/>
        </w:rPr>
        <w:t xml:space="preserve"> </w:t>
      </w:r>
      <w:r w:rsidRPr="00250A72">
        <w:rPr>
          <w:rFonts w:ascii="Arial" w:hAnsi="Arial" w:cs="Arial"/>
          <w:sz w:val="24"/>
          <w:szCs w:val="24"/>
        </w:rPr>
        <w:t>buildings for its client agencies within 10 per cent</w:t>
      </w:r>
      <w:r>
        <w:rPr>
          <w:rFonts w:ascii="Arial" w:hAnsi="Arial" w:cs="Arial"/>
          <w:sz w:val="24"/>
          <w:szCs w:val="24"/>
        </w:rPr>
        <w:t xml:space="preserve"> </w:t>
      </w:r>
      <w:r w:rsidRPr="00250A72">
        <w:rPr>
          <w:rFonts w:ascii="Arial" w:hAnsi="Arial" w:cs="Arial"/>
          <w:sz w:val="24"/>
          <w:szCs w:val="24"/>
        </w:rPr>
        <w:t>of the approved budget and focuses on significant</w:t>
      </w:r>
      <w:r>
        <w:rPr>
          <w:rFonts w:ascii="Arial" w:hAnsi="Arial" w:cs="Arial"/>
          <w:sz w:val="24"/>
          <w:szCs w:val="24"/>
        </w:rPr>
        <w:t xml:space="preserve"> </w:t>
      </w:r>
      <w:r w:rsidRPr="00250A72">
        <w:rPr>
          <w:rFonts w:ascii="Arial" w:hAnsi="Arial" w:cs="Arial"/>
          <w:sz w:val="24"/>
          <w:szCs w:val="24"/>
        </w:rPr>
        <w:t>projects within the works program. Achievement</w:t>
      </w:r>
      <w:r>
        <w:rPr>
          <w:rFonts w:ascii="Arial" w:hAnsi="Arial" w:cs="Arial"/>
          <w:sz w:val="24"/>
          <w:szCs w:val="24"/>
        </w:rPr>
        <w:t xml:space="preserve"> </w:t>
      </w:r>
      <w:r w:rsidRPr="00250A72">
        <w:rPr>
          <w:rFonts w:ascii="Arial" w:hAnsi="Arial" w:cs="Arial"/>
          <w:sz w:val="24"/>
          <w:szCs w:val="24"/>
        </w:rPr>
        <w:t>of projects on-budget is an important requirement</w:t>
      </w:r>
      <w:r>
        <w:rPr>
          <w:rFonts w:ascii="Arial" w:hAnsi="Arial" w:cs="Arial"/>
          <w:sz w:val="24"/>
          <w:szCs w:val="24"/>
        </w:rPr>
        <w:t xml:space="preserve"> </w:t>
      </w:r>
      <w:r w:rsidRPr="00250A72">
        <w:rPr>
          <w:rFonts w:ascii="Arial" w:hAnsi="Arial" w:cs="Arial"/>
          <w:sz w:val="24"/>
          <w:szCs w:val="24"/>
        </w:rPr>
        <w:t>for client agencies and is a key contributor to</w:t>
      </w:r>
      <w:r>
        <w:rPr>
          <w:rFonts w:ascii="Arial" w:hAnsi="Arial" w:cs="Arial"/>
          <w:sz w:val="24"/>
          <w:szCs w:val="24"/>
        </w:rPr>
        <w:t xml:space="preserve"> </w:t>
      </w:r>
      <w:r w:rsidRPr="00250A72">
        <w:rPr>
          <w:rFonts w:ascii="Arial" w:hAnsi="Arial" w:cs="Arial"/>
          <w:sz w:val="24"/>
          <w:szCs w:val="24"/>
        </w:rPr>
        <w:t>value-for-money outcomes.</w:t>
      </w:r>
    </w:p>
    <w:p w:rsidR="00881F74" w:rsidRPr="00C54FEA" w:rsidRDefault="00881F74" w:rsidP="00881F74">
      <w:pPr>
        <w:widowControl w:val="0"/>
        <w:kinsoku w:val="0"/>
        <w:overflowPunct w:val="0"/>
        <w:autoSpaceDE w:val="0"/>
        <w:autoSpaceDN w:val="0"/>
        <w:adjustRightInd w:val="0"/>
        <w:spacing w:before="141" w:line="240" w:lineRule="auto"/>
        <w:rPr>
          <w:rFonts w:ascii="Arial" w:hAnsi="Arial" w:cs="Arial"/>
          <w:sz w:val="24"/>
          <w:szCs w:val="24"/>
        </w:rPr>
      </w:pPr>
    </w:p>
    <w:p w:rsidR="00881F74" w:rsidRPr="00C54FEA" w:rsidRDefault="0085360C" w:rsidP="00881F74">
      <w:pPr>
        <w:keepNext/>
        <w:rPr>
          <w:rFonts w:ascii="Arial" w:hAnsi="Arial"/>
          <w:b/>
          <w:bCs/>
          <w:sz w:val="24"/>
          <w:szCs w:val="20"/>
        </w:rPr>
      </w:pPr>
      <w:r>
        <w:rPr>
          <w:rFonts w:ascii="Arial" w:hAnsi="Arial" w:cs="Arial"/>
          <w:b/>
          <w:sz w:val="24"/>
          <w:szCs w:val="24"/>
        </w:rPr>
        <w:fldChar w:fldCharType="begin"/>
      </w:r>
      <w:r>
        <w:rPr>
          <w:rFonts w:ascii="Arial" w:hAnsi="Arial" w:cs="Arial"/>
          <w:b/>
          <w:sz w:val="24"/>
          <w:szCs w:val="24"/>
        </w:rPr>
        <w:instrText xml:space="preserve"> SEQ Table \* ARABIC </w:instrText>
      </w:r>
      <w:r>
        <w:rPr>
          <w:rFonts w:ascii="Arial" w:hAnsi="Arial" w:cs="Arial"/>
          <w:b/>
          <w:sz w:val="24"/>
          <w:szCs w:val="24"/>
        </w:rPr>
        <w:fldChar w:fldCharType="separate"/>
      </w:r>
      <w:r>
        <w:rPr>
          <w:rFonts w:ascii="Arial" w:hAnsi="Arial" w:cs="Arial"/>
          <w:b/>
          <w:noProof/>
          <w:sz w:val="24"/>
          <w:szCs w:val="24"/>
        </w:rPr>
        <w:t>82</w:t>
      </w:r>
      <w:r>
        <w:rPr>
          <w:rFonts w:ascii="Arial" w:hAnsi="Arial" w:cs="Arial"/>
          <w:b/>
          <w:sz w:val="24"/>
          <w:szCs w:val="24"/>
        </w:rPr>
        <w:fldChar w:fldCharType="end"/>
      </w:r>
      <w:r w:rsidR="00881F74" w:rsidRPr="00C54FEA">
        <w:rPr>
          <w:rFonts w:ascii="Arial" w:hAnsi="Arial"/>
          <w:b/>
          <w:bCs/>
          <w:sz w:val="24"/>
          <w:szCs w:val="20"/>
        </w:rPr>
        <w:t xml:space="preserve"> Building Management and Works: Key effectiveness indicators</w:t>
      </w:r>
    </w:p>
    <w:tbl>
      <w:tblPr>
        <w:tblW w:w="8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094"/>
        <w:gridCol w:w="1095"/>
        <w:gridCol w:w="1095"/>
        <w:gridCol w:w="1095"/>
        <w:gridCol w:w="1095"/>
      </w:tblGrid>
      <w:tr w:rsidR="00881F74" w:rsidRPr="0019353C" w:rsidTr="000D7011">
        <w:tc>
          <w:tcPr>
            <w:tcW w:w="3369" w:type="dxa"/>
            <w:shd w:val="clear" w:color="auto" w:fill="auto"/>
          </w:tcPr>
          <w:p w:rsidR="00881F74" w:rsidRPr="00C54FEA" w:rsidRDefault="00881F74" w:rsidP="000D7011">
            <w:pPr>
              <w:spacing w:before="60" w:after="60" w:line="240" w:lineRule="auto"/>
              <w:rPr>
                <w:rFonts w:ascii="Arial" w:hAnsi="Arial" w:cs="Arial"/>
                <w:b/>
                <w:sz w:val="20"/>
                <w:szCs w:val="20"/>
              </w:rPr>
            </w:pPr>
            <w:r w:rsidRPr="00C54FEA">
              <w:rPr>
                <w:rFonts w:ascii="Arial" w:hAnsi="Arial" w:cs="Arial"/>
                <w:b/>
                <w:sz w:val="20"/>
                <w:szCs w:val="20"/>
              </w:rPr>
              <w:t>Key indicators of effectiveness</w:t>
            </w:r>
          </w:p>
        </w:tc>
        <w:tc>
          <w:tcPr>
            <w:tcW w:w="1094" w:type="dxa"/>
            <w:shd w:val="clear" w:color="auto" w:fill="auto"/>
          </w:tcPr>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2012-13</w:t>
            </w:r>
          </w:p>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actual</w:t>
            </w:r>
          </w:p>
        </w:tc>
        <w:tc>
          <w:tcPr>
            <w:tcW w:w="1095" w:type="dxa"/>
            <w:shd w:val="clear" w:color="auto" w:fill="auto"/>
          </w:tcPr>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2013-14</w:t>
            </w:r>
          </w:p>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actual</w:t>
            </w:r>
          </w:p>
        </w:tc>
        <w:tc>
          <w:tcPr>
            <w:tcW w:w="1095" w:type="dxa"/>
          </w:tcPr>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2014-15</w:t>
            </w:r>
          </w:p>
          <w:p w:rsidR="00881F74" w:rsidRPr="00C54FEA" w:rsidRDefault="00881F74" w:rsidP="000D7011">
            <w:pPr>
              <w:spacing w:before="60" w:after="60" w:line="240" w:lineRule="auto"/>
              <w:jc w:val="right"/>
              <w:rPr>
                <w:rFonts w:ascii="Arial" w:hAnsi="Arial" w:cs="Arial"/>
                <w:b/>
                <w:sz w:val="20"/>
                <w:szCs w:val="20"/>
              </w:rPr>
            </w:pPr>
            <w:r>
              <w:rPr>
                <w:rFonts w:ascii="Arial" w:hAnsi="Arial" w:cs="Arial"/>
                <w:b/>
                <w:sz w:val="20"/>
                <w:szCs w:val="20"/>
              </w:rPr>
              <w:t>actual</w:t>
            </w:r>
          </w:p>
        </w:tc>
        <w:tc>
          <w:tcPr>
            <w:tcW w:w="1095" w:type="dxa"/>
            <w:shd w:val="clear" w:color="auto" w:fill="auto"/>
          </w:tcPr>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201</w:t>
            </w:r>
            <w:r>
              <w:rPr>
                <w:rFonts w:ascii="Arial" w:hAnsi="Arial" w:cs="Arial"/>
                <w:b/>
                <w:sz w:val="20"/>
                <w:szCs w:val="20"/>
              </w:rPr>
              <w:t>5</w:t>
            </w:r>
            <w:r w:rsidRPr="00C54FEA">
              <w:rPr>
                <w:rFonts w:ascii="Arial" w:hAnsi="Arial" w:cs="Arial"/>
                <w:b/>
                <w:sz w:val="20"/>
                <w:szCs w:val="20"/>
              </w:rPr>
              <w:t>-1</w:t>
            </w:r>
            <w:r>
              <w:rPr>
                <w:rFonts w:ascii="Arial" w:hAnsi="Arial" w:cs="Arial"/>
                <w:b/>
                <w:sz w:val="20"/>
                <w:szCs w:val="20"/>
              </w:rPr>
              <w:t>6</w:t>
            </w:r>
          </w:p>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target</w:t>
            </w:r>
          </w:p>
        </w:tc>
        <w:tc>
          <w:tcPr>
            <w:tcW w:w="1095" w:type="dxa"/>
            <w:shd w:val="clear" w:color="auto" w:fill="auto"/>
          </w:tcPr>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201</w:t>
            </w:r>
            <w:r>
              <w:rPr>
                <w:rFonts w:ascii="Arial" w:hAnsi="Arial" w:cs="Arial"/>
                <w:b/>
                <w:sz w:val="20"/>
                <w:szCs w:val="20"/>
              </w:rPr>
              <w:t>5</w:t>
            </w:r>
            <w:r w:rsidRPr="00C54FEA">
              <w:rPr>
                <w:rFonts w:ascii="Arial" w:hAnsi="Arial" w:cs="Arial"/>
                <w:b/>
                <w:sz w:val="20"/>
                <w:szCs w:val="20"/>
              </w:rPr>
              <w:t>-1</w:t>
            </w:r>
            <w:r>
              <w:rPr>
                <w:rFonts w:ascii="Arial" w:hAnsi="Arial" w:cs="Arial"/>
                <w:b/>
                <w:sz w:val="20"/>
                <w:szCs w:val="20"/>
              </w:rPr>
              <w:t>6</w:t>
            </w:r>
          </w:p>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actual</w:t>
            </w:r>
          </w:p>
        </w:tc>
      </w:tr>
      <w:tr w:rsidR="00881F74" w:rsidRPr="0019353C" w:rsidTr="000D7011">
        <w:tc>
          <w:tcPr>
            <w:tcW w:w="3369" w:type="dxa"/>
            <w:shd w:val="clear" w:color="auto" w:fill="auto"/>
          </w:tcPr>
          <w:p w:rsidR="00881F74" w:rsidRPr="00C54FEA" w:rsidRDefault="00881F74" w:rsidP="000D7011">
            <w:pPr>
              <w:spacing w:before="60" w:after="60" w:line="240" w:lineRule="auto"/>
              <w:rPr>
                <w:rFonts w:ascii="Arial" w:hAnsi="Arial" w:cs="Arial"/>
                <w:spacing w:val="-1"/>
                <w:sz w:val="20"/>
                <w:szCs w:val="20"/>
              </w:rPr>
            </w:pPr>
            <w:r w:rsidRPr="00C54FEA">
              <w:rPr>
                <w:rFonts w:ascii="Arial" w:hAnsi="Arial" w:cs="Arial"/>
                <w:sz w:val="20"/>
                <w:szCs w:val="20"/>
              </w:rPr>
              <w:t>Percentage of significant</w:t>
            </w:r>
            <w:r>
              <w:rPr>
                <w:rFonts w:ascii="Arial" w:hAnsi="Arial" w:cs="Arial"/>
                <w:sz w:val="20"/>
                <w:szCs w:val="20"/>
              </w:rPr>
              <w:t xml:space="preserve"> projects in the New Buildings P</w:t>
            </w:r>
            <w:r w:rsidRPr="00C54FEA">
              <w:rPr>
                <w:rFonts w:ascii="Arial" w:hAnsi="Arial" w:cs="Arial"/>
                <w:sz w:val="20"/>
                <w:szCs w:val="20"/>
              </w:rPr>
              <w:t>rogram delivered within 10% of approved budget (%)</w:t>
            </w:r>
            <w:r w:rsidRPr="00C54FEA">
              <w:rPr>
                <w:rFonts w:ascii="Arial" w:hAnsi="Arial" w:cs="Arial"/>
              </w:rPr>
              <w:t xml:space="preserve"> </w:t>
            </w:r>
            <w:r w:rsidRPr="00C54FEA">
              <w:rPr>
                <w:rFonts w:ascii="Arial" w:hAnsi="Arial" w:cs="Arial"/>
                <w:vertAlign w:val="superscript"/>
              </w:rPr>
              <w:t>(a)</w:t>
            </w:r>
          </w:p>
        </w:tc>
        <w:tc>
          <w:tcPr>
            <w:tcW w:w="1094"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100</w:t>
            </w:r>
          </w:p>
        </w:tc>
        <w:tc>
          <w:tcPr>
            <w:tcW w:w="1095"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100</w:t>
            </w:r>
          </w:p>
        </w:tc>
        <w:tc>
          <w:tcPr>
            <w:tcW w:w="1095" w:type="dxa"/>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100</w:t>
            </w:r>
          </w:p>
        </w:tc>
        <w:tc>
          <w:tcPr>
            <w:tcW w:w="1095"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100</w:t>
            </w:r>
          </w:p>
        </w:tc>
        <w:tc>
          <w:tcPr>
            <w:tcW w:w="1095"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100</w:t>
            </w:r>
          </w:p>
        </w:tc>
      </w:tr>
    </w:tbl>
    <w:p w:rsidR="00881F74" w:rsidRPr="00250A72" w:rsidRDefault="00881F74" w:rsidP="000D7011">
      <w:pPr>
        <w:widowControl w:val="0"/>
        <w:numPr>
          <w:ilvl w:val="0"/>
          <w:numId w:val="38"/>
        </w:numPr>
        <w:kinsoku w:val="0"/>
        <w:overflowPunct w:val="0"/>
        <w:autoSpaceDE w:val="0"/>
        <w:autoSpaceDN w:val="0"/>
        <w:adjustRightInd w:val="0"/>
        <w:spacing w:before="141" w:line="240" w:lineRule="auto"/>
        <w:rPr>
          <w:rFonts w:ascii="Arial" w:hAnsi="Arial" w:cs="Arial"/>
          <w:sz w:val="24"/>
          <w:szCs w:val="24"/>
        </w:rPr>
      </w:pPr>
      <w:r w:rsidRPr="00250A72">
        <w:rPr>
          <w:rFonts w:ascii="Arial" w:hAnsi="Arial" w:cs="Arial"/>
          <w:sz w:val="24"/>
          <w:szCs w:val="24"/>
        </w:rPr>
        <w:t>This indicator compares the anticipated final total cost of all projects, with current approved budgets of $5 million or more, that reach handover in the financial year against the current approved budget for the projects. All projects are deemed to meet the effectiveness indicator if the anticipated total cost does not exceed the approved budget by greater than</w:t>
      </w:r>
      <w:r>
        <w:rPr>
          <w:rFonts w:ascii="Arial" w:hAnsi="Arial" w:cs="Arial"/>
          <w:sz w:val="24"/>
          <w:szCs w:val="24"/>
        </w:rPr>
        <w:t xml:space="preserve"> </w:t>
      </w:r>
      <w:r w:rsidRPr="00250A72">
        <w:rPr>
          <w:rFonts w:ascii="Arial" w:hAnsi="Arial" w:cs="Arial"/>
          <w:sz w:val="24"/>
          <w:szCs w:val="24"/>
        </w:rPr>
        <w:t>10 per cent.</w:t>
      </w:r>
    </w:p>
    <w:p w:rsidR="00881F74" w:rsidRPr="00C54FEA" w:rsidRDefault="00881F74" w:rsidP="00881F74">
      <w:pPr>
        <w:keepNext/>
        <w:spacing w:before="240" w:after="60"/>
        <w:outlineLvl w:val="2"/>
        <w:rPr>
          <w:rFonts w:ascii="Arial" w:hAnsi="Arial"/>
          <w:b/>
          <w:bCs/>
          <w:sz w:val="28"/>
          <w:szCs w:val="26"/>
        </w:rPr>
      </w:pPr>
      <w:r w:rsidRPr="00C54FEA">
        <w:rPr>
          <w:rFonts w:ascii="Arial" w:hAnsi="Arial"/>
          <w:b/>
          <w:bCs/>
          <w:sz w:val="28"/>
          <w:szCs w:val="26"/>
        </w:rPr>
        <w:br w:type="page"/>
        <w:t>Key efficiency indicators</w:t>
      </w:r>
    </w:p>
    <w:p w:rsidR="00881F74" w:rsidRPr="00C54FEA" w:rsidRDefault="00881F74" w:rsidP="00881F74">
      <w:pPr>
        <w:keepNext/>
        <w:spacing w:before="240" w:after="60"/>
        <w:outlineLvl w:val="3"/>
        <w:rPr>
          <w:rFonts w:ascii="Arial" w:hAnsi="Arial"/>
          <w:b/>
          <w:bCs/>
          <w:sz w:val="26"/>
          <w:szCs w:val="28"/>
        </w:rPr>
      </w:pPr>
      <w:r w:rsidRPr="00C54FEA">
        <w:rPr>
          <w:rFonts w:ascii="Arial" w:hAnsi="Arial"/>
          <w:b/>
          <w:bCs/>
          <w:sz w:val="26"/>
          <w:szCs w:val="28"/>
        </w:rPr>
        <w:t>Service 4: Leads the planning, delivery, management and maintenance of government buildings, projects and office accommodation</w:t>
      </w:r>
    </w:p>
    <w:p w:rsidR="00881F74" w:rsidRDefault="00881F74" w:rsidP="00881F74">
      <w:pPr>
        <w:widowControl w:val="0"/>
        <w:kinsoku w:val="0"/>
        <w:overflowPunct w:val="0"/>
        <w:autoSpaceDE w:val="0"/>
        <w:autoSpaceDN w:val="0"/>
        <w:adjustRightInd w:val="0"/>
        <w:spacing w:before="141" w:line="240" w:lineRule="auto"/>
        <w:rPr>
          <w:rFonts w:ascii="Arial" w:hAnsi="Arial" w:cs="Arial"/>
          <w:sz w:val="24"/>
          <w:szCs w:val="24"/>
        </w:rPr>
      </w:pPr>
      <w:r w:rsidRPr="00250A72">
        <w:rPr>
          <w:rFonts w:ascii="Arial" w:hAnsi="Arial" w:cs="Arial"/>
          <w:sz w:val="24"/>
          <w:szCs w:val="24"/>
        </w:rPr>
        <w:t>This service leads the planning, delivery and management of a property portfolio that supports the delivery of government services to the community including</w:t>
      </w:r>
      <w:r>
        <w:rPr>
          <w:rFonts w:ascii="Arial" w:hAnsi="Arial" w:cs="Arial"/>
          <w:sz w:val="24"/>
          <w:szCs w:val="24"/>
        </w:rPr>
        <w:t xml:space="preserve"> </w:t>
      </w:r>
      <w:r w:rsidRPr="00250A72">
        <w:rPr>
          <w:rFonts w:ascii="Arial" w:hAnsi="Arial" w:cs="Arial"/>
          <w:sz w:val="24"/>
          <w:szCs w:val="24"/>
        </w:rPr>
        <w:t xml:space="preserve">the delivery of new building works, maintenance programs for existing buildings and office </w:t>
      </w:r>
      <w:r>
        <w:rPr>
          <w:rFonts w:ascii="Arial" w:hAnsi="Arial" w:cs="Arial"/>
          <w:sz w:val="24"/>
          <w:szCs w:val="24"/>
        </w:rPr>
        <w:t>a</w:t>
      </w:r>
      <w:r w:rsidRPr="00250A72">
        <w:rPr>
          <w:rFonts w:ascii="Arial" w:hAnsi="Arial" w:cs="Arial"/>
          <w:sz w:val="24"/>
          <w:szCs w:val="24"/>
        </w:rPr>
        <w:t>ccommodation. These indicators demonstrate the ability of</w:t>
      </w:r>
      <w:r>
        <w:rPr>
          <w:rFonts w:ascii="Arial" w:hAnsi="Arial" w:cs="Arial"/>
          <w:sz w:val="24"/>
          <w:szCs w:val="24"/>
        </w:rPr>
        <w:t xml:space="preserve"> </w:t>
      </w:r>
      <w:r w:rsidRPr="00250A72">
        <w:rPr>
          <w:rFonts w:ascii="Arial" w:hAnsi="Arial" w:cs="Arial"/>
          <w:sz w:val="24"/>
          <w:szCs w:val="24"/>
        </w:rPr>
        <w:t>Building Management and Works to achieve a reduced accommodation footprint for government use, ensure the timely response to maintenance issues and</w:t>
      </w:r>
      <w:r>
        <w:rPr>
          <w:rFonts w:ascii="Arial" w:hAnsi="Arial" w:cs="Arial"/>
          <w:sz w:val="24"/>
          <w:szCs w:val="24"/>
        </w:rPr>
        <w:t xml:space="preserve"> </w:t>
      </w:r>
      <w:r w:rsidRPr="00250A72">
        <w:rPr>
          <w:rFonts w:ascii="Arial" w:hAnsi="Arial" w:cs="Arial"/>
          <w:sz w:val="24"/>
          <w:szCs w:val="24"/>
        </w:rPr>
        <w:t>deliver capital works programs on behalf of client agencies in a timely manner.</w:t>
      </w:r>
    </w:p>
    <w:p w:rsidR="00881F74" w:rsidRPr="00C54FEA" w:rsidRDefault="00881F74" w:rsidP="00881F74">
      <w:pPr>
        <w:widowControl w:val="0"/>
        <w:kinsoku w:val="0"/>
        <w:overflowPunct w:val="0"/>
        <w:autoSpaceDE w:val="0"/>
        <w:autoSpaceDN w:val="0"/>
        <w:adjustRightInd w:val="0"/>
        <w:spacing w:before="141" w:line="240" w:lineRule="auto"/>
        <w:rPr>
          <w:rFonts w:ascii="Arial" w:hAnsi="Arial" w:cs="Arial"/>
          <w:sz w:val="24"/>
          <w:szCs w:val="24"/>
        </w:rPr>
      </w:pPr>
    </w:p>
    <w:p w:rsidR="00881F74" w:rsidRPr="00C54FEA" w:rsidRDefault="00881F74" w:rsidP="00881F74">
      <w:pPr>
        <w:keepNext/>
        <w:rPr>
          <w:rFonts w:ascii="Arial" w:hAnsi="Arial"/>
          <w:b/>
          <w:bCs/>
          <w:sz w:val="24"/>
          <w:szCs w:val="20"/>
        </w:rPr>
      </w:pPr>
      <w:r w:rsidRPr="00FD4C79">
        <w:rPr>
          <w:rFonts w:ascii="Arial" w:hAnsi="Arial" w:cs="Arial"/>
          <w:b/>
          <w:sz w:val="24"/>
          <w:szCs w:val="24"/>
        </w:rPr>
        <w:fldChar w:fldCharType="begin"/>
      </w:r>
      <w:r w:rsidRPr="00FD4C79">
        <w:rPr>
          <w:rFonts w:ascii="Arial" w:hAnsi="Arial" w:cs="Arial"/>
          <w:b/>
          <w:sz w:val="24"/>
          <w:szCs w:val="24"/>
        </w:rPr>
        <w:instrText xml:space="preserve"> SEQ Table \* ARABIC </w:instrText>
      </w:r>
      <w:r w:rsidRPr="00FD4C79">
        <w:rPr>
          <w:rFonts w:ascii="Arial" w:hAnsi="Arial" w:cs="Arial"/>
          <w:b/>
          <w:sz w:val="24"/>
          <w:szCs w:val="24"/>
        </w:rPr>
        <w:fldChar w:fldCharType="separate"/>
      </w:r>
      <w:r w:rsidR="00D8778B">
        <w:rPr>
          <w:rFonts w:ascii="Arial" w:hAnsi="Arial" w:cs="Arial"/>
          <w:b/>
          <w:noProof/>
          <w:sz w:val="24"/>
          <w:szCs w:val="24"/>
        </w:rPr>
        <w:t>83</w:t>
      </w:r>
      <w:r w:rsidRPr="00FD4C79">
        <w:rPr>
          <w:rFonts w:ascii="Arial" w:hAnsi="Arial" w:cs="Arial"/>
          <w:b/>
          <w:sz w:val="24"/>
          <w:szCs w:val="24"/>
        </w:rPr>
        <w:fldChar w:fldCharType="end"/>
      </w:r>
      <w:r w:rsidRPr="00C54FEA">
        <w:rPr>
          <w:rFonts w:ascii="Arial" w:hAnsi="Arial"/>
          <w:b/>
          <w:bCs/>
          <w:sz w:val="24"/>
          <w:szCs w:val="20"/>
        </w:rPr>
        <w:t xml:space="preserve"> Building Management and Works: Key efficiency indicators</w:t>
      </w:r>
    </w:p>
    <w:tbl>
      <w:tblPr>
        <w:tblW w:w="8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094"/>
        <w:gridCol w:w="1095"/>
        <w:gridCol w:w="1095"/>
        <w:gridCol w:w="1095"/>
        <w:gridCol w:w="1095"/>
      </w:tblGrid>
      <w:tr w:rsidR="00881F74" w:rsidRPr="0019353C" w:rsidTr="000D7011">
        <w:tc>
          <w:tcPr>
            <w:tcW w:w="3369" w:type="dxa"/>
            <w:shd w:val="clear" w:color="auto" w:fill="auto"/>
          </w:tcPr>
          <w:p w:rsidR="00881F74" w:rsidRPr="00C54FEA" w:rsidRDefault="00881F74" w:rsidP="000D7011">
            <w:pPr>
              <w:spacing w:before="60" w:after="60" w:line="240" w:lineRule="auto"/>
              <w:rPr>
                <w:rFonts w:ascii="Arial" w:hAnsi="Arial" w:cs="Arial"/>
                <w:b/>
                <w:sz w:val="20"/>
                <w:szCs w:val="20"/>
              </w:rPr>
            </w:pPr>
            <w:r w:rsidRPr="00C54FEA">
              <w:rPr>
                <w:rFonts w:ascii="Arial" w:hAnsi="Arial" w:cs="Arial"/>
                <w:b/>
                <w:sz w:val="20"/>
                <w:szCs w:val="20"/>
              </w:rPr>
              <w:t>Key indicators of efficiency</w:t>
            </w:r>
          </w:p>
        </w:tc>
        <w:tc>
          <w:tcPr>
            <w:tcW w:w="1094" w:type="dxa"/>
            <w:shd w:val="clear" w:color="auto" w:fill="auto"/>
          </w:tcPr>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2012-13</w:t>
            </w:r>
          </w:p>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actual</w:t>
            </w:r>
          </w:p>
        </w:tc>
        <w:tc>
          <w:tcPr>
            <w:tcW w:w="1095" w:type="dxa"/>
            <w:shd w:val="clear" w:color="auto" w:fill="auto"/>
          </w:tcPr>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2013-14</w:t>
            </w:r>
          </w:p>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actual</w:t>
            </w:r>
          </w:p>
        </w:tc>
        <w:tc>
          <w:tcPr>
            <w:tcW w:w="1095" w:type="dxa"/>
          </w:tcPr>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2014-15</w:t>
            </w:r>
          </w:p>
          <w:p w:rsidR="00881F74" w:rsidRPr="00C54FEA" w:rsidRDefault="00881F74" w:rsidP="000D7011">
            <w:pPr>
              <w:spacing w:before="60" w:after="60" w:line="240" w:lineRule="auto"/>
              <w:jc w:val="right"/>
              <w:rPr>
                <w:rFonts w:ascii="Arial" w:hAnsi="Arial" w:cs="Arial"/>
                <w:b/>
                <w:sz w:val="20"/>
                <w:szCs w:val="20"/>
              </w:rPr>
            </w:pPr>
            <w:r>
              <w:rPr>
                <w:rFonts w:ascii="Arial" w:hAnsi="Arial" w:cs="Arial"/>
                <w:b/>
                <w:sz w:val="20"/>
                <w:szCs w:val="20"/>
              </w:rPr>
              <w:t>actual</w:t>
            </w:r>
          </w:p>
        </w:tc>
        <w:tc>
          <w:tcPr>
            <w:tcW w:w="1095" w:type="dxa"/>
            <w:shd w:val="clear" w:color="auto" w:fill="auto"/>
          </w:tcPr>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201</w:t>
            </w:r>
            <w:r>
              <w:rPr>
                <w:rFonts w:ascii="Arial" w:hAnsi="Arial" w:cs="Arial"/>
                <w:b/>
                <w:sz w:val="20"/>
                <w:szCs w:val="20"/>
              </w:rPr>
              <w:t>5</w:t>
            </w:r>
            <w:r w:rsidRPr="00C54FEA">
              <w:rPr>
                <w:rFonts w:ascii="Arial" w:hAnsi="Arial" w:cs="Arial"/>
                <w:b/>
                <w:sz w:val="20"/>
                <w:szCs w:val="20"/>
              </w:rPr>
              <w:t>-1</w:t>
            </w:r>
            <w:r>
              <w:rPr>
                <w:rFonts w:ascii="Arial" w:hAnsi="Arial" w:cs="Arial"/>
                <w:b/>
                <w:sz w:val="20"/>
                <w:szCs w:val="20"/>
              </w:rPr>
              <w:t>6</w:t>
            </w:r>
          </w:p>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target</w:t>
            </w:r>
          </w:p>
        </w:tc>
        <w:tc>
          <w:tcPr>
            <w:tcW w:w="1095" w:type="dxa"/>
            <w:shd w:val="clear" w:color="auto" w:fill="auto"/>
          </w:tcPr>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201</w:t>
            </w:r>
            <w:r>
              <w:rPr>
                <w:rFonts w:ascii="Arial" w:hAnsi="Arial" w:cs="Arial"/>
                <w:b/>
                <w:sz w:val="20"/>
                <w:szCs w:val="20"/>
              </w:rPr>
              <w:t>5</w:t>
            </w:r>
            <w:r w:rsidRPr="00C54FEA">
              <w:rPr>
                <w:rFonts w:ascii="Arial" w:hAnsi="Arial" w:cs="Arial"/>
                <w:b/>
                <w:sz w:val="20"/>
                <w:szCs w:val="20"/>
              </w:rPr>
              <w:t>-1</w:t>
            </w:r>
            <w:r>
              <w:rPr>
                <w:rFonts w:ascii="Arial" w:hAnsi="Arial" w:cs="Arial"/>
                <w:b/>
                <w:sz w:val="20"/>
                <w:szCs w:val="20"/>
              </w:rPr>
              <w:t>6</w:t>
            </w:r>
          </w:p>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actual</w:t>
            </w:r>
          </w:p>
        </w:tc>
      </w:tr>
      <w:tr w:rsidR="00881F74" w:rsidRPr="0019353C" w:rsidTr="000D7011">
        <w:tc>
          <w:tcPr>
            <w:tcW w:w="3369" w:type="dxa"/>
            <w:shd w:val="clear" w:color="auto" w:fill="auto"/>
          </w:tcPr>
          <w:p w:rsidR="00881F74" w:rsidRPr="00C54FEA" w:rsidRDefault="00881F74" w:rsidP="000D7011">
            <w:pPr>
              <w:spacing w:before="60" w:after="60" w:line="240" w:lineRule="auto"/>
              <w:rPr>
                <w:rFonts w:ascii="Arial" w:hAnsi="Arial" w:cs="Arial"/>
                <w:spacing w:val="-1"/>
                <w:sz w:val="20"/>
                <w:szCs w:val="20"/>
              </w:rPr>
            </w:pPr>
            <w:r w:rsidRPr="00C54FEA">
              <w:rPr>
                <w:rFonts w:ascii="Arial" w:hAnsi="Arial" w:cs="Arial"/>
                <w:spacing w:val="-5"/>
                <w:sz w:val="20"/>
              </w:rPr>
              <w:t>Average</w:t>
            </w:r>
            <w:r w:rsidRPr="00C54FEA">
              <w:rPr>
                <w:rFonts w:ascii="Arial" w:hAnsi="Arial" w:cs="Arial"/>
                <w:spacing w:val="-7"/>
                <w:sz w:val="20"/>
              </w:rPr>
              <w:t xml:space="preserve"> </w:t>
            </w:r>
            <w:r w:rsidRPr="00C54FEA">
              <w:rPr>
                <w:rFonts w:ascii="Arial" w:hAnsi="Arial" w:cs="Arial"/>
                <w:spacing w:val="-5"/>
                <w:sz w:val="20"/>
              </w:rPr>
              <w:t>offic</w:t>
            </w:r>
            <w:r w:rsidRPr="00C54FEA">
              <w:rPr>
                <w:rFonts w:ascii="Arial" w:hAnsi="Arial" w:cs="Arial"/>
                <w:spacing w:val="-4"/>
                <w:sz w:val="20"/>
              </w:rPr>
              <w:t>e</w:t>
            </w:r>
            <w:r w:rsidRPr="00C54FEA">
              <w:rPr>
                <w:rFonts w:ascii="Arial" w:hAnsi="Arial" w:cs="Arial"/>
                <w:spacing w:val="26"/>
                <w:sz w:val="20"/>
              </w:rPr>
              <w:t xml:space="preserve"> </w:t>
            </w:r>
            <w:r w:rsidRPr="00C54FEA">
              <w:rPr>
                <w:rFonts w:ascii="Arial" w:hAnsi="Arial" w:cs="Arial"/>
                <w:spacing w:val="-5"/>
                <w:sz w:val="20"/>
              </w:rPr>
              <w:t>accommodation</w:t>
            </w:r>
            <w:r w:rsidRPr="00C54FEA">
              <w:rPr>
                <w:rFonts w:ascii="Arial" w:hAnsi="Arial" w:cs="Arial"/>
                <w:spacing w:val="-8"/>
                <w:sz w:val="20"/>
              </w:rPr>
              <w:t xml:space="preserve"> </w:t>
            </w:r>
            <w:r w:rsidRPr="00C54FEA">
              <w:rPr>
                <w:rFonts w:ascii="Arial" w:hAnsi="Arial" w:cs="Arial"/>
                <w:spacing w:val="-5"/>
                <w:sz w:val="20"/>
              </w:rPr>
              <w:t>floor</w:t>
            </w:r>
            <w:r w:rsidRPr="00C54FEA">
              <w:rPr>
                <w:rFonts w:ascii="Arial" w:hAnsi="Arial" w:cs="Arial"/>
                <w:spacing w:val="-7"/>
                <w:sz w:val="20"/>
              </w:rPr>
              <w:t xml:space="preserve"> </w:t>
            </w:r>
            <w:r w:rsidRPr="00C54FEA">
              <w:rPr>
                <w:rFonts w:ascii="Arial" w:hAnsi="Arial" w:cs="Arial"/>
                <w:spacing w:val="-4"/>
                <w:sz w:val="20"/>
              </w:rPr>
              <w:t>space</w:t>
            </w:r>
            <w:r w:rsidRPr="00C54FEA">
              <w:rPr>
                <w:rFonts w:ascii="Arial" w:hAnsi="Arial" w:cs="Arial"/>
                <w:spacing w:val="37"/>
                <w:sz w:val="20"/>
              </w:rPr>
              <w:t xml:space="preserve"> </w:t>
            </w:r>
            <w:r w:rsidRPr="00C54FEA">
              <w:rPr>
                <w:rFonts w:ascii="Arial" w:hAnsi="Arial" w:cs="Arial"/>
                <w:spacing w:val="-3"/>
                <w:sz w:val="20"/>
              </w:rPr>
              <w:t>per</w:t>
            </w:r>
            <w:r w:rsidRPr="00C54FEA">
              <w:rPr>
                <w:rFonts w:ascii="Arial" w:hAnsi="Arial" w:cs="Arial"/>
                <w:spacing w:val="-4"/>
                <w:sz w:val="20"/>
              </w:rPr>
              <w:t xml:space="preserve"> work</w:t>
            </w:r>
            <w:r w:rsidRPr="00C54FEA">
              <w:rPr>
                <w:rFonts w:ascii="Arial" w:hAnsi="Arial" w:cs="Arial"/>
                <w:spacing w:val="-5"/>
                <w:sz w:val="20"/>
              </w:rPr>
              <w:t xml:space="preserve"> </w:t>
            </w:r>
            <w:r w:rsidRPr="00C54FEA">
              <w:rPr>
                <w:rFonts w:ascii="Arial" w:hAnsi="Arial" w:cs="Arial"/>
                <w:spacing w:val="-4"/>
                <w:sz w:val="20"/>
              </w:rPr>
              <w:t>point</w:t>
            </w:r>
            <w:r w:rsidRPr="00C54FEA">
              <w:rPr>
                <w:spacing w:val="-5"/>
                <w:sz w:val="20"/>
              </w:rPr>
              <w:t xml:space="preserve"> </w:t>
            </w:r>
            <w:r w:rsidRPr="00C54FEA">
              <w:rPr>
                <w:rFonts w:ascii="Arial" w:hAnsi="Arial" w:cs="Arial"/>
                <w:sz w:val="20"/>
                <w:szCs w:val="20"/>
              </w:rPr>
              <w:t>(m</w:t>
            </w:r>
            <w:r w:rsidRPr="00C54FEA">
              <w:rPr>
                <w:rFonts w:ascii="Arial" w:hAnsi="Arial" w:cs="Arial"/>
                <w:sz w:val="20"/>
                <w:szCs w:val="20"/>
                <w:vertAlign w:val="superscript"/>
              </w:rPr>
              <w:t>2</w:t>
            </w:r>
            <w:r w:rsidRPr="00C54FEA">
              <w:rPr>
                <w:rFonts w:ascii="Arial" w:hAnsi="Arial" w:cs="Arial"/>
                <w:sz w:val="20"/>
                <w:szCs w:val="20"/>
              </w:rPr>
              <w:t>)</w:t>
            </w:r>
            <w:r w:rsidRPr="00C54FEA">
              <w:rPr>
                <w:rFonts w:ascii="Arial" w:hAnsi="Arial" w:cs="Arial"/>
                <w:spacing w:val="6"/>
                <w:sz w:val="20"/>
                <w:szCs w:val="20"/>
              </w:rPr>
              <w:t xml:space="preserve"> </w:t>
            </w:r>
            <w:r w:rsidRPr="00C54FEA">
              <w:rPr>
                <w:rFonts w:ascii="Arial" w:hAnsi="Arial" w:cs="Arial"/>
                <w:spacing w:val="-1"/>
                <w:sz w:val="20"/>
                <w:szCs w:val="20"/>
                <w:vertAlign w:val="superscript"/>
              </w:rPr>
              <w:t>(a)</w:t>
            </w:r>
          </w:p>
        </w:tc>
        <w:tc>
          <w:tcPr>
            <w:tcW w:w="1094"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15.9</w:t>
            </w:r>
          </w:p>
        </w:tc>
        <w:tc>
          <w:tcPr>
            <w:tcW w:w="1095"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15.6</w:t>
            </w:r>
          </w:p>
        </w:tc>
        <w:tc>
          <w:tcPr>
            <w:tcW w:w="1095" w:type="dxa"/>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15.</w:t>
            </w:r>
            <w:r>
              <w:rPr>
                <w:rFonts w:ascii="Arial" w:hAnsi="Arial" w:cs="Arial"/>
                <w:spacing w:val="-1"/>
                <w:sz w:val="20"/>
                <w:szCs w:val="20"/>
              </w:rPr>
              <w:t>3</w:t>
            </w:r>
          </w:p>
        </w:tc>
        <w:tc>
          <w:tcPr>
            <w:tcW w:w="1095"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15.0</w:t>
            </w:r>
          </w:p>
        </w:tc>
        <w:tc>
          <w:tcPr>
            <w:tcW w:w="1095"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Pr>
                <w:rFonts w:ascii="Arial" w:hAnsi="Arial" w:cs="Arial"/>
                <w:spacing w:val="-1"/>
                <w:sz w:val="20"/>
                <w:szCs w:val="20"/>
              </w:rPr>
              <w:t xml:space="preserve">15.2 </w:t>
            </w:r>
            <w:r w:rsidRPr="00250A72">
              <w:rPr>
                <w:rFonts w:ascii="Arial" w:hAnsi="Arial" w:cs="Arial"/>
                <w:spacing w:val="-1"/>
                <w:sz w:val="20"/>
                <w:szCs w:val="20"/>
                <w:vertAlign w:val="superscript"/>
              </w:rPr>
              <w:t>(1)</w:t>
            </w:r>
          </w:p>
        </w:tc>
      </w:tr>
      <w:tr w:rsidR="00881F74" w:rsidRPr="0019353C" w:rsidTr="000D7011">
        <w:tc>
          <w:tcPr>
            <w:tcW w:w="3369" w:type="dxa"/>
            <w:shd w:val="clear" w:color="auto" w:fill="auto"/>
          </w:tcPr>
          <w:p w:rsidR="00881F74" w:rsidRPr="00C54FEA" w:rsidRDefault="00881F74" w:rsidP="000D7011">
            <w:pPr>
              <w:spacing w:before="60" w:after="60" w:line="240" w:lineRule="auto"/>
              <w:rPr>
                <w:rFonts w:ascii="Arial" w:hAnsi="Arial" w:cs="Arial"/>
                <w:spacing w:val="-1"/>
                <w:sz w:val="20"/>
                <w:szCs w:val="20"/>
              </w:rPr>
            </w:pPr>
            <w:r w:rsidRPr="00C54FEA">
              <w:rPr>
                <w:rFonts w:ascii="Arial" w:hAnsi="Arial" w:cs="Arial"/>
                <w:sz w:val="20"/>
                <w:szCs w:val="20"/>
              </w:rPr>
              <w:t>Percentage of maintenance services delivered within 10% of approved timeframe (%)</w:t>
            </w:r>
            <w:r w:rsidRPr="00C54FEA">
              <w:t xml:space="preserve"> </w:t>
            </w:r>
            <w:r w:rsidRPr="00C54FEA">
              <w:rPr>
                <w:rFonts w:ascii="Arial" w:hAnsi="Arial" w:cs="Arial"/>
                <w:spacing w:val="-1"/>
                <w:sz w:val="20"/>
                <w:szCs w:val="20"/>
                <w:vertAlign w:val="superscript"/>
              </w:rPr>
              <w:t>(b)</w:t>
            </w:r>
          </w:p>
        </w:tc>
        <w:tc>
          <w:tcPr>
            <w:tcW w:w="1094"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N/A</w:t>
            </w:r>
          </w:p>
        </w:tc>
        <w:tc>
          <w:tcPr>
            <w:tcW w:w="1095"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76.2</w:t>
            </w:r>
          </w:p>
        </w:tc>
        <w:tc>
          <w:tcPr>
            <w:tcW w:w="1095" w:type="dxa"/>
          </w:tcPr>
          <w:p w:rsidR="00881F74" w:rsidRPr="00C54FEA" w:rsidRDefault="00881F74" w:rsidP="000D7011">
            <w:pPr>
              <w:spacing w:before="60" w:after="60" w:line="240" w:lineRule="auto"/>
              <w:jc w:val="right"/>
              <w:rPr>
                <w:rFonts w:ascii="Arial" w:hAnsi="Arial" w:cs="Arial"/>
                <w:spacing w:val="-1"/>
                <w:sz w:val="20"/>
                <w:szCs w:val="20"/>
              </w:rPr>
            </w:pPr>
            <w:r>
              <w:rPr>
                <w:rFonts w:ascii="Arial" w:hAnsi="Arial" w:cs="Arial"/>
                <w:spacing w:val="-1"/>
                <w:sz w:val="20"/>
                <w:szCs w:val="20"/>
              </w:rPr>
              <w:t>75.4</w:t>
            </w:r>
          </w:p>
        </w:tc>
        <w:tc>
          <w:tcPr>
            <w:tcW w:w="1095"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80</w:t>
            </w:r>
          </w:p>
        </w:tc>
        <w:tc>
          <w:tcPr>
            <w:tcW w:w="1095"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75.4</w:t>
            </w:r>
            <w:r w:rsidRPr="00C54FEA">
              <w:rPr>
                <w:rFonts w:ascii="Arial" w:hAnsi="Arial" w:cs="Arial"/>
                <w:spacing w:val="-1"/>
                <w:sz w:val="20"/>
                <w:szCs w:val="20"/>
                <w:vertAlign w:val="superscript"/>
              </w:rPr>
              <w:t>(</w:t>
            </w:r>
            <w:r>
              <w:rPr>
                <w:rFonts w:ascii="Arial" w:hAnsi="Arial" w:cs="Arial"/>
                <w:spacing w:val="-1"/>
                <w:sz w:val="20"/>
                <w:szCs w:val="20"/>
                <w:vertAlign w:val="superscript"/>
              </w:rPr>
              <w:t>2</w:t>
            </w:r>
            <w:r w:rsidRPr="00C54FEA">
              <w:rPr>
                <w:rFonts w:ascii="Arial" w:hAnsi="Arial" w:cs="Arial"/>
                <w:spacing w:val="-1"/>
                <w:sz w:val="20"/>
                <w:szCs w:val="20"/>
                <w:vertAlign w:val="superscript"/>
              </w:rPr>
              <w:t>)</w:t>
            </w:r>
          </w:p>
        </w:tc>
      </w:tr>
      <w:tr w:rsidR="00881F74" w:rsidRPr="0019353C" w:rsidTr="000D7011">
        <w:tc>
          <w:tcPr>
            <w:tcW w:w="3369" w:type="dxa"/>
            <w:shd w:val="clear" w:color="auto" w:fill="auto"/>
          </w:tcPr>
          <w:p w:rsidR="00881F74" w:rsidRPr="00C54FEA" w:rsidRDefault="00881F74" w:rsidP="000D7011">
            <w:pPr>
              <w:spacing w:before="60" w:after="60" w:line="240" w:lineRule="auto"/>
              <w:rPr>
                <w:rFonts w:ascii="Arial" w:hAnsi="Arial" w:cs="Arial"/>
                <w:spacing w:val="-1"/>
                <w:sz w:val="20"/>
                <w:szCs w:val="20"/>
              </w:rPr>
            </w:pPr>
            <w:r w:rsidRPr="00C54FEA">
              <w:rPr>
                <w:rFonts w:ascii="Arial" w:hAnsi="Arial" w:cs="Arial"/>
                <w:sz w:val="20"/>
                <w:szCs w:val="20"/>
              </w:rPr>
              <w:t>Percentage of significant projects in New Buildings Program delivered within three months of approved timeframe</w:t>
            </w:r>
            <w:r w:rsidRPr="00C54FEA">
              <w:t xml:space="preserve">  (%)</w:t>
            </w:r>
            <w:r w:rsidRPr="00C54FEA">
              <w:rPr>
                <w:rFonts w:ascii="Arial" w:hAnsi="Arial" w:cs="Arial"/>
                <w:spacing w:val="-1"/>
                <w:sz w:val="20"/>
                <w:szCs w:val="20"/>
                <w:vertAlign w:val="superscript"/>
              </w:rPr>
              <w:t>(c)</w:t>
            </w:r>
          </w:p>
        </w:tc>
        <w:tc>
          <w:tcPr>
            <w:tcW w:w="1094"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78</w:t>
            </w:r>
          </w:p>
          <w:p w:rsidR="00881F74" w:rsidRPr="00C54FEA" w:rsidRDefault="00881F74" w:rsidP="000D7011">
            <w:pPr>
              <w:spacing w:before="60" w:after="60" w:line="240" w:lineRule="auto"/>
              <w:jc w:val="right"/>
              <w:rPr>
                <w:rFonts w:ascii="Arial" w:hAnsi="Arial" w:cs="Arial"/>
                <w:spacing w:val="-1"/>
                <w:sz w:val="20"/>
                <w:szCs w:val="20"/>
              </w:rPr>
            </w:pPr>
          </w:p>
        </w:tc>
        <w:tc>
          <w:tcPr>
            <w:tcW w:w="1095"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93</w:t>
            </w:r>
          </w:p>
          <w:p w:rsidR="00881F74" w:rsidRPr="00C54FEA" w:rsidRDefault="00881F74" w:rsidP="000D7011">
            <w:pPr>
              <w:spacing w:before="60" w:after="60" w:line="240" w:lineRule="auto"/>
              <w:jc w:val="right"/>
              <w:rPr>
                <w:rFonts w:ascii="Arial" w:hAnsi="Arial" w:cs="Arial"/>
                <w:spacing w:val="-1"/>
                <w:sz w:val="20"/>
                <w:szCs w:val="20"/>
              </w:rPr>
            </w:pPr>
          </w:p>
        </w:tc>
        <w:tc>
          <w:tcPr>
            <w:tcW w:w="1095" w:type="dxa"/>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9</w:t>
            </w:r>
            <w:r>
              <w:rPr>
                <w:rFonts w:ascii="Arial" w:hAnsi="Arial" w:cs="Arial"/>
                <w:spacing w:val="-1"/>
                <w:sz w:val="20"/>
                <w:szCs w:val="20"/>
              </w:rPr>
              <w:t>6</w:t>
            </w:r>
          </w:p>
          <w:p w:rsidR="00881F74" w:rsidRPr="00C54FEA" w:rsidRDefault="00881F74" w:rsidP="000D7011">
            <w:pPr>
              <w:spacing w:before="60" w:after="60" w:line="240" w:lineRule="auto"/>
              <w:jc w:val="right"/>
              <w:rPr>
                <w:rFonts w:ascii="Arial" w:hAnsi="Arial" w:cs="Arial"/>
                <w:spacing w:val="-1"/>
                <w:sz w:val="20"/>
                <w:szCs w:val="20"/>
              </w:rPr>
            </w:pPr>
          </w:p>
        </w:tc>
        <w:tc>
          <w:tcPr>
            <w:tcW w:w="1095"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Pr>
                <w:rFonts w:ascii="Arial" w:hAnsi="Arial" w:cs="Arial"/>
                <w:spacing w:val="-1"/>
                <w:sz w:val="20"/>
                <w:szCs w:val="20"/>
              </w:rPr>
              <w:t>90</w:t>
            </w:r>
          </w:p>
          <w:p w:rsidR="00881F74" w:rsidRPr="00C54FEA" w:rsidRDefault="00881F74" w:rsidP="000D7011">
            <w:pPr>
              <w:spacing w:before="60" w:after="60" w:line="240" w:lineRule="auto"/>
              <w:jc w:val="right"/>
              <w:rPr>
                <w:rFonts w:ascii="Arial" w:hAnsi="Arial" w:cs="Arial"/>
                <w:spacing w:val="-1"/>
                <w:sz w:val="20"/>
                <w:szCs w:val="20"/>
              </w:rPr>
            </w:pPr>
          </w:p>
        </w:tc>
        <w:tc>
          <w:tcPr>
            <w:tcW w:w="1095"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vertAlign w:val="superscript"/>
              </w:rPr>
            </w:pPr>
            <w:r>
              <w:rPr>
                <w:rFonts w:ascii="Arial" w:hAnsi="Arial" w:cs="Arial"/>
                <w:spacing w:val="-1"/>
                <w:sz w:val="20"/>
                <w:szCs w:val="20"/>
              </w:rPr>
              <w:t>100</w:t>
            </w:r>
            <w:r w:rsidRPr="00C54FEA">
              <w:rPr>
                <w:rFonts w:ascii="Arial" w:hAnsi="Arial" w:cs="Arial"/>
                <w:spacing w:val="-1"/>
                <w:sz w:val="20"/>
                <w:szCs w:val="20"/>
                <w:vertAlign w:val="superscript"/>
              </w:rPr>
              <w:t>(</w:t>
            </w:r>
            <w:r>
              <w:rPr>
                <w:rFonts w:ascii="Arial" w:hAnsi="Arial" w:cs="Arial"/>
                <w:spacing w:val="-1"/>
                <w:sz w:val="20"/>
                <w:szCs w:val="20"/>
                <w:vertAlign w:val="superscript"/>
              </w:rPr>
              <w:t>3</w:t>
            </w:r>
            <w:r w:rsidRPr="00C54FEA">
              <w:rPr>
                <w:rFonts w:ascii="Arial" w:hAnsi="Arial" w:cs="Arial"/>
                <w:spacing w:val="-1"/>
                <w:sz w:val="20"/>
                <w:szCs w:val="20"/>
                <w:vertAlign w:val="superscript"/>
              </w:rPr>
              <w:t>)</w:t>
            </w:r>
          </w:p>
          <w:p w:rsidR="00881F74" w:rsidRPr="00C54FEA" w:rsidRDefault="00881F74" w:rsidP="000D7011">
            <w:pPr>
              <w:spacing w:before="60" w:after="60" w:line="240" w:lineRule="auto"/>
              <w:jc w:val="right"/>
              <w:rPr>
                <w:rFonts w:ascii="Arial" w:hAnsi="Arial" w:cs="Arial"/>
                <w:spacing w:val="-1"/>
                <w:sz w:val="20"/>
                <w:szCs w:val="20"/>
              </w:rPr>
            </w:pPr>
          </w:p>
        </w:tc>
      </w:tr>
    </w:tbl>
    <w:p w:rsidR="00881F74" w:rsidRPr="00C54FEA" w:rsidRDefault="00881F74" w:rsidP="000D7011">
      <w:pPr>
        <w:widowControl w:val="0"/>
        <w:numPr>
          <w:ilvl w:val="0"/>
          <w:numId w:val="40"/>
        </w:numPr>
        <w:kinsoku w:val="0"/>
        <w:overflowPunct w:val="0"/>
        <w:autoSpaceDE w:val="0"/>
        <w:autoSpaceDN w:val="0"/>
        <w:adjustRightInd w:val="0"/>
        <w:spacing w:before="141" w:line="240" w:lineRule="auto"/>
        <w:rPr>
          <w:rFonts w:ascii="Arial" w:hAnsi="Arial" w:cs="Arial"/>
          <w:sz w:val="24"/>
          <w:szCs w:val="24"/>
        </w:rPr>
      </w:pPr>
      <w:r w:rsidRPr="00C54FEA">
        <w:rPr>
          <w:rFonts w:ascii="Arial" w:hAnsi="Arial" w:cs="Arial"/>
          <w:sz w:val="24"/>
          <w:szCs w:val="24"/>
        </w:rPr>
        <w:t xml:space="preserve">This indicator measures the utilisation of </w:t>
      </w:r>
      <w:r>
        <w:rPr>
          <w:rFonts w:ascii="Arial" w:hAnsi="Arial" w:cs="Arial"/>
          <w:sz w:val="24"/>
          <w:szCs w:val="24"/>
        </w:rPr>
        <w:t>g</w:t>
      </w:r>
      <w:r w:rsidRPr="00C54FEA">
        <w:rPr>
          <w:rFonts w:ascii="Arial" w:hAnsi="Arial" w:cs="Arial"/>
          <w:sz w:val="24"/>
          <w:szCs w:val="24"/>
        </w:rPr>
        <w:t xml:space="preserve">overnment office accommodation through determining the average amount of floor area allocated per workspace across the </w:t>
      </w:r>
      <w:r>
        <w:rPr>
          <w:rFonts w:ascii="Arial" w:hAnsi="Arial" w:cs="Arial"/>
          <w:sz w:val="24"/>
          <w:szCs w:val="24"/>
        </w:rPr>
        <w:t>g</w:t>
      </w:r>
      <w:r w:rsidRPr="00C54FEA">
        <w:rPr>
          <w:rFonts w:ascii="Arial" w:hAnsi="Arial" w:cs="Arial"/>
          <w:sz w:val="24"/>
          <w:szCs w:val="24"/>
        </w:rPr>
        <w:t>overnment office accommodation portfolio.</w:t>
      </w:r>
    </w:p>
    <w:p w:rsidR="00881F74" w:rsidRPr="00250A72" w:rsidRDefault="00881F74" w:rsidP="000D7011">
      <w:pPr>
        <w:widowControl w:val="0"/>
        <w:numPr>
          <w:ilvl w:val="0"/>
          <w:numId w:val="40"/>
        </w:numPr>
        <w:kinsoku w:val="0"/>
        <w:overflowPunct w:val="0"/>
        <w:autoSpaceDE w:val="0"/>
        <w:autoSpaceDN w:val="0"/>
        <w:adjustRightInd w:val="0"/>
        <w:spacing w:before="141" w:line="240" w:lineRule="auto"/>
        <w:rPr>
          <w:rFonts w:ascii="Arial" w:hAnsi="Arial" w:cs="Arial"/>
          <w:sz w:val="24"/>
          <w:szCs w:val="24"/>
        </w:rPr>
      </w:pPr>
      <w:r w:rsidRPr="00250A72">
        <w:rPr>
          <w:rFonts w:ascii="Arial" w:hAnsi="Arial" w:cs="Arial"/>
          <w:sz w:val="24"/>
          <w:szCs w:val="24"/>
        </w:rPr>
        <w:t>The indicator measures the percentage of high priority breakdown repairs attended to within 10 per cent of the approved timeframe across the State. High priority breakdowns are more time-critical and typically include breakdowns or failures that have an immediate adverse effect on the security, safety and/or health of occupants. This indicator was created in 2013-14 and hence,</w:t>
      </w:r>
      <w:r>
        <w:rPr>
          <w:rFonts w:ascii="Arial" w:hAnsi="Arial" w:cs="Arial"/>
          <w:sz w:val="24"/>
          <w:szCs w:val="24"/>
        </w:rPr>
        <w:t xml:space="preserve"> </w:t>
      </w:r>
      <w:r w:rsidRPr="00250A72">
        <w:rPr>
          <w:rFonts w:ascii="Arial" w:hAnsi="Arial" w:cs="Arial"/>
          <w:sz w:val="24"/>
          <w:szCs w:val="24"/>
        </w:rPr>
        <w:t>there are no comparatives available for 2012-13</w:t>
      </w:r>
      <w:r>
        <w:rPr>
          <w:rFonts w:ascii="Arial" w:hAnsi="Arial" w:cs="Arial"/>
          <w:sz w:val="24"/>
          <w:szCs w:val="24"/>
        </w:rPr>
        <w:t>.</w:t>
      </w:r>
    </w:p>
    <w:p w:rsidR="00881F74" w:rsidRPr="00250A72" w:rsidRDefault="00881F74" w:rsidP="000D7011">
      <w:pPr>
        <w:widowControl w:val="0"/>
        <w:numPr>
          <w:ilvl w:val="0"/>
          <w:numId w:val="40"/>
        </w:numPr>
        <w:kinsoku w:val="0"/>
        <w:overflowPunct w:val="0"/>
        <w:autoSpaceDE w:val="0"/>
        <w:autoSpaceDN w:val="0"/>
        <w:adjustRightInd w:val="0"/>
        <w:spacing w:before="141" w:line="240" w:lineRule="auto"/>
        <w:rPr>
          <w:rFonts w:ascii="Arial" w:hAnsi="Arial" w:cs="Arial"/>
          <w:sz w:val="24"/>
          <w:szCs w:val="24"/>
        </w:rPr>
      </w:pPr>
      <w:r w:rsidRPr="00250A72">
        <w:rPr>
          <w:rFonts w:ascii="Arial" w:hAnsi="Arial" w:cs="Arial"/>
          <w:sz w:val="24"/>
          <w:szCs w:val="24"/>
        </w:rPr>
        <w:t>This indicator measures the percentage of projects with current approved budgets of $5 million or more that have been handed over to the client agency within three months of the approved</w:t>
      </w:r>
      <w:r>
        <w:rPr>
          <w:rFonts w:ascii="Arial" w:hAnsi="Arial" w:cs="Arial"/>
          <w:sz w:val="24"/>
          <w:szCs w:val="24"/>
        </w:rPr>
        <w:t xml:space="preserve"> </w:t>
      </w:r>
      <w:r w:rsidRPr="00250A72">
        <w:rPr>
          <w:rFonts w:ascii="Arial" w:hAnsi="Arial" w:cs="Arial"/>
          <w:sz w:val="24"/>
          <w:szCs w:val="24"/>
        </w:rPr>
        <w:t>date for handover in the current financial year.</w:t>
      </w:r>
    </w:p>
    <w:p w:rsidR="00881F74" w:rsidRDefault="00881F74" w:rsidP="000D7011">
      <w:pPr>
        <w:keepLines/>
        <w:widowControl w:val="0"/>
        <w:numPr>
          <w:ilvl w:val="0"/>
          <w:numId w:val="39"/>
        </w:numPr>
        <w:kinsoku w:val="0"/>
        <w:overflowPunct w:val="0"/>
        <w:autoSpaceDE w:val="0"/>
        <w:autoSpaceDN w:val="0"/>
        <w:adjustRightInd w:val="0"/>
        <w:spacing w:before="141" w:line="240" w:lineRule="auto"/>
        <w:jc w:val="both"/>
        <w:rPr>
          <w:rFonts w:ascii="Arial" w:hAnsi="Arial"/>
          <w:sz w:val="24"/>
          <w:szCs w:val="20"/>
        </w:rPr>
      </w:pPr>
      <w:r w:rsidRPr="00250A72">
        <w:rPr>
          <w:rFonts w:ascii="Arial" w:hAnsi="Arial"/>
          <w:sz w:val="24"/>
          <w:szCs w:val="20"/>
        </w:rPr>
        <w:t>The average accommodation floor space per work point has been reducing over time mainly due to new fitouts being undertaken on the basis of lower space usage per work point. As more fitouts occur over time using this approach, the average will reduce even further and this will provide cost</w:t>
      </w:r>
      <w:r>
        <w:rPr>
          <w:rFonts w:ascii="Arial" w:hAnsi="Arial"/>
          <w:sz w:val="24"/>
          <w:szCs w:val="20"/>
        </w:rPr>
        <w:t xml:space="preserve"> </w:t>
      </w:r>
      <w:r w:rsidRPr="00250A72">
        <w:rPr>
          <w:rFonts w:ascii="Arial" w:hAnsi="Arial"/>
          <w:sz w:val="24"/>
          <w:szCs w:val="20"/>
        </w:rPr>
        <w:t>savings to government</w:t>
      </w:r>
      <w:r>
        <w:rPr>
          <w:rFonts w:ascii="Arial" w:hAnsi="Arial"/>
          <w:sz w:val="24"/>
          <w:szCs w:val="20"/>
        </w:rPr>
        <w:t>.</w:t>
      </w:r>
    </w:p>
    <w:p w:rsidR="00EC31C1" w:rsidRDefault="00881F74" w:rsidP="00EC31C1">
      <w:pPr>
        <w:keepLines/>
        <w:widowControl w:val="0"/>
        <w:numPr>
          <w:ilvl w:val="0"/>
          <w:numId w:val="39"/>
        </w:numPr>
        <w:kinsoku w:val="0"/>
        <w:overflowPunct w:val="0"/>
        <w:autoSpaceDE w:val="0"/>
        <w:autoSpaceDN w:val="0"/>
        <w:adjustRightInd w:val="0"/>
        <w:spacing w:before="141" w:line="240" w:lineRule="auto"/>
        <w:jc w:val="both"/>
        <w:rPr>
          <w:rFonts w:ascii="Arial" w:hAnsi="Arial"/>
          <w:sz w:val="24"/>
          <w:szCs w:val="20"/>
        </w:rPr>
      </w:pPr>
      <w:r w:rsidRPr="00250A72">
        <w:rPr>
          <w:rFonts w:ascii="Arial" w:hAnsi="Arial"/>
          <w:sz w:val="24"/>
          <w:szCs w:val="20"/>
        </w:rPr>
        <w:t>The variance between the 2015-16 actual and the 2015-16 target is related to the delivery of maintenance services in high security areas, such as police stations and prisons, which required greater precautions being taken.</w:t>
      </w:r>
      <w:r>
        <w:rPr>
          <w:rFonts w:ascii="Arial" w:hAnsi="Arial"/>
          <w:sz w:val="24"/>
          <w:szCs w:val="20"/>
        </w:rPr>
        <w:t xml:space="preserve"> </w:t>
      </w:r>
      <w:r w:rsidRPr="00250A72">
        <w:rPr>
          <w:rFonts w:ascii="Arial" w:hAnsi="Arial"/>
          <w:sz w:val="24"/>
          <w:szCs w:val="20"/>
        </w:rPr>
        <w:t>This impacted on the time taken to deliver those services.</w:t>
      </w:r>
    </w:p>
    <w:p w:rsidR="00E263DC" w:rsidRPr="00EC31C1" w:rsidRDefault="00881F74" w:rsidP="00EC31C1">
      <w:pPr>
        <w:keepLines/>
        <w:widowControl w:val="0"/>
        <w:numPr>
          <w:ilvl w:val="0"/>
          <w:numId w:val="39"/>
        </w:numPr>
        <w:kinsoku w:val="0"/>
        <w:overflowPunct w:val="0"/>
        <w:autoSpaceDE w:val="0"/>
        <w:autoSpaceDN w:val="0"/>
        <w:adjustRightInd w:val="0"/>
        <w:spacing w:before="141" w:line="240" w:lineRule="auto"/>
        <w:jc w:val="both"/>
        <w:rPr>
          <w:rFonts w:ascii="Arial" w:hAnsi="Arial"/>
          <w:sz w:val="24"/>
          <w:szCs w:val="20"/>
        </w:rPr>
      </w:pPr>
      <w:r w:rsidRPr="00EC31C1">
        <w:rPr>
          <w:rFonts w:ascii="Arial" w:hAnsi="Arial"/>
          <w:sz w:val="24"/>
          <w:szCs w:val="20"/>
        </w:rPr>
        <w:t>The increase in the 2015-16 actual from the 2015-16 target highlights Building Management and Works’ continued focus on reviewing and improving processes and policies in relation to managing building construction projects.</w:t>
      </w:r>
      <w:r w:rsidR="00E263DC" w:rsidRPr="00EC31C1">
        <w:rPr>
          <w:rFonts w:ascii="Arial" w:hAnsi="Arial"/>
          <w:b/>
          <w:bCs/>
          <w:sz w:val="40"/>
          <w:szCs w:val="26"/>
        </w:rPr>
        <w:t xml:space="preserve"> </w:t>
      </w:r>
    </w:p>
    <w:p w:rsidR="00E263DC" w:rsidRDefault="00E263DC">
      <w:pPr>
        <w:spacing w:after="0" w:line="240" w:lineRule="auto"/>
        <w:rPr>
          <w:rFonts w:ascii="Arial" w:hAnsi="Arial"/>
          <w:b/>
          <w:bCs/>
          <w:sz w:val="40"/>
          <w:szCs w:val="26"/>
        </w:rPr>
      </w:pPr>
      <w:r>
        <w:rPr>
          <w:rFonts w:ascii="Arial" w:hAnsi="Arial"/>
          <w:b/>
          <w:bCs/>
          <w:sz w:val="40"/>
          <w:szCs w:val="26"/>
        </w:rPr>
        <w:br w:type="page"/>
      </w:r>
    </w:p>
    <w:p w:rsidR="00881F74" w:rsidRPr="00C54FEA" w:rsidRDefault="00881F74" w:rsidP="00E263DC">
      <w:pPr>
        <w:keepLines/>
        <w:widowControl w:val="0"/>
        <w:kinsoku w:val="0"/>
        <w:overflowPunct w:val="0"/>
        <w:autoSpaceDE w:val="0"/>
        <w:autoSpaceDN w:val="0"/>
        <w:adjustRightInd w:val="0"/>
        <w:spacing w:before="141" w:line="240" w:lineRule="auto"/>
        <w:jc w:val="both"/>
        <w:rPr>
          <w:rFonts w:ascii="Arial" w:hAnsi="Arial"/>
          <w:b/>
          <w:bCs/>
          <w:sz w:val="40"/>
          <w:szCs w:val="26"/>
        </w:rPr>
      </w:pPr>
      <w:r w:rsidRPr="00C54FEA">
        <w:rPr>
          <w:rFonts w:ascii="Arial" w:hAnsi="Arial"/>
          <w:b/>
          <w:bCs/>
          <w:sz w:val="40"/>
          <w:szCs w:val="26"/>
        </w:rPr>
        <w:t>Public Utilities Office and Economic Reform</w:t>
      </w:r>
    </w:p>
    <w:p w:rsidR="00881F74" w:rsidRPr="00C54FEA" w:rsidRDefault="00881F74" w:rsidP="00881F74">
      <w:pPr>
        <w:keepNext/>
        <w:spacing w:before="240" w:after="60"/>
        <w:outlineLvl w:val="2"/>
        <w:rPr>
          <w:rFonts w:ascii="Arial" w:hAnsi="Arial"/>
          <w:b/>
          <w:bCs/>
          <w:sz w:val="28"/>
          <w:szCs w:val="26"/>
        </w:rPr>
      </w:pPr>
      <w:r w:rsidRPr="00C54FEA">
        <w:rPr>
          <w:rFonts w:ascii="Arial" w:hAnsi="Arial"/>
          <w:b/>
          <w:bCs/>
          <w:sz w:val="28"/>
          <w:szCs w:val="26"/>
        </w:rPr>
        <w:t>Key effectiveness indicators</w:t>
      </w:r>
    </w:p>
    <w:p w:rsidR="00881F74" w:rsidRPr="00C54FEA" w:rsidRDefault="00881F74" w:rsidP="00881F74">
      <w:pPr>
        <w:keepNext/>
        <w:spacing w:before="240" w:after="60"/>
        <w:outlineLvl w:val="3"/>
        <w:rPr>
          <w:rFonts w:ascii="Arial" w:hAnsi="Arial"/>
          <w:b/>
          <w:bCs/>
          <w:sz w:val="26"/>
          <w:szCs w:val="28"/>
        </w:rPr>
      </w:pPr>
      <w:r w:rsidRPr="00C54FEA">
        <w:rPr>
          <w:rFonts w:ascii="Arial" w:hAnsi="Arial"/>
          <w:b/>
          <w:bCs/>
          <w:sz w:val="26"/>
          <w:szCs w:val="28"/>
        </w:rPr>
        <w:t>Outcome 5: A sustainable, efficient, secure and affordable energy sector</w:t>
      </w:r>
    </w:p>
    <w:p w:rsidR="00881F74" w:rsidRPr="00C54FEA" w:rsidRDefault="00881F74" w:rsidP="00881F74">
      <w:pPr>
        <w:widowControl w:val="0"/>
        <w:kinsoku w:val="0"/>
        <w:overflowPunct w:val="0"/>
        <w:autoSpaceDE w:val="0"/>
        <w:autoSpaceDN w:val="0"/>
        <w:adjustRightInd w:val="0"/>
        <w:spacing w:before="141" w:line="240" w:lineRule="auto"/>
        <w:rPr>
          <w:rFonts w:ascii="Arial" w:hAnsi="Arial" w:cs="Arial"/>
          <w:sz w:val="24"/>
          <w:szCs w:val="24"/>
        </w:rPr>
      </w:pPr>
      <w:r w:rsidRPr="00C54FEA">
        <w:rPr>
          <w:rFonts w:ascii="Arial" w:hAnsi="Arial" w:cs="Arial"/>
          <w:sz w:val="24"/>
          <w:szCs w:val="24"/>
        </w:rPr>
        <w:t>The delivery of impartial, high-quality advice on matters in the energy portfolio assists government to make well-informed decisions that contribute to a sustainable, efficient, secure and affordable energy sector.</w:t>
      </w:r>
    </w:p>
    <w:p w:rsidR="00881F74" w:rsidRPr="00C54FEA" w:rsidRDefault="00881F74" w:rsidP="00881F74">
      <w:pPr>
        <w:widowControl w:val="0"/>
        <w:kinsoku w:val="0"/>
        <w:overflowPunct w:val="0"/>
        <w:autoSpaceDE w:val="0"/>
        <w:autoSpaceDN w:val="0"/>
        <w:adjustRightInd w:val="0"/>
        <w:spacing w:before="141" w:line="240" w:lineRule="auto"/>
        <w:rPr>
          <w:rFonts w:ascii="Arial" w:hAnsi="Arial" w:cs="Arial"/>
          <w:sz w:val="24"/>
          <w:szCs w:val="24"/>
        </w:rPr>
      </w:pPr>
    </w:p>
    <w:p w:rsidR="00881F74" w:rsidRPr="00C54FEA" w:rsidRDefault="00881F74" w:rsidP="00881F74">
      <w:pPr>
        <w:keepNext/>
        <w:rPr>
          <w:rFonts w:ascii="Arial" w:hAnsi="Arial"/>
          <w:b/>
          <w:bCs/>
          <w:sz w:val="24"/>
          <w:szCs w:val="20"/>
        </w:rPr>
      </w:pPr>
      <w:r w:rsidRPr="00FD4C79">
        <w:rPr>
          <w:rFonts w:ascii="Arial" w:hAnsi="Arial" w:cs="Arial"/>
          <w:b/>
          <w:sz w:val="24"/>
          <w:szCs w:val="24"/>
        </w:rPr>
        <w:fldChar w:fldCharType="begin"/>
      </w:r>
      <w:r w:rsidRPr="00FD4C79">
        <w:rPr>
          <w:rFonts w:ascii="Arial" w:hAnsi="Arial" w:cs="Arial"/>
          <w:b/>
          <w:sz w:val="24"/>
          <w:szCs w:val="24"/>
        </w:rPr>
        <w:instrText xml:space="preserve"> SEQ Table \* ARABIC </w:instrText>
      </w:r>
      <w:r w:rsidRPr="00FD4C79">
        <w:rPr>
          <w:rFonts w:ascii="Arial" w:hAnsi="Arial" w:cs="Arial"/>
          <w:b/>
          <w:sz w:val="24"/>
          <w:szCs w:val="24"/>
        </w:rPr>
        <w:fldChar w:fldCharType="separate"/>
      </w:r>
      <w:r w:rsidR="00D8778B">
        <w:rPr>
          <w:rFonts w:ascii="Arial" w:hAnsi="Arial" w:cs="Arial"/>
          <w:b/>
          <w:noProof/>
          <w:sz w:val="24"/>
          <w:szCs w:val="24"/>
        </w:rPr>
        <w:t>84</w:t>
      </w:r>
      <w:r w:rsidRPr="00FD4C79">
        <w:rPr>
          <w:rFonts w:ascii="Arial" w:hAnsi="Arial" w:cs="Arial"/>
          <w:b/>
          <w:sz w:val="24"/>
          <w:szCs w:val="24"/>
        </w:rPr>
        <w:fldChar w:fldCharType="end"/>
      </w:r>
      <w:r w:rsidRPr="00C54FEA">
        <w:rPr>
          <w:rFonts w:ascii="Arial" w:hAnsi="Arial"/>
          <w:b/>
          <w:bCs/>
          <w:sz w:val="24"/>
          <w:szCs w:val="20"/>
        </w:rPr>
        <w:t xml:space="preserve"> Public Utilities Office and Economic Reform: Key effectiveness indicators</w:t>
      </w:r>
    </w:p>
    <w:tbl>
      <w:tblPr>
        <w:tblW w:w="8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094"/>
        <w:gridCol w:w="1095"/>
        <w:gridCol w:w="1095"/>
        <w:gridCol w:w="1095"/>
        <w:gridCol w:w="1095"/>
      </w:tblGrid>
      <w:tr w:rsidR="00881F74" w:rsidRPr="0019353C" w:rsidTr="000D7011">
        <w:tc>
          <w:tcPr>
            <w:tcW w:w="3369" w:type="dxa"/>
            <w:shd w:val="clear" w:color="auto" w:fill="auto"/>
          </w:tcPr>
          <w:p w:rsidR="00881F74" w:rsidRPr="00C54FEA" w:rsidRDefault="00881F74" w:rsidP="000D7011">
            <w:pPr>
              <w:spacing w:before="60" w:after="60" w:line="240" w:lineRule="auto"/>
              <w:rPr>
                <w:rFonts w:ascii="Arial" w:hAnsi="Arial" w:cs="Arial"/>
                <w:b/>
                <w:sz w:val="20"/>
                <w:szCs w:val="20"/>
              </w:rPr>
            </w:pPr>
            <w:r w:rsidRPr="00C54FEA">
              <w:rPr>
                <w:rFonts w:ascii="Arial" w:hAnsi="Arial" w:cs="Arial"/>
                <w:b/>
                <w:sz w:val="20"/>
                <w:szCs w:val="20"/>
              </w:rPr>
              <w:t>Key indicators of effectiveness</w:t>
            </w:r>
          </w:p>
        </w:tc>
        <w:tc>
          <w:tcPr>
            <w:tcW w:w="1094" w:type="dxa"/>
            <w:shd w:val="clear" w:color="auto" w:fill="auto"/>
          </w:tcPr>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2012-13</w:t>
            </w:r>
          </w:p>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actual</w:t>
            </w:r>
          </w:p>
        </w:tc>
        <w:tc>
          <w:tcPr>
            <w:tcW w:w="1095" w:type="dxa"/>
            <w:shd w:val="clear" w:color="auto" w:fill="auto"/>
          </w:tcPr>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2013-14</w:t>
            </w:r>
          </w:p>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actual</w:t>
            </w:r>
          </w:p>
        </w:tc>
        <w:tc>
          <w:tcPr>
            <w:tcW w:w="1095" w:type="dxa"/>
          </w:tcPr>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2014-15</w:t>
            </w:r>
          </w:p>
          <w:p w:rsidR="00881F74" w:rsidRPr="00C54FEA" w:rsidRDefault="00881F74" w:rsidP="000D7011">
            <w:pPr>
              <w:spacing w:before="60" w:after="60" w:line="240" w:lineRule="auto"/>
              <w:jc w:val="right"/>
              <w:rPr>
                <w:rFonts w:ascii="Arial" w:hAnsi="Arial" w:cs="Arial"/>
                <w:b/>
                <w:sz w:val="20"/>
                <w:szCs w:val="20"/>
              </w:rPr>
            </w:pPr>
            <w:r>
              <w:rPr>
                <w:rFonts w:ascii="Arial" w:hAnsi="Arial" w:cs="Arial"/>
                <w:b/>
                <w:sz w:val="20"/>
                <w:szCs w:val="20"/>
              </w:rPr>
              <w:t>actual</w:t>
            </w:r>
          </w:p>
        </w:tc>
        <w:tc>
          <w:tcPr>
            <w:tcW w:w="1095" w:type="dxa"/>
            <w:shd w:val="clear" w:color="auto" w:fill="auto"/>
          </w:tcPr>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201</w:t>
            </w:r>
            <w:r>
              <w:rPr>
                <w:rFonts w:ascii="Arial" w:hAnsi="Arial" w:cs="Arial"/>
                <w:b/>
                <w:sz w:val="20"/>
                <w:szCs w:val="20"/>
              </w:rPr>
              <w:t>5</w:t>
            </w:r>
            <w:r w:rsidRPr="00C54FEA">
              <w:rPr>
                <w:rFonts w:ascii="Arial" w:hAnsi="Arial" w:cs="Arial"/>
                <w:b/>
                <w:sz w:val="20"/>
                <w:szCs w:val="20"/>
              </w:rPr>
              <w:t>-1</w:t>
            </w:r>
            <w:r>
              <w:rPr>
                <w:rFonts w:ascii="Arial" w:hAnsi="Arial" w:cs="Arial"/>
                <w:b/>
                <w:sz w:val="20"/>
                <w:szCs w:val="20"/>
              </w:rPr>
              <w:t>6</w:t>
            </w:r>
          </w:p>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target</w:t>
            </w:r>
          </w:p>
        </w:tc>
        <w:tc>
          <w:tcPr>
            <w:tcW w:w="1095" w:type="dxa"/>
            <w:shd w:val="clear" w:color="auto" w:fill="auto"/>
          </w:tcPr>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201</w:t>
            </w:r>
            <w:r>
              <w:rPr>
                <w:rFonts w:ascii="Arial" w:hAnsi="Arial" w:cs="Arial"/>
                <w:b/>
                <w:sz w:val="20"/>
                <w:szCs w:val="20"/>
              </w:rPr>
              <w:t>5</w:t>
            </w:r>
            <w:r w:rsidRPr="00C54FEA">
              <w:rPr>
                <w:rFonts w:ascii="Arial" w:hAnsi="Arial" w:cs="Arial"/>
                <w:b/>
                <w:sz w:val="20"/>
                <w:szCs w:val="20"/>
              </w:rPr>
              <w:t>-1</w:t>
            </w:r>
            <w:r>
              <w:rPr>
                <w:rFonts w:ascii="Arial" w:hAnsi="Arial" w:cs="Arial"/>
                <w:b/>
                <w:sz w:val="20"/>
                <w:szCs w:val="20"/>
              </w:rPr>
              <w:t>6</w:t>
            </w:r>
          </w:p>
          <w:p w:rsidR="00881F74" w:rsidRPr="00C54FEA" w:rsidRDefault="00881F74" w:rsidP="000D7011">
            <w:pPr>
              <w:spacing w:before="60" w:after="60" w:line="240" w:lineRule="auto"/>
              <w:jc w:val="right"/>
              <w:rPr>
                <w:rFonts w:ascii="Arial" w:hAnsi="Arial" w:cs="Arial"/>
                <w:b/>
                <w:sz w:val="20"/>
                <w:szCs w:val="20"/>
              </w:rPr>
            </w:pPr>
            <w:r w:rsidRPr="00C54FEA">
              <w:rPr>
                <w:rFonts w:ascii="Arial" w:hAnsi="Arial" w:cs="Arial"/>
                <w:b/>
                <w:sz w:val="20"/>
                <w:szCs w:val="20"/>
              </w:rPr>
              <w:t>actual</w:t>
            </w:r>
          </w:p>
        </w:tc>
      </w:tr>
      <w:tr w:rsidR="00881F74" w:rsidRPr="0019353C" w:rsidTr="000D7011">
        <w:tc>
          <w:tcPr>
            <w:tcW w:w="3369" w:type="dxa"/>
            <w:shd w:val="clear" w:color="auto" w:fill="auto"/>
          </w:tcPr>
          <w:p w:rsidR="00881F74" w:rsidRPr="00C54FEA" w:rsidRDefault="00881F74" w:rsidP="000D7011">
            <w:pPr>
              <w:spacing w:before="60" w:after="60" w:line="240" w:lineRule="auto"/>
              <w:rPr>
                <w:rFonts w:ascii="Arial" w:hAnsi="Arial" w:cs="Arial"/>
                <w:spacing w:val="-1"/>
                <w:sz w:val="20"/>
                <w:szCs w:val="20"/>
              </w:rPr>
            </w:pPr>
            <w:r w:rsidRPr="00C54FEA">
              <w:rPr>
                <w:rFonts w:ascii="Arial" w:hAnsi="Arial" w:cs="Arial"/>
                <w:sz w:val="20"/>
                <w:szCs w:val="20"/>
              </w:rPr>
              <w:t>The extent to which policy and program development objectives for the year are achieved</w:t>
            </w:r>
            <w:r w:rsidRPr="00C54FEA">
              <w:t xml:space="preserve"> </w:t>
            </w:r>
            <w:r w:rsidRPr="00C54FEA">
              <w:rPr>
                <w:rFonts w:ascii="Arial" w:hAnsi="Arial" w:cs="Arial"/>
                <w:sz w:val="20"/>
                <w:szCs w:val="20"/>
              </w:rPr>
              <w:t>(%)</w:t>
            </w:r>
            <w:r w:rsidRPr="00C54FEA">
              <w:rPr>
                <w:rFonts w:ascii="Arial" w:hAnsi="Arial" w:cs="Arial"/>
              </w:rPr>
              <w:t xml:space="preserve"> </w:t>
            </w:r>
            <w:r w:rsidRPr="00C54FEA">
              <w:rPr>
                <w:rFonts w:ascii="Arial" w:hAnsi="Arial" w:cs="Arial"/>
                <w:vertAlign w:val="superscript"/>
              </w:rPr>
              <w:t>(a)</w:t>
            </w:r>
          </w:p>
        </w:tc>
        <w:tc>
          <w:tcPr>
            <w:tcW w:w="1094"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Pr>
                <w:rFonts w:ascii="Arial" w:hAnsi="Arial" w:cs="Arial"/>
                <w:spacing w:val="-1"/>
                <w:sz w:val="20"/>
                <w:szCs w:val="20"/>
              </w:rPr>
              <w:t>89</w:t>
            </w:r>
          </w:p>
        </w:tc>
        <w:tc>
          <w:tcPr>
            <w:tcW w:w="1095"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89</w:t>
            </w:r>
          </w:p>
        </w:tc>
        <w:tc>
          <w:tcPr>
            <w:tcW w:w="1095" w:type="dxa"/>
          </w:tcPr>
          <w:p w:rsidR="00881F74" w:rsidRPr="00C54FEA" w:rsidRDefault="00881F74" w:rsidP="000D7011">
            <w:pPr>
              <w:spacing w:before="60" w:after="60" w:line="240" w:lineRule="auto"/>
              <w:jc w:val="right"/>
              <w:rPr>
                <w:rFonts w:ascii="Arial" w:hAnsi="Arial" w:cs="Arial"/>
                <w:spacing w:val="-1"/>
                <w:sz w:val="20"/>
                <w:szCs w:val="20"/>
              </w:rPr>
            </w:pPr>
            <w:r>
              <w:rPr>
                <w:rFonts w:ascii="Arial" w:hAnsi="Arial" w:cs="Arial"/>
                <w:spacing w:val="-1"/>
                <w:sz w:val="20"/>
                <w:szCs w:val="20"/>
              </w:rPr>
              <w:t>95</w:t>
            </w:r>
          </w:p>
        </w:tc>
        <w:tc>
          <w:tcPr>
            <w:tcW w:w="1095"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100</w:t>
            </w:r>
          </w:p>
        </w:tc>
        <w:tc>
          <w:tcPr>
            <w:tcW w:w="1095" w:type="dxa"/>
            <w:shd w:val="clear" w:color="auto" w:fill="auto"/>
          </w:tcPr>
          <w:p w:rsidR="00881F74" w:rsidRPr="00C54FEA" w:rsidRDefault="00881F74" w:rsidP="000D7011">
            <w:pPr>
              <w:spacing w:before="60" w:after="60" w:line="240" w:lineRule="auto"/>
              <w:jc w:val="right"/>
              <w:rPr>
                <w:rFonts w:ascii="Arial" w:hAnsi="Arial" w:cs="Arial"/>
                <w:spacing w:val="-1"/>
                <w:sz w:val="20"/>
                <w:szCs w:val="20"/>
              </w:rPr>
            </w:pPr>
            <w:r w:rsidRPr="00C54FEA">
              <w:rPr>
                <w:rFonts w:ascii="Arial" w:hAnsi="Arial" w:cs="Arial"/>
                <w:spacing w:val="-1"/>
                <w:sz w:val="20"/>
                <w:szCs w:val="20"/>
              </w:rPr>
              <w:t>9</w:t>
            </w:r>
            <w:r>
              <w:rPr>
                <w:rFonts w:ascii="Arial" w:hAnsi="Arial" w:cs="Arial"/>
                <w:spacing w:val="-1"/>
                <w:sz w:val="20"/>
                <w:szCs w:val="20"/>
              </w:rPr>
              <w:t>2</w:t>
            </w:r>
            <w:r w:rsidRPr="00C54FEA">
              <w:rPr>
                <w:rFonts w:ascii="Arial" w:hAnsi="Arial" w:cs="Arial"/>
                <w:spacing w:val="-1"/>
                <w:sz w:val="20"/>
                <w:szCs w:val="20"/>
                <w:vertAlign w:val="superscript"/>
              </w:rPr>
              <w:t>(1)</w:t>
            </w:r>
          </w:p>
        </w:tc>
      </w:tr>
    </w:tbl>
    <w:p w:rsidR="00881F74" w:rsidRPr="00C54FEA" w:rsidRDefault="00881F74" w:rsidP="000D7011">
      <w:pPr>
        <w:widowControl w:val="0"/>
        <w:numPr>
          <w:ilvl w:val="0"/>
          <w:numId w:val="42"/>
        </w:numPr>
        <w:kinsoku w:val="0"/>
        <w:overflowPunct w:val="0"/>
        <w:autoSpaceDE w:val="0"/>
        <w:autoSpaceDN w:val="0"/>
        <w:adjustRightInd w:val="0"/>
        <w:spacing w:before="141" w:line="240" w:lineRule="auto"/>
        <w:rPr>
          <w:rFonts w:ascii="Arial" w:hAnsi="Arial" w:cs="Arial"/>
          <w:sz w:val="24"/>
          <w:szCs w:val="24"/>
        </w:rPr>
      </w:pPr>
      <w:r w:rsidRPr="00C54FEA">
        <w:rPr>
          <w:rFonts w:ascii="Arial" w:hAnsi="Arial" w:cs="Arial"/>
          <w:sz w:val="24"/>
          <w:szCs w:val="24"/>
        </w:rPr>
        <w:t>The results are calculated by monitoring the priorities set for a year. If the government’s priorities change, for example there is a ministerial request to undertake a new policy project or cease working on an existing priority, this is taken into account in determining the number of items completed as planned. The results are presented as a percentage of planned priorities completed.</w:t>
      </w:r>
    </w:p>
    <w:p w:rsidR="00881F74" w:rsidRPr="00AA7C8F" w:rsidRDefault="00881F74" w:rsidP="000D7011">
      <w:pPr>
        <w:keepLines/>
        <w:widowControl w:val="0"/>
        <w:numPr>
          <w:ilvl w:val="0"/>
          <w:numId w:val="41"/>
        </w:numPr>
        <w:kinsoku w:val="0"/>
        <w:overflowPunct w:val="0"/>
        <w:autoSpaceDE w:val="0"/>
        <w:autoSpaceDN w:val="0"/>
        <w:adjustRightInd w:val="0"/>
        <w:spacing w:before="141" w:line="240" w:lineRule="auto"/>
        <w:jc w:val="both"/>
        <w:rPr>
          <w:rFonts w:ascii="Arial" w:hAnsi="Arial"/>
          <w:sz w:val="24"/>
          <w:szCs w:val="20"/>
        </w:rPr>
      </w:pPr>
      <w:r w:rsidRPr="00AA7C8F">
        <w:rPr>
          <w:rFonts w:ascii="Arial" w:hAnsi="Arial"/>
          <w:sz w:val="24"/>
          <w:szCs w:val="20"/>
        </w:rPr>
        <w:t>Compared to the 2014-15 actual and 2015-16 target, variations in resourcing, consultation processes and changes in priorities have influenced the</w:t>
      </w:r>
      <w:r>
        <w:rPr>
          <w:rFonts w:ascii="Arial" w:hAnsi="Arial"/>
          <w:sz w:val="24"/>
          <w:szCs w:val="20"/>
        </w:rPr>
        <w:t xml:space="preserve"> </w:t>
      </w:r>
      <w:r w:rsidRPr="00AA7C8F">
        <w:rPr>
          <w:rFonts w:ascii="Arial" w:hAnsi="Arial"/>
          <w:sz w:val="24"/>
          <w:szCs w:val="20"/>
        </w:rPr>
        <w:t>final indicator.</w:t>
      </w:r>
    </w:p>
    <w:p w:rsidR="004476DA" w:rsidRPr="00C54FEA" w:rsidRDefault="005400F1" w:rsidP="004476DA">
      <w:pPr>
        <w:keepNext/>
        <w:spacing w:before="240" w:after="60"/>
        <w:outlineLvl w:val="2"/>
        <w:rPr>
          <w:rFonts w:ascii="Arial" w:hAnsi="Arial"/>
          <w:b/>
          <w:bCs/>
          <w:sz w:val="28"/>
          <w:szCs w:val="26"/>
        </w:rPr>
      </w:pPr>
      <w:r>
        <w:rPr>
          <w:b/>
          <w:bCs/>
          <w:sz w:val="28"/>
          <w:szCs w:val="26"/>
        </w:rPr>
        <w:br w:type="page"/>
      </w:r>
      <w:r w:rsidR="004476DA" w:rsidRPr="00C54FEA">
        <w:rPr>
          <w:rFonts w:ascii="Arial" w:hAnsi="Arial"/>
          <w:b/>
          <w:bCs/>
          <w:sz w:val="28"/>
          <w:szCs w:val="26"/>
        </w:rPr>
        <w:t xml:space="preserve">Key efficiency indicators </w:t>
      </w:r>
    </w:p>
    <w:p w:rsidR="004476DA" w:rsidRPr="00C54FEA" w:rsidRDefault="004476DA" w:rsidP="004476DA">
      <w:pPr>
        <w:keepNext/>
        <w:spacing w:before="240" w:after="60"/>
        <w:outlineLvl w:val="3"/>
        <w:rPr>
          <w:rFonts w:ascii="Arial" w:hAnsi="Arial"/>
          <w:b/>
          <w:bCs/>
          <w:sz w:val="26"/>
          <w:szCs w:val="28"/>
        </w:rPr>
      </w:pPr>
      <w:r w:rsidRPr="00C54FEA">
        <w:rPr>
          <w:rFonts w:ascii="Arial" w:hAnsi="Arial"/>
          <w:b/>
          <w:bCs/>
          <w:sz w:val="26"/>
          <w:szCs w:val="28"/>
        </w:rPr>
        <w:t>Service 5: Development and implementation of energy policy and programs; assessment of proposed policy changes and the impact on regulatory functions</w:t>
      </w:r>
    </w:p>
    <w:p w:rsidR="004476DA" w:rsidRPr="00C54FEA" w:rsidRDefault="004476DA" w:rsidP="004476DA">
      <w:pPr>
        <w:widowControl w:val="0"/>
        <w:kinsoku w:val="0"/>
        <w:overflowPunct w:val="0"/>
        <w:autoSpaceDE w:val="0"/>
        <w:autoSpaceDN w:val="0"/>
        <w:adjustRightInd w:val="0"/>
        <w:spacing w:before="141" w:line="240" w:lineRule="auto"/>
        <w:rPr>
          <w:rFonts w:ascii="Arial" w:hAnsi="Arial" w:cs="Arial"/>
          <w:sz w:val="24"/>
          <w:szCs w:val="24"/>
        </w:rPr>
      </w:pPr>
      <w:r w:rsidRPr="00C54FEA">
        <w:rPr>
          <w:rFonts w:ascii="Arial" w:hAnsi="Arial" w:cs="Arial"/>
          <w:sz w:val="24"/>
          <w:szCs w:val="24"/>
        </w:rPr>
        <w:t>The delivery of energy policy and programs that enable the Public Utilities Office to perform its role as a change agent leading development and implementation of policy to meet the State’s energy needs and advice to government on Commonwealth and State economic issues and reforms and assessment of the impact and adequacy of proposed regulation.</w:t>
      </w:r>
    </w:p>
    <w:p w:rsidR="004476DA" w:rsidRPr="00C54FEA" w:rsidRDefault="004476DA" w:rsidP="004476DA">
      <w:pPr>
        <w:widowControl w:val="0"/>
        <w:kinsoku w:val="0"/>
        <w:overflowPunct w:val="0"/>
        <w:autoSpaceDE w:val="0"/>
        <w:autoSpaceDN w:val="0"/>
        <w:adjustRightInd w:val="0"/>
        <w:spacing w:before="141" w:line="240" w:lineRule="auto"/>
        <w:rPr>
          <w:rFonts w:ascii="Arial" w:hAnsi="Arial" w:cs="Arial"/>
          <w:sz w:val="24"/>
          <w:szCs w:val="24"/>
        </w:rPr>
      </w:pPr>
    </w:p>
    <w:p w:rsidR="004476DA" w:rsidRPr="00C54FEA" w:rsidRDefault="004476DA" w:rsidP="004476DA">
      <w:pPr>
        <w:keepNext/>
        <w:rPr>
          <w:rFonts w:ascii="Arial" w:hAnsi="Arial"/>
          <w:b/>
          <w:bCs/>
          <w:sz w:val="24"/>
          <w:szCs w:val="20"/>
        </w:rPr>
      </w:pPr>
      <w:r w:rsidRPr="00FD4C79">
        <w:rPr>
          <w:rFonts w:ascii="Arial" w:hAnsi="Arial" w:cs="Arial"/>
          <w:b/>
          <w:sz w:val="24"/>
          <w:szCs w:val="24"/>
        </w:rPr>
        <w:fldChar w:fldCharType="begin"/>
      </w:r>
      <w:r w:rsidRPr="00FD4C79">
        <w:rPr>
          <w:rFonts w:ascii="Arial" w:hAnsi="Arial" w:cs="Arial"/>
          <w:b/>
          <w:sz w:val="24"/>
          <w:szCs w:val="24"/>
        </w:rPr>
        <w:instrText xml:space="preserve"> SEQ Table \* ARABIC </w:instrText>
      </w:r>
      <w:r w:rsidRPr="00FD4C79">
        <w:rPr>
          <w:rFonts w:ascii="Arial" w:hAnsi="Arial" w:cs="Arial"/>
          <w:b/>
          <w:sz w:val="24"/>
          <w:szCs w:val="24"/>
        </w:rPr>
        <w:fldChar w:fldCharType="separate"/>
      </w:r>
      <w:r w:rsidR="00D8778B">
        <w:rPr>
          <w:rFonts w:ascii="Arial" w:hAnsi="Arial" w:cs="Arial"/>
          <w:b/>
          <w:noProof/>
          <w:sz w:val="24"/>
          <w:szCs w:val="24"/>
        </w:rPr>
        <w:t>85</w:t>
      </w:r>
      <w:r w:rsidRPr="00FD4C79">
        <w:rPr>
          <w:rFonts w:ascii="Arial" w:hAnsi="Arial" w:cs="Arial"/>
          <w:b/>
          <w:sz w:val="24"/>
          <w:szCs w:val="24"/>
        </w:rPr>
        <w:fldChar w:fldCharType="end"/>
      </w:r>
      <w:r w:rsidRPr="00C54FEA">
        <w:rPr>
          <w:rFonts w:ascii="Arial" w:hAnsi="Arial"/>
          <w:b/>
          <w:bCs/>
          <w:sz w:val="24"/>
          <w:szCs w:val="20"/>
        </w:rPr>
        <w:t xml:space="preserve"> </w:t>
      </w:r>
      <w:r>
        <w:rPr>
          <w:rFonts w:ascii="Arial" w:hAnsi="Arial"/>
          <w:b/>
          <w:bCs/>
          <w:sz w:val="24"/>
          <w:szCs w:val="20"/>
        </w:rPr>
        <w:t>P</w:t>
      </w:r>
      <w:r w:rsidRPr="00C54FEA">
        <w:rPr>
          <w:rFonts w:ascii="Arial" w:hAnsi="Arial"/>
          <w:b/>
          <w:bCs/>
          <w:sz w:val="24"/>
          <w:szCs w:val="20"/>
        </w:rPr>
        <w:t>ublic Utilities Office and Economic Reform: Key efficiency indicators</w:t>
      </w:r>
    </w:p>
    <w:tbl>
      <w:tblPr>
        <w:tblW w:w="8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094"/>
        <w:gridCol w:w="1095"/>
        <w:gridCol w:w="1095"/>
        <w:gridCol w:w="1095"/>
        <w:gridCol w:w="1095"/>
      </w:tblGrid>
      <w:tr w:rsidR="004476DA" w:rsidRPr="0019353C" w:rsidTr="00F7789F">
        <w:tc>
          <w:tcPr>
            <w:tcW w:w="3369" w:type="dxa"/>
            <w:shd w:val="clear" w:color="auto" w:fill="auto"/>
          </w:tcPr>
          <w:p w:rsidR="004476DA" w:rsidRPr="00C54FEA" w:rsidRDefault="004476DA" w:rsidP="00F7789F">
            <w:pPr>
              <w:spacing w:before="60" w:after="60" w:line="240" w:lineRule="auto"/>
              <w:rPr>
                <w:rFonts w:ascii="Arial" w:hAnsi="Arial" w:cs="Arial"/>
                <w:b/>
                <w:sz w:val="20"/>
                <w:szCs w:val="20"/>
              </w:rPr>
            </w:pPr>
            <w:r w:rsidRPr="00C54FEA">
              <w:rPr>
                <w:rFonts w:ascii="Arial" w:hAnsi="Arial" w:cs="Arial"/>
                <w:b/>
                <w:sz w:val="20"/>
                <w:szCs w:val="20"/>
              </w:rPr>
              <w:t>Key indicators of efficiency</w:t>
            </w:r>
          </w:p>
        </w:tc>
        <w:tc>
          <w:tcPr>
            <w:tcW w:w="1094" w:type="dxa"/>
            <w:shd w:val="clear" w:color="auto" w:fill="auto"/>
          </w:tcPr>
          <w:p w:rsidR="004476DA" w:rsidRPr="00C54FEA" w:rsidRDefault="004476DA" w:rsidP="00F7789F">
            <w:pPr>
              <w:spacing w:before="60" w:after="60" w:line="240" w:lineRule="auto"/>
              <w:jc w:val="right"/>
              <w:rPr>
                <w:rFonts w:ascii="Arial" w:hAnsi="Arial" w:cs="Arial"/>
                <w:b/>
                <w:sz w:val="20"/>
                <w:szCs w:val="20"/>
              </w:rPr>
            </w:pPr>
            <w:r w:rsidRPr="00C54FEA">
              <w:rPr>
                <w:rFonts w:ascii="Arial" w:hAnsi="Arial" w:cs="Arial"/>
                <w:b/>
                <w:sz w:val="20"/>
                <w:szCs w:val="20"/>
              </w:rPr>
              <w:t>2012-13</w:t>
            </w:r>
          </w:p>
          <w:p w:rsidR="004476DA" w:rsidRPr="00C54FEA" w:rsidRDefault="004476DA" w:rsidP="00F7789F">
            <w:pPr>
              <w:spacing w:before="60" w:after="60" w:line="240" w:lineRule="auto"/>
              <w:jc w:val="right"/>
              <w:rPr>
                <w:rFonts w:ascii="Arial" w:hAnsi="Arial" w:cs="Arial"/>
                <w:b/>
                <w:sz w:val="20"/>
                <w:szCs w:val="20"/>
              </w:rPr>
            </w:pPr>
            <w:r w:rsidRPr="00C54FEA">
              <w:rPr>
                <w:rFonts w:ascii="Arial" w:hAnsi="Arial" w:cs="Arial"/>
                <w:b/>
                <w:sz w:val="20"/>
                <w:szCs w:val="20"/>
              </w:rPr>
              <w:t>actual</w:t>
            </w:r>
          </w:p>
        </w:tc>
        <w:tc>
          <w:tcPr>
            <w:tcW w:w="1095" w:type="dxa"/>
            <w:shd w:val="clear" w:color="auto" w:fill="auto"/>
          </w:tcPr>
          <w:p w:rsidR="004476DA" w:rsidRPr="00C54FEA" w:rsidRDefault="004476DA" w:rsidP="00F7789F">
            <w:pPr>
              <w:spacing w:before="60" w:after="60" w:line="240" w:lineRule="auto"/>
              <w:jc w:val="right"/>
              <w:rPr>
                <w:rFonts w:ascii="Arial" w:hAnsi="Arial" w:cs="Arial"/>
                <w:b/>
                <w:sz w:val="20"/>
                <w:szCs w:val="20"/>
              </w:rPr>
            </w:pPr>
            <w:r w:rsidRPr="00C54FEA">
              <w:rPr>
                <w:rFonts w:ascii="Arial" w:hAnsi="Arial" w:cs="Arial"/>
                <w:b/>
                <w:sz w:val="20"/>
                <w:szCs w:val="20"/>
              </w:rPr>
              <w:t>2013-14</w:t>
            </w:r>
          </w:p>
          <w:p w:rsidR="004476DA" w:rsidRPr="00C54FEA" w:rsidRDefault="004476DA" w:rsidP="00F7789F">
            <w:pPr>
              <w:spacing w:before="60" w:after="60" w:line="240" w:lineRule="auto"/>
              <w:jc w:val="right"/>
              <w:rPr>
                <w:rFonts w:ascii="Arial" w:hAnsi="Arial" w:cs="Arial"/>
                <w:b/>
                <w:sz w:val="20"/>
                <w:szCs w:val="20"/>
              </w:rPr>
            </w:pPr>
            <w:r w:rsidRPr="00C54FEA">
              <w:rPr>
                <w:rFonts w:ascii="Arial" w:hAnsi="Arial" w:cs="Arial"/>
                <w:b/>
                <w:sz w:val="20"/>
                <w:szCs w:val="20"/>
              </w:rPr>
              <w:t>actual</w:t>
            </w:r>
          </w:p>
        </w:tc>
        <w:tc>
          <w:tcPr>
            <w:tcW w:w="1095" w:type="dxa"/>
          </w:tcPr>
          <w:p w:rsidR="004476DA" w:rsidRPr="00C54FEA" w:rsidRDefault="004476DA" w:rsidP="00F7789F">
            <w:pPr>
              <w:spacing w:before="60" w:after="60" w:line="240" w:lineRule="auto"/>
              <w:jc w:val="right"/>
              <w:rPr>
                <w:rFonts w:ascii="Arial" w:hAnsi="Arial" w:cs="Arial"/>
                <w:b/>
                <w:sz w:val="20"/>
                <w:szCs w:val="20"/>
              </w:rPr>
            </w:pPr>
            <w:r w:rsidRPr="00C54FEA">
              <w:rPr>
                <w:rFonts w:ascii="Arial" w:hAnsi="Arial" w:cs="Arial"/>
                <w:b/>
                <w:sz w:val="20"/>
                <w:szCs w:val="20"/>
              </w:rPr>
              <w:t>2014-15</w:t>
            </w:r>
          </w:p>
          <w:p w:rsidR="004476DA" w:rsidRPr="00C54FEA" w:rsidRDefault="004476DA" w:rsidP="00F7789F">
            <w:pPr>
              <w:spacing w:before="60" w:after="60" w:line="240" w:lineRule="auto"/>
              <w:jc w:val="right"/>
              <w:rPr>
                <w:rFonts w:ascii="Arial" w:hAnsi="Arial" w:cs="Arial"/>
                <w:b/>
                <w:sz w:val="20"/>
                <w:szCs w:val="20"/>
              </w:rPr>
            </w:pPr>
            <w:r>
              <w:rPr>
                <w:rFonts w:ascii="Arial" w:hAnsi="Arial" w:cs="Arial"/>
                <w:b/>
                <w:sz w:val="20"/>
                <w:szCs w:val="20"/>
              </w:rPr>
              <w:t>actual</w:t>
            </w:r>
          </w:p>
        </w:tc>
        <w:tc>
          <w:tcPr>
            <w:tcW w:w="1095" w:type="dxa"/>
            <w:shd w:val="clear" w:color="auto" w:fill="auto"/>
          </w:tcPr>
          <w:p w:rsidR="004476DA" w:rsidRPr="00C54FEA" w:rsidRDefault="004476DA" w:rsidP="00F7789F">
            <w:pPr>
              <w:spacing w:before="60" w:after="60" w:line="240" w:lineRule="auto"/>
              <w:jc w:val="right"/>
              <w:rPr>
                <w:rFonts w:ascii="Arial" w:hAnsi="Arial" w:cs="Arial"/>
                <w:b/>
                <w:sz w:val="20"/>
                <w:szCs w:val="20"/>
              </w:rPr>
            </w:pPr>
            <w:r w:rsidRPr="00C54FEA">
              <w:rPr>
                <w:rFonts w:ascii="Arial" w:hAnsi="Arial" w:cs="Arial"/>
                <w:b/>
                <w:sz w:val="20"/>
                <w:szCs w:val="20"/>
              </w:rPr>
              <w:t>201</w:t>
            </w:r>
            <w:r>
              <w:rPr>
                <w:rFonts w:ascii="Arial" w:hAnsi="Arial" w:cs="Arial"/>
                <w:b/>
                <w:sz w:val="20"/>
                <w:szCs w:val="20"/>
              </w:rPr>
              <w:t>5</w:t>
            </w:r>
            <w:r w:rsidRPr="00C54FEA">
              <w:rPr>
                <w:rFonts w:ascii="Arial" w:hAnsi="Arial" w:cs="Arial"/>
                <w:b/>
                <w:sz w:val="20"/>
                <w:szCs w:val="20"/>
              </w:rPr>
              <w:t>-1</w:t>
            </w:r>
            <w:r>
              <w:rPr>
                <w:rFonts w:ascii="Arial" w:hAnsi="Arial" w:cs="Arial"/>
                <w:b/>
                <w:sz w:val="20"/>
                <w:szCs w:val="20"/>
              </w:rPr>
              <w:t>6</w:t>
            </w:r>
          </w:p>
          <w:p w:rsidR="004476DA" w:rsidRPr="00C54FEA" w:rsidRDefault="004476DA" w:rsidP="00F7789F">
            <w:pPr>
              <w:spacing w:before="60" w:after="60" w:line="240" w:lineRule="auto"/>
              <w:jc w:val="right"/>
              <w:rPr>
                <w:rFonts w:ascii="Arial" w:hAnsi="Arial" w:cs="Arial"/>
                <w:b/>
                <w:sz w:val="20"/>
                <w:szCs w:val="20"/>
              </w:rPr>
            </w:pPr>
            <w:r w:rsidRPr="00C54FEA">
              <w:rPr>
                <w:rFonts w:ascii="Arial" w:hAnsi="Arial" w:cs="Arial"/>
                <w:b/>
                <w:sz w:val="20"/>
                <w:szCs w:val="20"/>
              </w:rPr>
              <w:t>target</w:t>
            </w:r>
          </w:p>
        </w:tc>
        <w:tc>
          <w:tcPr>
            <w:tcW w:w="1095" w:type="dxa"/>
            <w:shd w:val="clear" w:color="auto" w:fill="auto"/>
          </w:tcPr>
          <w:p w:rsidR="004476DA" w:rsidRPr="00C54FEA" w:rsidRDefault="004476DA" w:rsidP="00F7789F">
            <w:pPr>
              <w:spacing w:before="60" w:after="60" w:line="240" w:lineRule="auto"/>
              <w:jc w:val="right"/>
              <w:rPr>
                <w:rFonts w:ascii="Arial" w:hAnsi="Arial" w:cs="Arial"/>
                <w:b/>
                <w:sz w:val="20"/>
                <w:szCs w:val="20"/>
              </w:rPr>
            </w:pPr>
            <w:r w:rsidRPr="00C54FEA">
              <w:rPr>
                <w:rFonts w:ascii="Arial" w:hAnsi="Arial" w:cs="Arial"/>
                <w:b/>
                <w:sz w:val="20"/>
                <w:szCs w:val="20"/>
              </w:rPr>
              <w:t>201</w:t>
            </w:r>
            <w:r>
              <w:rPr>
                <w:rFonts w:ascii="Arial" w:hAnsi="Arial" w:cs="Arial"/>
                <w:b/>
                <w:sz w:val="20"/>
                <w:szCs w:val="20"/>
              </w:rPr>
              <w:t>5</w:t>
            </w:r>
            <w:r w:rsidRPr="00C54FEA">
              <w:rPr>
                <w:rFonts w:ascii="Arial" w:hAnsi="Arial" w:cs="Arial"/>
                <w:b/>
                <w:sz w:val="20"/>
                <w:szCs w:val="20"/>
              </w:rPr>
              <w:t>-1</w:t>
            </w:r>
            <w:r>
              <w:rPr>
                <w:rFonts w:ascii="Arial" w:hAnsi="Arial" w:cs="Arial"/>
                <w:b/>
                <w:sz w:val="20"/>
                <w:szCs w:val="20"/>
              </w:rPr>
              <w:t>6</w:t>
            </w:r>
          </w:p>
          <w:p w:rsidR="004476DA" w:rsidRPr="00C54FEA" w:rsidRDefault="004476DA" w:rsidP="00F7789F">
            <w:pPr>
              <w:spacing w:before="60" w:after="60" w:line="240" w:lineRule="auto"/>
              <w:jc w:val="right"/>
              <w:rPr>
                <w:rFonts w:ascii="Arial" w:hAnsi="Arial" w:cs="Arial"/>
                <w:b/>
                <w:sz w:val="20"/>
                <w:szCs w:val="20"/>
              </w:rPr>
            </w:pPr>
            <w:r w:rsidRPr="00C54FEA">
              <w:rPr>
                <w:rFonts w:ascii="Arial" w:hAnsi="Arial" w:cs="Arial"/>
                <w:b/>
                <w:sz w:val="20"/>
                <w:szCs w:val="20"/>
              </w:rPr>
              <w:t>actual</w:t>
            </w:r>
          </w:p>
        </w:tc>
      </w:tr>
      <w:tr w:rsidR="004476DA" w:rsidRPr="0019353C" w:rsidTr="00F7789F">
        <w:tc>
          <w:tcPr>
            <w:tcW w:w="3369" w:type="dxa"/>
            <w:shd w:val="clear" w:color="auto" w:fill="auto"/>
          </w:tcPr>
          <w:p w:rsidR="004476DA" w:rsidRPr="00C54FEA" w:rsidRDefault="004476DA" w:rsidP="00F7789F">
            <w:pPr>
              <w:spacing w:before="60" w:after="60" w:line="240" w:lineRule="auto"/>
              <w:rPr>
                <w:rFonts w:ascii="Arial" w:hAnsi="Arial" w:cs="Arial"/>
                <w:spacing w:val="-1"/>
                <w:sz w:val="20"/>
                <w:szCs w:val="20"/>
              </w:rPr>
            </w:pPr>
            <w:r w:rsidRPr="00C54FEA">
              <w:rPr>
                <w:rFonts w:ascii="Arial" w:hAnsi="Arial" w:cs="Arial"/>
                <w:sz w:val="20"/>
                <w:szCs w:val="20"/>
              </w:rPr>
              <w:t>Average cost of routine policy and program tasks ($)</w:t>
            </w:r>
            <w:r w:rsidRPr="00C54FEA">
              <w:t xml:space="preserve"> </w:t>
            </w:r>
            <w:r w:rsidRPr="00C54FEA">
              <w:rPr>
                <w:rFonts w:ascii="Arial" w:hAnsi="Arial" w:cs="Arial"/>
                <w:spacing w:val="-1"/>
                <w:sz w:val="20"/>
                <w:szCs w:val="20"/>
                <w:vertAlign w:val="superscript"/>
              </w:rPr>
              <w:t>(a)</w:t>
            </w:r>
          </w:p>
        </w:tc>
        <w:tc>
          <w:tcPr>
            <w:tcW w:w="1094" w:type="dxa"/>
            <w:shd w:val="clear" w:color="auto" w:fill="auto"/>
          </w:tcPr>
          <w:p w:rsidR="004476DA" w:rsidRPr="00C54FEA" w:rsidRDefault="004476DA" w:rsidP="00F7789F">
            <w:pPr>
              <w:spacing w:before="60" w:after="60" w:line="240" w:lineRule="auto"/>
              <w:jc w:val="right"/>
              <w:rPr>
                <w:rFonts w:ascii="Arial" w:hAnsi="Arial" w:cs="Arial"/>
                <w:spacing w:val="-1"/>
                <w:sz w:val="20"/>
                <w:szCs w:val="20"/>
              </w:rPr>
            </w:pPr>
            <w:r w:rsidRPr="00C54FEA">
              <w:rPr>
                <w:rFonts w:ascii="Arial" w:hAnsi="Arial" w:cs="Arial"/>
                <w:spacing w:val="-1"/>
                <w:sz w:val="20"/>
                <w:szCs w:val="20"/>
              </w:rPr>
              <w:t>5,776</w:t>
            </w:r>
          </w:p>
        </w:tc>
        <w:tc>
          <w:tcPr>
            <w:tcW w:w="1095" w:type="dxa"/>
            <w:shd w:val="clear" w:color="auto" w:fill="auto"/>
          </w:tcPr>
          <w:p w:rsidR="004476DA" w:rsidRPr="00C54FEA" w:rsidRDefault="004476DA" w:rsidP="00F7789F">
            <w:pPr>
              <w:spacing w:before="60" w:after="60" w:line="240" w:lineRule="auto"/>
              <w:jc w:val="right"/>
              <w:rPr>
                <w:rFonts w:ascii="Arial" w:hAnsi="Arial" w:cs="Arial"/>
                <w:spacing w:val="-1"/>
                <w:sz w:val="20"/>
                <w:szCs w:val="20"/>
              </w:rPr>
            </w:pPr>
            <w:r w:rsidRPr="00C54FEA">
              <w:rPr>
                <w:rFonts w:ascii="Arial" w:hAnsi="Arial" w:cs="Arial"/>
                <w:spacing w:val="-1"/>
                <w:sz w:val="20"/>
                <w:szCs w:val="20"/>
              </w:rPr>
              <w:t>10,081</w:t>
            </w:r>
          </w:p>
        </w:tc>
        <w:tc>
          <w:tcPr>
            <w:tcW w:w="1095" w:type="dxa"/>
          </w:tcPr>
          <w:p w:rsidR="004476DA" w:rsidRPr="00C54FEA" w:rsidRDefault="004476DA" w:rsidP="00F7789F">
            <w:pPr>
              <w:spacing w:before="60" w:after="60" w:line="240" w:lineRule="auto"/>
              <w:jc w:val="right"/>
              <w:rPr>
                <w:rFonts w:ascii="Arial" w:hAnsi="Arial" w:cs="Arial"/>
                <w:spacing w:val="-1"/>
                <w:sz w:val="20"/>
                <w:szCs w:val="20"/>
              </w:rPr>
            </w:pPr>
            <w:r>
              <w:rPr>
                <w:rFonts w:ascii="Arial" w:hAnsi="Arial" w:cs="Arial"/>
                <w:spacing w:val="-1"/>
                <w:sz w:val="20"/>
                <w:szCs w:val="20"/>
              </w:rPr>
              <w:t>11,644</w:t>
            </w:r>
          </w:p>
        </w:tc>
        <w:tc>
          <w:tcPr>
            <w:tcW w:w="1095" w:type="dxa"/>
            <w:shd w:val="clear" w:color="auto" w:fill="auto"/>
          </w:tcPr>
          <w:p w:rsidR="004476DA" w:rsidRPr="00C54FEA" w:rsidRDefault="004476DA" w:rsidP="00F7789F">
            <w:pPr>
              <w:spacing w:before="60" w:after="60" w:line="240" w:lineRule="auto"/>
              <w:jc w:val="right"/>
              <w:rPr>
                <w:rFonts w:ascii="Arial" w:hAnsi="Arial" w:cs="Arial"/>
                <w:spacing w:val="-1"/>
                <w:sz w:val="20"/>
                <w:szCs w:val="20"/>
              </w:rPr>
            </w:pPr>
            <w:r>
              <w:rPr>
                <w:rFonts w:ascii="Arial" w:hAnsi="Arial" w:cs="Arial"/>
                <w:spacing w:val="-1"/>
                <w:sz w:val="20"/>
                <w:szCs w:val="20"/>
              </w:rPr>
              <w:t>12,593</w:t>
            </w:r>
          </w:p>
        </w:tc>
        <w:tc>
          <w:tcPr>
            <w:tcW w:w="1095" w:type="dxa"/>
            <w:shd w:val="clear" w:color="auto" w:fill="auto"/>
          </w:tcPr>
          <w:p w:rsidR="004476DA" w:rsidRPr="00C54FEA" w:rsidRDefault="004476DA" w:rsidP="00F7789F">
            <w:pPr>
              <w:spacing w:before="60" w:after="60" w:line="240" w:lineRule="auto"/>
              <w:jc w:val="right"/>
              <w:rPr>
                <w:rFonts w:ascii="Arial" w:hAnsi="Arial" w:cs="Arial"/>
                <w:spacing w:val="-1"/>
                <w:sz w:val="20"/>
                <w:szCs w:val="20"/>
              </w:rPr>
            </w:pPr>
            <w:r w:rsidRPr="00C54FEA">
              <w:rPr>
                <w:rFonts w:ascii="Arial" w:hAnsi="Arial" w:cs="Arial"/>
                <w:spacing w:val="-1"/>
                <w:sz w:val="20"/>
                <w:szCs w:val="20"/>
              </w:rPr>
              <w:t>11,</w:t>
            </w:r>
            <w:r>
              <w:rPr>
                <w:rFonts w:ascii="Arial" w:hAnsi="Arial" w:cs="Arial"/>
                <w:spacing w:val="-1"/>
                <w:sz w:val="20"/>
                <w:szCs w:val="20"/>
              </w:rPr>
              <w:t>936</w:t>
            </w:r>
            <w:r w:rsidRPr="00C54FEA">
              <w:rPr>
                <w:rFonts w:ascii="Arial" w:hAnsi="Arial" w:cs="Arial"/>
                <w:spacing w:val="-1"/>
                <w:sz w:val="20"/>
                <w:szCs w:val="20"/>
              </w:rPr>
              <w:t xml:space="preserve"> </w:t>
            </w:r>
            <w:r w:rsidRPr="00C54FEA">
              <w:rPr>
                <w:rFonts w:ascii="Arial" w:hAnsi="Arial" w:cs="Arial"/>
                <w:spacing w:val="-1"/>
                <w:sz w:val="20"/>
                <w:szCs w:val="20"/>
                <w:vertAlign w:val="superscript"/>
              </w:rPr>
              <w:t>(1)</w:t>
            </w:r>
          </w:p>
        </w:tc>
      </w:tr>
      <w:tr w:rsidR="004476DA" w:rsidRPr="0019353C" w:rsidTr="00F7789F">
        <w:tc>
          <w:tcPr>
            <w:tcW w:w="3369" w:type="dxa"/>
            <w:shd w:val="clear" w:color="auto" w:fill="auto"/>
          </w:tcPr>
          <w:p w:rsidR="004476DA" w:rsidRPr="00C54FEA" w:rsidRDefault="004476DA" w:rsidP="00F7789F">
            <w:pPr>
              <w:spacing w:before="60" w:after="60" w:line="240" w:lineRule="auto"/>
              <w:rPr>
                <w:rFonts w:ascii="Arial" w:hAnsi="Arial" w:cs="Arial"/>
                <w:spacing w:val="-1"/>
                <w:sz w:val="20"/>
                <w:szCs w:val="20"/>
              </w:rPr>
            </w:pPr>
            <w:r w:rsidRPr="00C54FEA">
              <w:rPr>
                <w:rFonts w:ascii="Arial" w:hAnsi="Arial" w:cs="Arial"/>
                <w:sz w:val="20"/>
                <w:szCs w:val="20"/>
              </w:rPr>
              <w:t>Average cost of policy projects and programs</w:t>
            </w:r>
            <w:r w:rsidRPr="00C54FEA">
              <w:t xml:space="preserve"> </w:t>
            </w:r>
            <w:r w:rsidRPr="00C54FEA">
              <w:rPr>
                <w:rFonts w:ascii="Arial" w:hAnsi="Arial" w:cs="Arial"/>
                <w:sz w:val="20"/>
                <w:szCs w:val="20"/>
              </w:rPr>
              <w:t>($)</w:t>
            </w:r>
            <w:r w:rsidRPr="00C54FEA">
              <w:t xml:space="preserve"> </w:t>
            </w:r>
            <w:r w:rsidRPr="00C54FEA">
              <w:rPr>
                <w:rFonts w:ascii="Arial" w:hAnsi="Arial" w:cs="Arial"/>
                <w:spacing w:val="-1"/>
                <w:sz w:val="20"/>
                <w:szCs w:val="20"/>
                <w:vertAlign w:val="superscript"/>
              </w:rPr>
              <w:t>(b) (1)</w:t>
            </w:r>
          </w:p>
        </w:tc>
        <w:tc>
          <w:tcPr>
            <w:tcW w:w="1094" w:type="dxa"/>
            <w:shd w:val="clear" w:color="auto" w:fill="auto"/>
          </w:tcPr>
          <w:p w:rsidR="004476DA" w:rsidRPr="00C54FEA" w:rsidRDefault="004476DA" w:rsidP="00F7789F">
            <w:pPr>
              <w:spacing w:before="60" w:after="60" w:line="240" w:lineRule="auto"/>
              <w:jc w:val="right"/>
              <w:rPr>
                <w:rFonts w:ascii="Arial" w:hAnsi="Arial" w:cs="Arial"/>
                <w:spacing w:val="-1"/>
                <w:sz w:val="20"/>
                <w:szCs w:val="20"/>
              </w:rPr>
            </w:pPr>
            <w:r w:rsidRPr="00C54FEA">
              <w:rPr>
                <w:rFonts w:ascii="Arial" w:hAnsi="Arial" w:cs="Arial"/>
                <w:spacing w:val="-1"/>
                <w:sz w:val="20"/>
                <w:szCs w:val="20"/>
              </w:rPr>
              <w:t>47,498</w:t>
            </w:r>
          </w:p>
        </w:tc>
        <w:tc>
          <w:tcPr>
            <w:tcW w:w="1095" w:type="dxa"/>
            <w:shd w:val="clear" w:color="auto" w:fill="auto"/>
          </w:tcPr>
          <w:p w:rsidR="004476DA" w:rsidRPr="00C54FEA" w:rsidRDefault="004476DA" w:rsidP="00F7789F">
            <w:pPr>
              <w:spacing w:before="60" w:after="60" w:line="240" w:lineRule="auto"/>
              <w:jc w:val="right"/>
              <w:rPr>
                <w:rFonts w:ascii="Arial" w:hAnsi="Arial" w:cs="Arial"/>
                <w:spacing w:val="-1"/>
                <w:sz w:val="20"/>
                <w:szCs w:val="20"/>
              </w:rPr>
            </w:pPr>
            <w:r w:rsidRPr="00C54FEA">
              <w:rPr>
                <w:rFonts w:ascii="Arial" w:hAnsi="Arial" w:cs="Arial"/>
                <w:spacing w:val="-1"/>
                <w:sz w:val="20"/>
                <w:szCs w:val="20"/>
              </w:rPr>
              <w:t>127,830</w:t>
            </w:r>
          </w:p>
        </w:tc>
        <w:tc>
          <w:tcPr>
            <w:tcW w:w="1095" w:type="dxa"/>
          </w:tcPr>
          <w:p w:rsidR="004476DA" w:rsidRPr="00C54FEA" w:rsidRDefault="004476DA" w:rsidP="00F7789F">
            <w:pPr>
              <w:spacing w:before="60" w:after="60" w:line="240" w:lineRule="auto"/>
              <w:jc w:val="right"/>
              <w:rPr>
                <w:rFonts w:ascii="Arial" w:hAnsi="Arial" w:cs="Arial"/>
                <w:spacing w:val="-1"/>
                <w:sz w:val="20"/>
                <w:szCs w:val="20"/>
              </w:rPr>
            </w:pPr>
            <w:r>
              <w:rPr>
                <w:rFonts w:ascii="Arial" w:hAnsi="Arial" w:cs="Arial"/>
                <w:spacing w:val="-1"/>
                <w:sz w:val="20"/>
                <w:szCs w:val="20"/>
              </w:rPr>
              <w:t>65,723</w:t>
            </w:r>
          </w:p>
        </w:tc>
        <w:tc>
          <w:tcPr>
            <w:tcW w:w="1095" w:type="dxa"/>
            <w:shd w:val="clear" w:color="auto" w:fill="auto"/>
          </w:tcPr>
          <w:p w:rsidR="004476DA" w:rsidRPr="00C54FEA" w:rsidRDefault="004476DA" w:rsidP="00F7789F">
            <w:pPr>
              <w:spacing w:before="60" w:after="60" w:line="240" w:lineRule="auto"/>
              <w:jc w:val="right"/>
              <w:rPr>
                <w:rFonts w:ascii="Arial" w:hAnsi="Arial" w:cs="Arial"/>
                <w:spacing w:val="-1"/>
                <w:sz w:val="20"/>
                <w:szCs w:val="20"/>
              </w:rPr>
            </w:pPr>
            <w:r>
              <w:rPr>
                <w:rFonts w:ascii="Arial" w:hAnsi="Arial" w:cs="Arial"/>
                <w:spacing w:val="-1"/>
                <w:sz w:val="20"/>
                <w:szCs w:val="20"/>
              </w:rPr>
              <w:t>123,278</w:t>
            </w:r>
          </w:p>
        </w:tc>
        <w:tc>
          <w:tcPr>
            <w:tcW w:w="1095" w:type="dxa"/>
            <w:shd w:val="clear" w:color="auto" w:fill="auto"/>
          </w:tcPr>
          <w:p w:rsidR="004476DA" w:rsidRPr="00C54FEA" w:rsidRDefault="004476DA" w:rsidP="00F7789F">
            <w:pPr>
              <w:spacing w:before="60" w:after="60" w:line="240" w:lineRule="auto"/>
              <w:jc w:val="right"/>
              <w:rPr>
                <w:rFonts w:ascii="Arial" w:hAnsi="Arial" w:cs="Arial"/>
                <w:spacing w:val="-1"/>
                <w:sz w:val="20"/>
                <w:szCs w:val="20"/>
              </w:rPr>
            </w:pPr>
            <w:r>
              <w:rPr>
                <w:rFonts w:ascii="Arial" w:hAnsi="Arial" w:cs="Arial"/>
                <w:spacing w:val="-1"/>
                <w:sz w:val="20"/>
                <w:szCs w:val="20"/>
              </w:rPr>
              <w:t>87,294</w:t>
            </w:r>
            <w:r w:rsidRPr="00C54FEA">
              <w:rPr>
                <w:rFonts w:ascii="Arial" w:hAnsi="Arial" w:cs="Arial"/>
                <w:spacing w:val="-1"/>
                <w:sz w:val="20"/>
                <w:szCs w:val="20"/>
              </w:rPr>
              <w:t xml:space="preserve"> </w:t>
            </w:r>
            <w:r w:rsidRPr="00C54FEA">
              <w:rPr>
                <w:rFonts w:ascii="Arial" w:hAnsi="Arial" w:cs="Arial"/>
                <w:spacing w:val="-1"/>
                <w:sz w:val="20"/>
                <w:szCs w:val="20"/>
                <w:vertAlign w:val="superscript"/>
              </w:rPr>
              <w:t>(2)</w:t>
            </w:r>
          </w:p>
        </w:tc>
      </w:tr>
      <w:tr w:rsidR="004476DA" w:rsidRPr="0019353C" w:rsidTr="00F7789F">
        <w:tc>
          <w:tcPr>
            <w:tcW w:w="3369" w:type="dxa"/>
            <w:shd w:val="clear" w:color="auto" w:fill="auto"/>
          </w:tcPr>
          <w:p w:rsidR="004476DA" w:rsidRPr="00C54FEA" w:rsidRDefault="004476DA" w:rsidP="00F7789F">
            <w:pPr>
              <w:spacing w:before="60" w:after="60" w:line="240" w:lineRule="auto"/>
              <w:rPr>
                <w:rFonts w:ascii="Arial" w:hAnsi="Arial" w:cs="Arial"/>
                <w:spacing w:val="-1"/>
                <w:sz w:val="20"/>
                <w:szCs w:val="20"/>
              </w:rPr>
            </w:pPr>
            <w:r w:rsidRPr="00C54FEA">
              <w:rPr>
                <w:rFonts w:ascii="Arial" w:hAnsi="Arial" w:cs="Arial"/>
                <w:sz w:val="20"/>
                <w:szCs w:val="20"/>
              </w:rPr>
              <w:t>Percentage of Regulatory Impact Statements assessed within agreed timeframes</w:t>
            </w:r>
            <w:r w:rsidRPr="00C54FEA">
              <w:t xml:space="preserve"> (%)</w:t>
            </w:r>
            <w:r w:rsidRPr="00C54FEA">
              <w:rPr>
                <w:rFonts w:ascii="Arial" w:hAnsi="Arial" w:cs="Arial"/>
                <w:spacing w:val="-1"/>
                <w:sz w:val="20"/>
                <w:szCs w:val="20"/>
                <w:vertAlign w:val="superscript"/>
              </w:rPr>
              <w:t>(c)</w:t>
            </w:r>
          </w:p>
        </w:tc>
        <w:tc>
          <w:tcPr>
            <w:tcW w:w="1094" w:type="dxa"/>
            <w:shd w:val="clear" w:color="auto" w:fill="auto"/>
          </w:tcPr>
          <w:p w:rsidR="004476DA" w:rsidRPr="00C54FEA" w:rsidRDefault="004476DA" w:rsidP="00F7789F">
            <w:pPr>
              <w:spacing w:before="60" w:after="60" w:line="240" w:lineRule="auto"/>
              <w:jc w:val="right"/>
              <w:rPr>
                <w:rFonts w:ascii="Arial" w:hAnsi="Arial" w:cs="Arial"/>
                <w:spacing w:val="-1"/>
                <w:sz w:val="20"/>
                <w:szCs w:val="20"/>
              </w:rPr>
            </w:pPr>
            <w:r w:rsidRPr="00C54FEA">
              <w:rPr>
                <w:rFonts w:ascii="Arial" w:hAnsi="Arial" w:cs="Arial"/>
                <w:spacing w:val="-1"/>
                <w:sz w:val="20"/>
                <w:szCs w:val="20"/>
              </w:rPr>
              <w:t>N/A</w:t>
            </w:r>
          </w:p>
        </w:tc>
        <w:tc>
          <w:tcPr>
            <w:tcW w:w="1095" w:type="dxa"/>
            <w:shd w:val="clear" w:color="auto" w:fill="auto"/>
          </w:tcPr>
          <w:p w:rsidR="004476DA" w:rsidRPr="00C54FEA" w:rsidRDefault="004476DA" w:rsidP="00F7789F">
            <w:pPr>
              <w:spacing w:before="60" w:after="60" w:line="240" w:lineRule="auto"/>
              <w:jc w:val="right"/>
              <w:rPr>
                <w:rFonts w:ascii="Arial" w:hAnsi="Arial" w:cs="Arial"/>
                <w:spacing w:val="-1"/>
                <w:sz w:val="20"/>
                <w:szCs w:val="20"/>
              </w:rPr>
            </w:pPr>
            <w:r w:rsidRPr="00C54FEA">
              <w:rPr>
                <w:rFonts w:ascii="Arial" w:hAnsi="Arial" w:cs="Arial"/>
                <w:spacing w:val="-1"/>
                <w:sz w:val="20"/>
                <w:szCs w:val="20"/>
              </w:rPr>
              <w:t>93.5</w:t>
            </w:r>
          </w:p>
        </w:tc>
        <w:tc>
          <w:tcPr>
            <w:tcW w:w="1095" w:type="dxa"/>
          </w:tcPr>
          <w:p w:rsidR="004476DA" w:rsidRPr="00C54FEA" w:rsidRDefault="004476DA" w:rsidP="00F7789F">
            <w:pPr>
              <w:spacing w:before="60" w:after="60" w:line="240" w:lineRule="auto"/>
              <w:jc w:val="right"/>
              <w:rPr>
                <w:rFonts w:ascii="Arial" w:hAnsi="Arial" w:cs="Arial"/>
                <w:spacing w:val="-1"/>
                <w:sz w:val="20"/>
                <w:szCs w:val="20"/>
              </w:rPr>
            </w:pPr>
            <w:r>
              <w:rPr>
                <w:rFonts w:ascii="Arial" w:hAnsi="Arial" w:cs="Arial"/>
                <w:spacing w:val="-1"/>
                <w:sz w:val="20"/>
                <w:szCs w:val="20"/>
              </w:rPr>
              <w:t>100</w:t>
            </w:r>
          </w:p>
        </w:tc>
        <w:tc>
          <w:tcPr>
            <w:tcW w:w="1095" w:type="dxa"/>
            <w:shd w:val="clear" w:color="auto" w:fill="auto"/>
          </w:tcPr>
          <w:p w:rsidR="004476DA" w:rsidRPr="00C54FEA" w:rsidRDefault="004476DA" w:rsidP="00F7789F">
            <w:pPr>
              <w:spacing w:before="60" w:after="60" w:line="240" w:lineRule="auto"/>
              <w:jc w:val="right"/>
              <w:rPr>
                <w:rFonts w:ascii="Arial" w:hAnsi="Arial" w:cs="Arial"/>
                <w:spacing w:val="-1"/>
                <w:sz w:val="20"/>
                <w:szCs w:val="20"/>
              </w:rPr>
            </w:pPr>
            <w:r w:rsidRPr="00C54FEA">
              <w:rPr>
                <w:rFonts w:ascii="Arial" w:hAnsi="Arial" w:cs="Arial"/>
                <w:spacing w:val="-1"/>
                <w:sz w:val="20"/>
                <w:szCs w:val="20"/>
              </w:rPr>
              <w:t>90</w:t>
            </w:r>
          </w:p>
        </w:tc>
        <w:tc>
          <w:tcPr>
            <w:tcW w:w="1095" w:type="dxa"/>
            <w:shd w:val="clear" w:color="auto" w:fill="auto"/>
          </w:tcPr>
          <w:p w:rsidR="004476DA" w:rsidRPr="00C54FEA" w:rsidRDefault="004476DA" w:rsidP="00F7789F">
            <w:pPr>
              <w:spacing w:before="60" w:after="60" w:line="240" w:lineRule="auto"/>
              <w:jc w:val="right"/>
              <w:rPr>
                <w:rFonts w:ascii="Arial" w:hAnsi="Arial" w:cs="Arial"/>
                <w:spacing w:val="-1"/>
                <w:sz w:val="20"/>
                <w:szCs w:val="20"/>
              </w:rPr>
            </w:pPr>
            <w:r w:rsidRPr="00C54FEA">
              <w:rPr>
                <w:rFonts w:ascii="Arial" w:hAnsi="Arial" w:cs="Arial"/>
                <w:spacing w:val="-1"/>
                <w:sz w:val="20"/>
                <w:szCs w:val="20"/>
              </w:rPr>
              <w:t xml:space="preserve">100 </w:t>
            </w:r>
            <w:r w:rsidRPr="00C54FEA">
              <w:rPr>
                <w:rFonts w:ascii="Arial" w:hAnsi="Arial" w:cs="Arial"/>
                <w:spacing w:val="-1"/>
                <w:sz w:val="20"/>
                <w:szCs w:val="20"/>
                <w:vertAlign w:val="superscript"/>
              </w:rPr>
              <w:t>(3)</w:t>
            </w:r>
          </w:p>
        </w:tc>
      </w:tr>
    </w:tbl>
    <w:p w:rsidR="004476DA" w:rsidRPr="00AA7C8F" w:rsidRDefault="004476DA" w:rsidP="004476DA">
      <w:pPr>
        <w:widowControl w:val="0"/>
        <w:numPr>
          <w:ilvl w:val="0"/>
          <w:numId w:val="44"/>
        </w:numPr>
        <w:kinsoku w:val="0"/>
        <w:overflowPunct w:val="0"/>
        <w:autoSpaceDE w:val="0"/>
        <w:autoSpaceDN w:val="0"/>
        <w:adjustRightInd w:val="0"/>
        <w:spacing w:before="141" w:line="240" w:lineRule="auto"/>
        <w:rPr>
          <w:rFonts w:ascii="Arial" w:hAnsi="Arial" w:cs="Arial"/>
          <w:sz w:val="24"/>
          <w:szCs w:val="24"/>
        </w:rPr>
      </w:pPr>
      <w:r w:rsidRPr="00AA7C8F">
        <w:rPr>
          <w:rFonts w:ascii="Arial" w:hAnsi="Arial" w:cs="Arial"/>
          <w:sz w:val="24"/>
          <w:szCs w:val="24"/>
        </w:rPr>
        <w:t>This indicator covers tasks, such as ministerial correspondence, which are more routine in nature and require a modest investment of time and effort. Cost allocation is</w:t>
      </w:r>
      <w:r>
        <w:rPr>
          <w:rFonts w:ascii="Arial" w:hAnsi="Arial" w:cs="Arial"/>
          <w:sz w:val="24"/>
          <w:szCs w:val="24"/>
        </w:rPr>
        <w:t xml:space="preserve"> </w:t>
      </w:r>
      <w:r w:rsidRPr="00AA7C8F">
        <w:rPr>
          <w:rFonts w:ascii="Arial" w:hAnsi="Arial" w:cs="Arial"/>
          <w:sz w:val="24"/>
          <w:szCs w:val="24"/>
        </w:rPr>
        <w:t>undertaken using staff time as the identified cost driver.</w:t>
      </w:r>
    </w:p>
    <w:p w:rsidR="004476DA" w:rsidRPr="00AA7C8F" w:rsidRDefault="004476DA" w:rsidP="004476DA">
      <w:pPr>
        <w:widowControl w:val="0"/>
        <w:numPr>
          <w:ilvl w:val="0"/>
          <w:numId w:val="44"/>
        </w:numPr>
        <w:kinsoku w:val="0"/>
        <w:overflowPunct w:val="0"/>
        <w:autoSpaceDE w:val="0"/>
        <w:autoSpaceDN w:val="0"/>
        <w:adjustRightInd w:val="0"/>
        <w:spacing w:before="141" w:line="240" w:lineRule="auto"/>
        <w:rPr>
          <w:rFonts w:ascii="Arial" w:hAnsi="Arial" w:cs="Arial"/>
          <w:sz w:val="24"/>
          <w:szCs w:val="24"/>
        </w:rPr>
      </w:pPr>
      <w:r w:rsidRPr="00AA7C8F">
        <w:rPr>
          <w:rFonts w:ascii="Arial" w:hAnsi="Arial" w:cs="Arial"/>
          <w:sz w:val="24"/>
          <w:szCs w:val="24"/>
        </w:rPr>
        <w:t>This indicator covers more significant projects and programs, such as Cabinet Submissions, that require a considerable investment of time and effort. Cost allocation is undertaken</w:t>
      </w:r>
      <w:r>
        <w:rPr>
          <w:rFonts w:ascii="Arial" w:hAnsi="Arial" w:cs="Arial"/>
          <w:sz w:val="24"/>
          <w:szCs w:val="24"/>
        </w:rPr>
        <w:t xml:space="preserve"> </w:t>
      </w:r>
      <w:r w:rsidRPr="00AA7C8F">
        <w:rPr>
          <w:rFonts w:ascii="Arial" w:hAnsi="Arial" w:cs="Arial"/>
          <w:sz w:val="24"/>
          <w:szCs w:val="24"/>
        </w:rPr>
        <w:t>using staff time as the identified cost driver.</w:t>
      </w:r>
    </w:p>
    <w:p w:rsidR="004476DA" w:rsidRPr="00AA7C8F" w:rsidRDefault="004476DA" w:rsidP="004476DA">
      <w:pPr>
        <w:widowControl w:val="0"/>
        <w:numPr>
          <w:ilvl w:val="0"/>
          <w:numId w:val="44"/>
        </w:numPr>
        <w:kinsoku w:val="0"/>
        <w:overflowPunct w:val="0"/>
        <w:autoSpaceDE w:val="0"/>
        <w:autoSpaceDN w:val="0"/>
        <w:adjustRightInd w:val="0"/>
        <w:spacing w:before="141" w:line="240" w:lineRule="auto"/>
        <w:rPr>
          <w:rFonts w:ascii="Arial" w:hAnsi="Arial" w:cs="Arial"/>
          <w:sz w:val="24"/>
          <w:szCs w:val="24"/>
        </w:rPr>
      </w:pPr>
      <w:r w:rsidRPr="00AA7C8F">
        <w:rPr>
          <w:rFonts w:ascii="Arial" w:hAnsi="Arial" w:cs="Arial"/>
          <w:sz w:val="24"/>
          <w:szCs w:val="24"/>
        </w:rPr>
        <w:t>This indicator is for the Regulatory Gatekeeping Unit and illustrates the percentage of submissions received that are</w:t>
      </w:r>
      <w:r>
        <w:rPr>
          <w:rFonts w:ascii="Arial" w:hAnsi="Arial" w:cs="Arial"/>
          <w:sz w:val="24"/>
          <w:szCs w:val="24"/>
        </w:rPr>
        <w:t xml:space="preserve"> responded to within 10 working </w:t>
      </w:r>
      <w:r w:rsidRPr="00AA7C8F">
        <w:rPr>
          <w:rFonts w:ascii="Arial" w:hAnsi="Arial" w:cs="Arial"/>
          <w:sz w:val="24"/>
          <w:szCs w:val="24"/>
        </w:rPr>
        <w:t>days. Prior to 2013-14, this indicator appeared</w:t>
      </w:r>
      <w:r>
        <w:rPr>
          <w:rFonts w:ascii="Arial" w:hAnsi="Arial" w:cs="Arial"/>
          <w:sz w:val="24"/>
          <w:szCs w:val="24"/>
        </w:rPr>
        <w:t xml:space="preserve"> </w:t>
      </w:r>
      <w:r w:rsidRPr="00AA7C8F">
        <w:rPr>
          <w:rFonts w:ascii="Arial" w:hAnsi="Arial" w:cs="Arial"/>
          <w:sz w:val="24"/>
          <w:szCs w:val="24"/>
        </w:rPr>
        <w:t>in the annual report for the Department of Treasury.</w:t>
      </w:r>
    </w:p>
    <w:p w:rsidR="004476DA" w:rsidRPr="00AA7C8F" w:rsidRDefault="004476DA" w:rsidP="004476DA">
      <w:pPr>
        <w:widowControl w:val="0"/>
        <w:numPr>
          <w:ilvl w:val="0"/>
          <w:numId w:val="43"/>
        </w:numPr>
        <w:kinsoku w:val="0"/>
        <w:overflowPunct w:val="0"/>
        <w:autoSpaceDE w:val="0"/>
        <w:autoSpaceDN w:val="0"/>
        <w:adjustRightInd w:val="0"/>
        <w:spacing w:before="141" w:line="240" w:lineRule="auto"/>
        <w:jc w:val="both"/>
        <w:rPr>
          <w:rFonts w:ascii="Arial" w:hAnsi="Arial" w:cs="Arial"/>
          <w:sz w:val="24"/>
          <w:szCs w:val="24"/>
        </w:rPr>
      </w:pPr>
      <w:r w:rsidRPr="00AA7C8F">
        <w:rPr>
          <w:rFonts w:ascii="Arial" w:hAnsi="Arial" w:cs="Arial"/>
          <w:sz w:val="24"/>
          <w:szCs w:val="24"/>
        </w:rPr>
        <w:t>A continued reduction in staffing resources has maintained a lower average cost for the 2015-16</w:t>
      </w:r>
      <w:r>
        <w:rPr>
          <w:rFonts w:ascii="Arial" w:hAnsi="Arial" w:cs="Arial"/>
          <w:sz w:val="24"/>
          <w:szCs w:val="24"/>
        </w:rPr>
        <w:t xml:space="preserve"> </w:t>
      </w:r>
      <w:r w:rsidRPr="00AA7C8F">
        <w:rPr>
          <w:rFonts w:ascii="Arial" w:hAnsi="Arial" w:cs="Arial"/>
          <w:sz w:val="24"/>
          <w:szCs w:val="24"/>
        </w:rPr>
        <w:t xml:space="preserve">actual compared to the 2015-16 target. </w:t>
      </w:r>
    </w:p>
    <w:p w:rsidR="004476DA" w:rsidRDefault="004476DA" w:rsidP="004476DA">
      <w:pPr>
        <w:widowControl w:val="0"/>
        <w:numPr>
          <w:ilvl w:val="0"/>
          <w:numId w:val="43"/>
        </w:numPr>
        <w:kinsoku w:val="0"/>
        <w:overflowPunct w:val="0"/>
        <w:autoSpaceDE w:val="0"/>
        <w:autoSpaceDN w:val="0"/>
        <w:adjustRightInd w:val="0"/>
        <w:spacing w:before="141" w:line="240" w:lineRule="auto"/>
        <w:rPr>
          <w:rFonts w:ascii="Arial" w:hAnsi="Arial" w:cs="Arial"/>
          <w:sz w:val="24"/>
          <w:szCs w:val="24"/>
        </w:rPr>
      </w:pPr>
      <w:r w:rsidRPr="00AA7C8F">
        <w:rPr>
          <w:rFonts w:ascii="Arial" w:hAnsi="Arial" w:cs="Arial"/>
          <w:sz w:val="24"/>
          <w:szCs w:val="24"/>
        </w:rPr>
        <w:t>The lower result in 2015-16, compared to target, is due to projects and programs being less complicated and hence less resource intensive than anticipated. The increase over 2014-15 actual relates to the increased resourcing requirements for Phase Two</w:t>
      </w:r>
      <w:r>
        <w:rPr>
          <w:rFonts w:ascii="Arial" w:hAnsi="Arial" w:cs="Arial"/>
          <w:sz w:val="24"/>
          <w:szCs w:val="24"/>
        </w:rPr>
        <w:t xml:space="preserve"> </w:t>
      </w:r>
      <w:r w:rsidRPr="00AA7C8F">
        <w:rPr>
          <w:rFonts w:ascii="Arial" w:hAnsi="Arial" w:cs="Arial"/>
          <w:sz w:val="24"/>
          <w:szCs w:val="24"/>
        </w:rPr>
        <w:t>of the Electricity Market Review.</w:t>
      </w:r>
    </w:p>
    <w:p w:rsidR="004476DA" w:rsidRPr="00AA7C8F" w:rsidRDefault="004476DA" w:rsidP="004476DA">
      <w:pPr>
        <w:widowControl w:val="0"/>
        <w:numPr>
          <w:ilvl w:val="0"/>
          <w:numId w:val="43"/>
        </w:numPr>
        <w:kinsoku w:val="0"/>
        <w:overflowPunct w:val="0"/>
        <w:autoSpaceDE w:val="0"/>
        <w:autoSpaceDN w:val="0"/>
        <w:adjustRightInd w:val="0"/>
        <w:spacing w:before="141" w:line="240" w:lineRule="auto"/>
        <w:rPr>
          <w:rFonts w:ascii="Arial" w:hAnsi="Arial" w:cs="Arial"/>
          <w:sz w:val="24"/>
          <w:szCs w:val="24"/>
        </w:rPr>
      </w:pPr>
      <w:r w:rsidRPr="00AA7C8F">
        <w:rPr>
          <w:rFonts w:ascii="Arial" w:hAnsi="Arial" w:cs="Arial"/>
          <w:sz w:val="24"/>
          <w:szCs w:val="24"/>
        </w:rPr>
        <w:t>An ongoing focus on customer service has enabled Economic Reform to continue to achieve</w:t>
      </w:r>
      <w:r>
        <w:rPr>
          <w:rFonts w:ascii="Arial" w:hAnsi="Arial" w:cs="Arial"/>
          <w:sz w:val="24"/>
          <w:szCs w:val="24"/>
        </w:rPr>
        <w:t xml:space="preserve"> </w:t>
      </w:r>
      <w:r w:rsidRPr="00AA7C8F">
        <w:rPr>
          <w:rFonts w:ascii="Arial" w:hAnsi="Arial" w:cs="Arial"/>
          <w:sz w:val="24"/>
          <w:szCs w:val="24"/>
        </w:rPr>
        <w:t>100 per cent for this indicator</w:t>
      </w:r>
      <w:r>
        <w:rPr>
          <w:rFonts w:ascii="Arial" w:hAnsi="Arial" w:cs="Arial"/>
          <w:sz w:val="24"/>
          <w:szCs w:val="24"/>
        </w:rPr>
        <w:t>.</w:t>
      </w:r>
    </w:p>
    <w:p w:rsidR="008E5C65" w:rsidRPr="00EC67A7" w:rsidRDefault="00BC2A2C" w:rsidP="008E5C65">
      <w:pPr>
        <w:pStyle w:val="Heading1"/>
      </w:pPr>
      <w:r>
        <w:t>DISCLOSURES</w:t>
      </w:r>
      <w:r w:rsidR="008E5C65" w:rsidRPr="003A5077">
        <w:t xml:space="preserve"> </w:t>
      </w:r>
      <w:r w:rsidR="008E5C65" w:rsidRPr="00EC67A7">
        <w:t xml:space="preserve"> </w:t>
      </w:r>
    </w:p>
    <w:p w:rsidR="008E5C65" w:rsidRPr="003A5077" w:rsidRDefault="008E5C65" w:rsidP="008E5C65">
      <w:pPr>
        <w:pStyle w:val="BodyText"/>
        <w:numPr>
          <w:ilvl w:val="0"/>
          <w:numId w:val="1"/>
        </w:numPr>
        <w:ind w:left="1134"/>
        <w:rPr>
          <w:spacing w:val="-1"/>
          <w:sz w:val="36"/>
          <w:szCs w:val="36"/>
        </w:rPr>
      </w:pPr>
      <w:r>
        <w:rPr>
          <w:spacing w:val="-1"/>
          <w:sz w:val="36"/>
          <w:szCs w:val="36"/>
        </w:rPr>
        <w:t>Ministerial directives</w:t>
      </w:r>
    </w:p>
    <w:p w:rsidR="008E5C65" w:rsidRPr="003A5077" w:rsidRDefault="008E5C65" w:rsidP="008E5C65">
      <w:pPr>
        <w:pStyle w:val="BodyText"/>
        <w:numPr>
          <w:ilvl w:val="0"/>
          <w:numId w:val="1"/>
        </w:numPr>
        <w:ind w:left="1134"/>
        <w:rPr>
          <w:spacing w:val="-1"/>
          <w:sz w:val="36"/>
          <w:szCs w:val="36"/>
        </w:rPr>
      </w:pPr>
      <w:r>
        <w:rPr>
          <w:spacing w:val="-1"/>
          <w:sz w:val="36"/>
          <w:szCs w:val="36"/>
        </w:rPr>
        <w:t>Other financial disclosures</w:t>
      </w:r>
    </w:p>
    <w:p w:rsidR="008E5C65" w:rsidRPr="003A5077" w:rsidRDefault="008E5C65" w:rsidP="008E5C65">
      <w:pPr>
        <w:pStyle w:val="BodyText"/>
        <w:numPr>
          <w:ilvl w:val="0"/>
          <w:numId w:val="1"/>
        </w:numPr>
        <w:ind w:left="1134"/>
        <w:rPr>
          <w:spacing w:val="-1"/>
          <w:sz w:val="36"/>
          <w:szCs w:val="36"/>
        </w:rPr>
      </w:pPr>
      <w:r>
        <w:rPr>
          <w:spacing w:val="-1"/>
          <w:sz w:val="36"/>
          <w:szCs w:val="36"/>
        </w:rPr>
        <w:t>Governance disclosures</w:t>
      </w:r>
    </w:p>
    <w:p w:rsidR="008E5C65" w:rsidRPr="003A5077" w:rsidRDefault="008E5C65" w:rsidP="008E5C65">
      <w:pPr>
        <w:pStyle w:val="BodyText"/>
        <w:numPr>
          <w:ilvl w:val="0"/>
          <w:numId w:val="1"/>
        </w:numPr>
        <w:ind w:left="1134"/>
        <w:rPr>
          <w:spacing w:val="-1"/>
          <w:sz w:val="36"/>
          <w:szCs w:val="36"/>
        </w:rPr>
      </w:pPr>
      <w:r>
        <w:rPr>
          <w:spacing w:val="-1"/>
          <w:sz w:val="36"/>
          <w:szCs w:val="36"/>
        </w:rPr>
        <w:t>Other legal requirements</w:t>
      </w:r>
    </w:p>
    <w:p w:rsidR="008E5C65" w:rsidRDefault="008E5C65" w:rsidP="008E5C65">
      <w:pPr>
        <w:pStyle w:val="BodyText"/>
        <w:numPr>
          <w:ilvl w:val="0"/>
          <w:numId w:val="1"/>
        </w:numPr>
        <w:ind w:left="1134"/>
        <w:rPr>
          <w:spacing w:val="-1"/>
          <w:sz w:val="36"/>
          <w:szCs w:val="36"/>
        </w:rPr>
      </w:pPr>
      <w:r w:rsidRPr="003A5077">
        <w:rPr>
          <w:spacing w:val="-1"/>
          <w:sz w:val="36"/>
          <w:szCs w:val="36"/>
        </w:rPr>
        <w:t>Government policy requirements</w:t>
      </w:r>
    </w:p>
    <w:p w:rsidR="008E5C65" w:rsidRDefault="008E5C65" w:rsidP="008E5C65">
      <w:pPr>
        <w:pStyle w:val="Heading2"/>
      </w:pPr>
      <w:r>
        <w:rPr>
          <w:spacing w:val="-1"/>
          <w:sz w:val="36"/>
          <w:szCs w:val="36"/>
        </w:rPr>
        <w:br w:type="page"/>
      </w:r>
      <w:r>
        <w:t>Ministerial directives</w:t>
      </w:r>
    </w:p>
    <w:p w:rsidR="008E5C65" w:rsidRDefault="008E5C65" w:rsidP="008E5C65">
      <w:pPr>
        <w:pStyle w:val="BodyText"/>
      </w:pPr>
      <w:r>
        <w:t>Treasurer’s instruction 903 (12) requires the Department to disclose information on any ministerial directives relevant to the setting or achievement of desired outcomes or operational objectives, investment activities, and financing activities.</w:t>
      </w:r>
    </w:p>
    <w:p w:rsidR="008E5C65" w:rsidRDefault="008E5C65" w:rsidP="008E5C65">
      <w:pPr>
        <w:pStyle w:val="BodyText"/>
      </w:pPr>
      <w:r>
        <w:t>No ministerial directives were received during the financial year</w:t>
      </w:r>
      <w:r w:rsidRPr="008072FC">
        <w:t>.</w:t>
      </w:r>
    </w:p>
    <w:p w:rsidR="008E5C65" w:rsidRDefault="008E5C65" w:rsidP="008E5C65">
      <w:pPr>
        <w:pStyle w:val="Heading2"/>
      </w:pPr>
      <w:r>
        <w:t>Other financial disclosures</w:t>
      </w:r>
    </w:p>
    <w:p w:rsidR="008E5C65" w:rsidRDefault="008E5C65" w:rsidP="008E5C65">
      <w:pPr>
        <w:pStyle w:val="Heading3"/>
      </w:pPr>
      <w:r>
        <w:t>Pricing policies of services provided</w:t>
      </w:r>
    </w:p>
    <w:p w:rsidR="008E5C65" w:rsidRDefault="008E5C65" w:rsidP="008E5C65">
      <w:pPr>
        <w:pStyle w:val="BodyText"/>
      </w:pPr>
      <w:r>
        <w:t>The Department’s fees and charges were reviewed in 2015-16 in accordance with the State Government’s policy. Increases were limited to the Consumer Price Index as advised by the Department of Treasury.</w:t>
      </w:r>
    </w:p>
    <w:p w:rsidR="008E5C65" w:rsidRDefault="008E5C65" w:rsidP="008E5C65">
      <w:pPr>
        <w:pStyle w:val="BodyText"/>
      </w:pPr>
      <w:r>
        <w:t>Where possible, full cost-recovery was sought pursuant to the Department’s policy for fees and charges.</w:t>
      </w:r>
    </w:p>
    <w:p w:rsidR="008E5C65" w:rsidRDefault="008E5C65" w:rsidP="008E5C65">
      <w:pPr>
        <w:pStyle w:val="BodyText"/>
      </w:pPr>
      <w:r>
        <w:t>Aside from the Department's fees and charges, the Department collects a range of other agencies' fees and taxes, which are not covered by the Department's pricing policies.</w:t>
      </w:r>
    </w:p>
    <w:p w:rsidR="008E5C65" w:rsidRDefault="008E5C65" w:rsidP="008E5C65">
      <w:pPr>
        <w:pStyle w:val="Heading3"/>
      </w:pPr>
      <w:r>
        <w:t>Capital works</w:t>
      </w:r>
    </w:p>
    <w:p w:rsidR="008E5C65" w:rsidRDefault="008E5C65" w:rsidP="008E5C65">
      <w:pPr>
        <w:pStyle w:val="BodyText"/>
      </w:pPr>
      <w:r>
        <w:t>In 2015-16, $186 million was spent on capital investments. The key capital projects for the Department are detailed in the table below:</w:t>
      </w:r>
    </w:p>
    <w:p w:rsidR="008E5C65" w:rsidRDefault="008E5C65" w:rsidP="008E5C65">
      <w:pPr>
        <w:pStyle w:val="Caption"/>
        <w:keepNext/>
        <w:rPr>
          <w:noProof/>
        </w:rPr>
      </w:pPr>
    </w:p>
    <w:p w:rsidR="008E5C65" w:rsidRPr="00FE25E6" w:rsidRDefault="00D8778B" w:rsidP="008E5C65">
      <w:pPr>
        <w:pStyle w:val="Caption"/>
        <w:keepNext/>
        <w:rPr>
          <w:noProof/>
        </w:rPr>
      </w:pPr>
      <w:r>
        <w:rPr>
          <w:rFonts w:cs="Arial"/>
          <w:szCs w:val="24"/>
        </w:rPr>
        <w:fldChar w:fldCharType="begin"/>
      </w:r>
      <w:r>
        <w:rPr>
          <w:rFonts w:cs="Arial"/>
          <w:szCs w:val="24"/>
        </w:rPr>
        <w:instrText xml:space="preserve"> SEQ Table \* ARABIC \r86 </w:instrText>
      </w:r>
      <w:r>
        <w:rPr>
          <w:rFonts w:cs="Arial"/>
          <w:szCs w:val="24"/>
        </w:rPr>
        <w:fldChar w:fldCharType="separate"/>
      </w:r>
      <w:r>
        <w:rPr>
          <w:rFonts w:cs="Arial"/>
          <w:noProof/>
          <w:szCs w:val="24"/>
        </w:rPr>
        <w:t>86</w:t>
      </w:r>
      <w:r>
        <w:rPr>
          <w:rFonts w:cs="Arial"/>
          <w:szCs w:val="24"/>
        </w:rPr>
        <w:fldChar w:fldCharType="end"/>
      </w:r>
      <w:r w:rsidR="008E5C65" w:rsidRPr="00FE25E6">
        <w:rPr>
          <w:noProof/>
        </w:rPr>
        <w:t xml:space="preserve"> Projects</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367"/>
        <w:gridCol w:w="1367"/>
        <w:gridCol w:w="1368"/>
        <w:gridCol w:w="1367"/>
        <w:gridCol w:w="1368"/>
      </w:tblGrid>
      <w:tr w:rsidR="008E5C65" w:rsidRPr="00442B03" w:rsidTr="000F76F9">
        <w:trPr>
          <w:trHeight w:val="985"/>
        </w:trPr>
        <w:tc>
          <w:tcPr>
            <w:tcW w:w="2405" w:type="dxa"/>
            <w:shd w:val="clear" w:color="auto" w:fill="auto"/>
            <w:vAlign w:val="center"/>
          </w:tcPr>
          <w:p w:rsidR="008E5C65" w:rsidRPr="00442B03" w:rsidRDefault="008E5C65" w:rsidP="006E3423">
            <w:pPr>
              <w:pStyle w:val="BodyText"/>
              <w:spacing w:before="60" w:after="60"/>
              <w:rPr>
                <w:b/>
                <w:sz w:val="20"/>
                <w:szCs w:val="20"/>
              </w:rPr>
            </w:pPr>
            <w:r w:rsidRPr="00442B03">
              <w:rPr>
                <w:b/>
                <w:sz w:val="20"/>
                <w:szCs w:val="20"/>
              </w:rPr>
              <w:t>Project</w:t>
            </w:r>
          </w:p>
        </w:tc>
        <w:tc>
          <w:tcPr>
            <w:tcW w:w="1367" w:type="dxa"/>
            <w:shd w:val="clear" w:color="auto" w:fill="auto"/>
            <w:vAlign w:val="bottom"/>
          </w:tcPr>
          <w:p w:rsidR="008E5C65" w:rsidRPr="00442B03" w:rsidRDefault="008E5C65" w:rsidP="006E3423">
            <w:pPr>
              <w:pStyle w:val="BodyText"/>
              <w:spacing w:before="60" w:after="60"/>
              <w:jc w:val="right"/>
              <w:rPr>
                <w:b/>
                <w:sz w:val="20"/>
                <w:szCs w:val="20"/>
              </w:rPr>
            </w:pPr>
            <w:r w:rsidRPr="00442B03">
              <w:rPr>
                <w:b/>
                <w:sz w:val="20"/>
                <w:szCs w:val="20"/>
              </w:rPr>
              <w:t>Expected completion date</w:t>
            </w:r>
          </w:p>
        </w:tc>
        <w:tc>
          <w:tcPr>
            <w:tcW w:w="1367" w:type="dxa"/>
            <w:shd w:val="clear" w:color="auto" w:fill="auto"/>
            <w:vAlign w:val="bottom"/>
          </w:tcPr>
          <w:p w:rsidR="008E5C65" w:rsidRPr="00442B03" w:rsidRDefault="008E5C65" w:rsidP="006E3423">
            <w:pPr>
              <w:pStyle w:val="BodyText"/>
              <w:spacing w:before="60" w:after="60"/>
              <w:jc w:val="right"/>
              <w:rPr>
                <w:b/>
                <w:sz w:val="20"/>
                <w:szCs w:val="20"/>
              </w:rPr>
            </w:pPr>
            <w:r w:rsidRPr="00442B03">
              <w:rPr>
                <w:b/>
                <w:sz w:val="20"/>
                <w:szCs w:val="20"/>
              </w:rPr>
              <w:t>Actual expenditure 201</w:t>
            </w:r>
            <w:r>
              <w:rPr>
                <w:b/>
                <w:sz w:val="20"/>
                <w:szCs w:val="20"/>
              </w:rPr>
              <w:t>5</w:t>
            </w:r>
            <w:r w:rsidRPr="00442B03">
              <w:rPr>
                <w:b/>
                <w:sz w:val="20"/>
                <w:szCs w:val="20"/>
              </w:rPr>
              <w:t>-1</w:t>
            </w:r>
            <w:r>
              <w:rPr>
                <w:b/>
                <w:sz w:val="20"/>
                <w:szCs w:val="20"/>
              </w:rPr>
              <w:t>6</w:t>
            </w:r>
            <w:r w:rsidRPr="00442B03">
              <w:rPr>
                <w:b/>
                <w:sz w:val="20"/>
                <w:szCs w:val="20"/>
              </w:rPr>
              <w:br/>
              <w:t>$000</w:t>
            </w:r>
          </w:p>
        </w:tc>
        <w:tc>
          <w:tcPr>
            <w:tcW w:w="1368" w:type="dxa"/>
            <w:shd w:val="clear" w:color="auto" w:fill="auto"/>
            <w:vAlign w:val="bottom"/>
          </w:tcPr>
          <w:p w:rsidR="008E5C65" w:rsidRPr="00A56E98" w:rsidRDefault="008E5C65" w:rsidP="006E3423">
            <w:pPr>
              <w:pStyle w:val="BodyText"/>
              <w:spacing w:before="60" w:after="60"/>
              <w:jc w:val="right"/>
              <w:rPr>
                <w:b/>
                <w:sz w:val="20"/>
                <w:szCs w:val="20"/>
              </w:rPr>
            </w:pPr>
            <w:r w:rsidRPr="00A56E98">
              <w:rPr>
                <w:b/>
                <w:sz w:val="20"/>
                <w:szCs w:val="20"/>
              </w:rPr>
              <w:t>Actual expenditure 2014-15</w:t>
            </w:r>
            <w:r>
              <w:rPr>
                <w:b/>
                <w:sz w:val="20"/>
                <w:szCs w:val="20"/>
              </w:rPr>
              <w:t xml:space="preserve"> $000</w:t>
            </w:r>
          </w:p>
        </w:tc>
        <w:tc>
          <w:tcPr>
            <w:tcW w:w="1367" w:type="dxa"/>
            <w:shd w:val="clear" w:color="auto" w:fill="auto"/>
            <w:vAlign w:val="bottom"/>
          </w:tcPr>
          <w:p w:rsidR="008E5C65" w:rsidRPr="00442B03" w:rsidRDefault="008E5C65" w:rsidP="006E3423">
            <w:pPr>
              <w:pStyle w:val="BodyText"/>
              <w:spacing w:before="60" w:after="60"/>
              <w:jc w:val="right"/>
              <w:rPr>
                <w:b/>
                <w:sz w:val="20"/>
                <w:szCs w:val="20"/>
              </w:rPr>
            </w:pPr>
            <w:r w:rsidRPr="00442B03">
              <w:rPr>
                <w:b/>
                <w:sz w:val="20"/>
                <w:szCs w:val="20"/>
              </w:rPr>
              <w:t>Estimated cost to complete</w:t>
            </w:r>
            <w:r w:rsidRPr="00442B03">
              <w:rPr>
                <w:b/>
                <w:sz w:val="20"/>
                <w:szCs w:val="20"/>
              </w:rPr>
              <w:br/>
              <w:t>$000</w:t>
            </w:r>
          </w:p>
        </w:tc>
        <w:tc>
          <w:tcPr>
            <w:tcW w:w="1368" w:type="dxa"/>
            <w:shd w:val="clear" w:color="auto" w:fill="auto"/>
            <w:vAlign w:val="bottom"/>
          </w:tcPr>
          <w:p w:rsidR="008E5C65" w:rsidRPr="00442B03" w:rsidRDefault="008E5C65" w:rsidP="006E3423">
            <w:pPr>
              <w:pStyle w:val="BodyText"/>
              <w:spacing w:before="60" w:after="60"/>
              <w:jc w:val="right"/>
              <w:rPr>
                <w:b/>
                <w:sz w:val="20"/>
                <w:szCs w:val="20"/>
              </w:rPr>
            </w:pPr>
            <w:r w:rsidRPr="00442B03">
              <w:rPr>
                <w:b/>
                <w:sz w:val="20"/>
                <w:szCs w:val="20"/>
              </w:rPr>
              <w:t>Estimated total cost</w:t>
            </w:r>
            <w:r w:rsidRPr="00442B03">
              <w:rPr>
                <w:b/>
                <w:sz w:val="20"/>
                <w:szCs w:val="20"/>
              </w:rPr>
              <w:br/>
              <w:t>$000</w:t>
            </w:r>
          </w:p>
        </w:tc>
      </w:tr>
      <w:tr w:rsidR="008E5C65" w:rsidRPr="00442B03" w:rsidTr="000F76F9">
        <w:tc>
          <w:tcPr>
            <w:tcW w:w="2405" w:type="dxa"/>
            <w:shd w:val="clear" w:color="auto" w:fill="auto"/>
          </w:tcPr>
          <w:p w:rsidR="008E5C65" w:rsidRPr="00442B03" w:rsidRDefault="008E5C65" w:rsidP="006E3423">
            <w:pPr>
              <w:pStyle w:val="BodyText"/>
              <w:spacing w:before="60" w:after="60"/>
              <w:rPr>
                <w:sz w:val="20"/>
                <w:szCs w:val="20"/>
              </w:rPr>
            </w:pPr>
            <w:r w:rsidRPr="00442B03">
              <w:rPr>
                <w:sz w:val="20"/>
                <w:szCs w:val="20"/>
              </w:rPr>
              <w:t>Master Planning Strategy – Government Office Accommodation</w:t>
            </w:r>
          </w:p>
        </w:tc>
        <w:tc>
          <w:tcPr>
            <w:tcW w:w="1367" w:type="dxa"/>
            <w:shd w:val="clear" w:color="auto" w:fill="auto"/>
          </w:tcPr>
          <w:p w:rsidR="008E5C65" w:rsidRPr="00442B03" w:rsidRDefault="008E5C65" w:rsidP="006E3423">
            <w:pPr>
              <w:pStyle w:val="BodyText"/>
              <w:spacing w:before="60" w:after="60"/>
              <w:jc w:val="right"/>
              <w:rPr>
                <w:sz w:val="20"/>
                <w:szCs w:val="20"/>
              </w:rPr>
            </w:pPr>
            <w:r>
              <w:rPr>
                <w:sz w:val="20"/>
                <w:szCs w:val="20"/>
              </w:rPr>
              <w:t>2018</w:t>
            </w:r>
          </w:p>
        </w:tc>
        <w:tc>
          <w:tcPr>
            <w:tcW w:w="1367" w:type="dxa"/>
            <w:shd w:val="clear" w:color="auto" w:fill="auto"/>
          </w:tcPr>
          <w:p w:rsidR="008E5C65" w:rsidRPr="00442B03" w:rsidRDefault="008E5C65" w:rsidP="006E3423">
            <w:pPr>
              <w:pStyle w:val="BodyText"/>
              <w:spacing w:before="60" w:after="60"/>
              <w:jc w:val="right"/>
              <w:rPr>
                <w:sz w:val="20"/>
                <w:szCs w:val="20"/>
              </w:rPr>
            </w:pPr>
            <w:r>
              <w:rPr>
                <w:sz w:val="20"/>
                <w:szCs w:val="20"/>
              </w:rPr>
              <w:t>26,199</w:t>
            </w:r>
          </w:p>
        </w:tc>
        <w:tc>
          <w:tcPr>
            <w:tcW w:w="1368" w:type="dxa"/>
            <w:shd w:val="clear" w:color="auto" w:fill="auto"/>
          </w:tcPr>
          <w:p w:rsidR="008E5C65" w:rsidRPr="00442B03" w:rsidRDefault="008E5C65" w:rsidP="006E3423">
            <w:pPr>
              <w:pStyle w:val="BodyText"/>
              <w:spacing w:before="60" w:after="60"/>
              <w:jc w:val="right"/>
              <w:rPr>
                <w:sz w:val="20"/>
                <w:szCs w:val="20"/>
              </w:rPr>
            </w:pPr>
            <w:r w:rsidRPr="00442B03">
              <w:rPr>
                <w:sz w:val="20"/>
                <w:szCs w:val="20"/>
              </w:rPr>
              <w:t>16,211</w:t>
            </w:r>
          </w:p>
        </w:tc>
        <w:tc>
          <w:tcPr>
            <w:tcW w:w="1367" w:type="dxa"/>
            <w:shd w:val="clear" w:color="auto" w:fill="auto"/>
          </w:tcPr>
          <w:p w:rsidR="008E5C65" w:rsidRPr="00442B03" w:rsidRDefault="008E5C65" w:rsidP="006E3423">
            <w:pPr>
              <w:pStyle w:val="BodyText"/>
              <w:spacing w:before="60" w:after="60"/>
              <w:jc w:val="right"/>
              <w:rPr>
                <w:sz w:val="20"/>
                <w:szCs w:val="20"/>
              </w:rPr>
            </w:pPr>
            <w:r>
              <w:rPr>
                <w:sz w:val="20"/>
                <w:szCs w:val="20"/>
              </w:rPr>
              <w:t>23,951</w:t>
            </w:r>
          </w:p>
        </w:tc>
        <w:tc>
          <w:tcPr>
            <w:tcW w:w="1368" w:type="dxa"/>
            <w:shd w:val="clear" w:color="auto" w:fill="auto"/>
          </w:tcPr>
          <w:p w:rsidR="008E5C65" w:rsidRPr="00442B03" w:rsidRDefault="008E5C65" w:rsidP="006E3423">
            <w:pPr>
              <w:pStyle w:val="BodyText"/>
              <w:spacing w:before="60" w:after="60"/>
              <w:jc w:val="right"/>
              <w:rPr>
                <w:sz w:val="20"/>
                <w:szCs w:val="20"/>
              </w:rPr>
            </w:pPr>
            <w:r>
              <w:rPr>
                <w:sz w:val="20"/>
                <w:szCs w:val="20"/>
              </w:rPr>
              <w:t>223,442</w:t>
            </w:r>
          </w:p>
        </w:tc>
      </w:tr>
      <w:tr w:rsidR="008E5C65" w:rsidRPr="00442B03" w:rsidTr="000F76F9">
        <w:tc>
          <w:tcPr>
            <w:tcW w:w="2405" w:type="dxa"/>
            <w:shd w:val="clear" w:color="auto" w:fill="auto"/>
          </w:tcPr>
          <w:p w:rsidR="008E5C65" w:rsidRPr="00442B03" w:rsidRDefault="008E5C65" w:rsidP="006E3423">
            <w:pPr>
              <w:pStyle w:val="BodyText"/>
              <w:spacing w:before="60" w:after="60"/>
              <w:rPr>
                <w:sz w:val="20"/>
                <w:szCs w:val="20"/>
              </w:rPr>
            </w:pPr>
            <w:r>
              <w:rPr>
                <w:sz w:val="20"/>
                <w:szCs w:val="20"/>
              </w:rPr>
              <w:t>St Georges Cathedral Heritage Precinct –Office Fitout</w:t>
            </w:r>
          </w:p>
        </w:tc>
        <w:tc>
          <w:tcPr>
            <w:tcW w:w="1367" w:type="dxa"/>
            <w:shd w:val="clear" w:color="auto" w:fill="auto"/>
          </w:tcPr>
          <w:p w:rsidR="008E5C65" w:rsidRPr="00442B03" w:rsidRDefault="008E5C65" w:rsidP="006E3423">
            <w:pPr>
              <w:pStyle w:val="BodyText"/>
              <w:spacing w:before="60" w:after="60"/>
              <w:jc w:val="right"/>
              <w:rPr>
                <w:sz w:val="20"/>
                <w:szCs w:val="20"/>
              </w:rPr>
            </w:pPr>
            <w:r>
              <w:rPr>
                <w:sz w:val="20"/>
                <w:szCs w:val="20"/>
              </w:rPr>
              <w:t>2016</w:t>
            </w:r>
          </w:p>
        </w:tc>
        <w:tc>
          <w:tcPr>
            <w:tcW w:w="1367" w:type="dxa"/>
            <w:shd w:val="clear" w:color="auto" w:fill="auto"/>
          </w:tcPr>
          <w:p w:rsidR="008E5C65" w:rsidRPr="00442B03" w:rsidRDefault="008E5C65" w:rsidP="006E3423">
            <w:pPr>
              <w:pStyle w:val="BodyText"/>
              <w:spacing w:before="60" w:after="60"/>
              <w:jc w:val="right"/>
              <w:rPr>
                <w:sz w:val="20"/>
                <w:szCs w:val="20"/>
              </w:rPr>
            </w:pPr>
            <w:r>
              <w:rPr>
                <w:sz w:val="20"/>
                <w:szCs w:val="20"/>
              </w:rPr>
              <w:t>33,425</w:t>
            </w:r>
          </w:p>
        </w:tc>
        <w:tc>
          <w:tcPr>
            <w:tcW w:w="1368" w:type="dxa"/>
            <w:shd w:val="clear" w:color="auto" w:fill="auto"/>
          </w:tcPr>
          <w:p w:rsidR="008E5C65" w:rsidRPr="00A56E98" w:rsidRDefault="008E5C65" w:rsidP="006E3423">
            <w:pPr>
              <w:pStyle w:val="BodyText"/>
              <w:spacing w:before="60" w:after="60"/>
              <w:jc w:val="right"/>
              <w:rPr>
                <w:sz w:val="20"/>
                <w:szCs w:val="20"/>
              </w:rPr>
            </w:pPr>
            <w:r w:rsidRPr="00A56E98">
              <w:rPr>
                <w:sz w:val="20"/>
                <w:szCs w:val="20"/>
              </w:rPr>
              <w:t>2,148</w:t>
            </w:r>
          </w:p>
        </w:tc>
        <w:tc>
          <w:tcPr>
            <w:tcW w:w="1367" w:type="dxa"/>
            <w:shd w:val="clear" w:color="auto" w:fill="auto"/>
          </w:tcPr>
          <w:p w:rsidR="008E5C65" w:rsidRPr="00442B03" w:rsidRDefault="008E5C65" w:rsidP="006E3423">
            <w:pPr>
              <w:pStyle w:val="BodyText"/>
              <w:spacing w:before="60" w:after="60"/>
              <w:jc w:val="right"/>
              <w:rPr>
                <w:sz w:val="20"/>
                <w:szCs w:val="20"/>
              </w:rPr>
            </w:pPr>
            <w:r>
              <w:rPr>
                <w:sz w:val="20"/>
                <w:szCs w:val="20"/>
              </w:rPr>
              <w:t>17,768</w:t>
            </w:r>
          </w:p>
        </w:tc>
        <w:tc>
          <w:tcPr>
            <w:tcW w:w="1368" w:type="dxa"/>
            <w:shd w:val="clear" w:color="auto" w:fill="auto"/>
          </w:tcPr>
          <w:p w:rsidR="008E5C65" w:rsidRPr="00442B03" w:rsidRDefault="008E5C65" w:rsidP="006E3423">
            <w:pPr>
              <w:pStyle w:val="BodyText"/>
              <w:spacing w:before="60" w:after="60"/>
              <w:jc w:val="right"/>
              <w:rPr>
                <w:sz w:val="20"/>
                <w:szCs w:val="20"/>
              </w:rPr>
            </w:pPr>
            <w:r>
              <w:rPr>
                <w:sz w:val="20"/>
                <w:szCs w:val="20"/>
              </w:rPr>
              <w:t>53,341</w:t>
            </w:r>
          </w:p>
        </w:tc>
      </w:tr>
      <w:tr w:rsidR="008E5C65" w:rsidRPr="00442B03" w:rsidTr="000F76F9">
        <w:tc>
          <w:tcPr>
            <w:tcW w:w="2405" w:type="dxa"/>
            <w:shd w:val="clear" w:color="auto" w:fill="auto"/>
          </w:tcPr>
          <w:p w:rsidR="008E5C65" w:rsidRDefault="008E5C65" w:rsidP="006E3423">
            <w:pPr>
              <w:pStyle w:val="BodyText"/>
              <w:spacing w:before="60" w:after="60"/>
              <w:rPr>
                <w:sz w:val="20"/>
                <w:szCs w:val="20"/>
              </w:rPr>
            </w:pPr>
            <w:r>
              <w:rPr>
                <w:sz w:val="20"/>
                <w:szCs w:val="20"/>
              </w:rPr>
              <w:t>St Georges Cathedral Heritage Precinct – Lease Incentive Funded Office Fitout</w:t>
            </w:r>
          </w:p>
        </w:tc>
        <w:tc>
          <w:tcPr>
            <w:tcW w:w="1367" w:type="dxa"/>
            <w:shd w:val="clear" w:color="auto" w:fill="auto"/>
          </w:tcPr>
          <w:p w:rsidR="008E5C65" w:rsidRPr="00442B03" w:rsidRDefault="008E5C65" w:rsidP="006E3423">
            <w:pPr>
              <w:pStyle w:val="BodyText"/>
              <w:spacing w:before="60" w:after="60"/>
              <w:jc w:val="right"/>
              <w:rPr>
                <w:sz w:val="20"/>
                <w:szCs w:val="20"/>
              </w:rPr>
            </w:pPr>
            <w:r>
              <w:rPr>
                <w:sz w:val="20"/>
                <w:szCs w:val="20"/>
              </w:rPr>
              <w:t>2016</w:t>
            </w:r>
          </w:p>
        </w:tc>
        <w:tc>
          <w:tcPr>
            <w:tcW w:w="1367" w:type="dxa"/>
            <w:shd w:val="clear" w:color="auto" w:fill="auto"/>
          </w:tcPr>
          <w:p w:rsidR="008E5C65" w:rsidRPr="00442B03" w:rsidRDefault="008E5C65" w:rsidP="006E3423">
            <w:pPr>
              <w:pStyle w:val="BodyText"/>
              <w:spacing w:before="60" w:after="60"/>
              <w:jc w:val="right"/>
              <w:rPr>
                <w:sz w:val="20"/>
                <w:szCs w:val="20"/>
              </w:rPr>
            </w:pPr>
            <w:r>
              <w:rPr>
                <w:sz w:val="20"/>
                <w:szCs w:val="20"/>
              </w:rPr>
              <w:t>25,900</w:t>
            </w:r>
          </w:p>
        </w:tc>
        <w:tc>
          <w:tcPr>
            <w:tcW w:w="1368" w:type="dxa"/>
            <w:shd w:val="clear" w:color="auto" w:fill="auto"/>
          </w:tcPr>
          <w:p w:rsidR="008E5C65" w:rsidRPr="00442B03" w:rsidRDefault="008E5C65" w:rsidP="006E3423">
            <w:pPr>
              <w:pStyle w:val="BodyText"/>
              <w:spacing w:before="60" w:after="60"/>
              <w:jc w:val="right"/>
              <w:rPr>
                <w:sz w:val="20"/>
                <w:szCs w:val="20"/>
              </w:rPr>
            </w:pPr>
            <w:r w:rsidRPr="00442B03">
              <w:rPr>
                <w:sz w:val="20"/>
                <w:szCs w:val="20"/>
              </w:rPr>
              <w:t>-</w:t>
            </w:r>
          </w:p>
        </w:tc>
        <w:tc>
          <w:tcPr>
            <w:tcW w:w="1367" w:type="dxa"/>
            <w:shd w:val="clear" w:color="auto" w:fill="auto"/>
          </w:tcPr>
          <w:p w:rsidR="008E5C65" w:rsidRPr="00442B03" w:rsidRDefault="008E5C65" w:rsidP="006E3423">
            <w:pPr>
              <w:pStyle w:val="BodyText"/>
              <w:spacing w:before="60" w:after="60"/>
              <w:jc w:val="right"/>
              <w:rPr>
                <w:sz w:val="20"/>
                <w:szCs w:val="20"/>
              </w:rPr>
            </w:pPr>
            <w:r>
              <w:rPr>
                <w:sz w:val="20"/>
                <w:szCs w:val="20"/>
              </w:rPr>
              <w:t>11,845</w:t>
            </w:r>
          </w:p>
        </w:tc>
        <w:tc>
          <w:tcPr>
            <w:tcW w:w="1368" w:type="dxa"/>
            <w:shd w:val="clear" w:color="auto" w:fill="auto"/>
          </w:tcPr>
          <w:p w:rsidR="008E5C65" w:rsidRPr="00442B03" w:rsidRDefault="008E5C65" w:rsidP="006E3423">
            <w:pPr>
              <w:pStyle w:val="BodyText"/>
              <w:spacing w:before="60" w:after="60"/>
              <w:jc w:val="right"/>
              <w:rPr>
                <w:sz w:val="20"/>
                <w:szCs w:val="20"/>
              </w:rPr>
            </w:pPr>
            <w:r>
              <w:rPr>
                <w:sz w:val="20"/>
                <w:szCs w:val="20"/>
              </w:rPr>
              <w:t>37,745</w:t>
            </w:r>
          </w:p>
        </w:tc>
      </w:tr>
      <w:tr w:rsidR="008E5C65" w:rsidRPr="00442B03" w:rsidTr="000F76F9">
        <w:tc>
          <w:tcPr>
            <w:tcW w:w="2405" w:type="dxa"/>
            <w:shd w:val="clear" w:color="auto" w:fill="auto"/>
          </w:tcPr>
          <w:p w:rsidR="008E5C65" w:rsidRPr="00442B03" w:rsidRDefault="008E5C65" w:rsidP="006E3423">
            <w:pPr>
              <w:pStyle w:val="BodyText"/>
              <w:spacing w:before="60" w:after="60"/>
              <w:rPr>
                <w:sz w:val="20"/>
                <w:szCs w:val="20"/>
              </w:rPr>
            </w:pPr>
            <w:r w:rsidRPr="00442B03">
              <w:rPr>
                <w:sz w:val="20"/>
                <w:szCs w:val="20"/>
              </w:rPr>
              <w:t>State Fleet Annual Vehicle Acquisition Program</w:t>
            </w:r>
          </w:p>
        </w:tc>
        <w:tc>
          <w:tcPr>
            <w:tcW w:w="1367" w:type="dxa"/>
            <w:shd w:val="clear" w:color="auto" w:fill="auto"/>
          </w:tcPr>
          <w:p w:rsidR="008E5C65" w:rsidRPr="00442B03" w:rsidRDefault="008E5C65" w:rsidP="006E3423">
            <w:pPr>
              <w:pStyle w:val="BodyText"/>
              <w:spacing w:before="60" w:after="60"/>
              <w:jc w:val="right"/>
              <w:rPr>
                <w:sz w:val="20"/>
                <w:szCs w:val="20"/>
              </w:rPr>
            </w:pPr>
            <w:r>
              <w:rPr>
                <w:sz w:val="20"/>
                <w:szCs w:val="20"/>
              </w:rPr>
              <w:t>2016</w:t>
            </w:r>
          </w:p>
        </w:tc>
        <w:tc>
          <w:tcPr>
            <w:tcW w:w="1367" w:type="dxa"/>
            <w:shd w:val="clear" w:color="auto" w:fill="auto"/>
          </w:tcPr>
          <w:p w:rsidR="008E5C65" w:rsidRPr="00442B03" w:rsidRDefault="008E5C65" w:rsidP="006E3423">
            <w:pPr>
              <w:pStyle w:val="BodyText"/>
              <w:spacing w:before="60" w:after="60"/>
              <w:jc w:val="right"/>
              <w:rPr>
                <w:sz w:val="20"/>
                <w:szCs w:val="20"/>
              </w:rPr>
            </w:pPr>
            <w:r>
              <w:rPr>
                <w:sz w:val="20"/>
                <w:szCs w:val="20"/>
              </w:rPr>
              <w:t>84,992</w:t>
            </w:r>
          </w:p>
        </w:tc>
        <w:tc>
          <w:tcPr>
            <w:tcW w:w="1368" w:type="dxa"/>
            <w:shd w:val="clear" w:color="auto" w:fill="auto"/>
          </w:tcPr>
          <w:p w:rsidR="008E5C65" w:rsidRPr="00442B03" w:rsidRDefault="008E5C65" w:rsidP="006E3423">
            <w:pPr>
              <w:pStyle w:val="BodyText"/>
              <w:spacing w:before="60" w:after="60"/>
              <w:jc w:val="right"/>
              <w:rPr>
                <w:sz w:val="20"/>
                <w:szCs w:val="20"/>
              </w:rPr>
            </w:pPr>
            <w:r w:rsidRPr="00442B03">
              <w:rPr>
                <w:sz w:val="20"/>
                <w:szCs w:val="20"/>
              </w:rPr>
              <w:t>72,172</w:t>
            </w:r>
          </w:p>
        </w:tc>
        <w:tc>
          <w:tcPr>
            <w:tcW w:w="1367" w:type="dxa"/>
            <w:shd w:val="clear" w:color="auto" w:fill="auto"/>
          </w:tcPr>
          <w:p w:rsidR="008E5C65" w:rsidRPr="00442B03" w:rsidRDefault="008E5C65" w:rsidP="006E3423">
            <w:pPr>
              <w:pStyle w:val="BodyText"/>
              <w:spacing w:before="60" w:after="60"/>
              <w:jc w:val="right"/>
              <w:rPr>
                <w:sz w:val="20"/>
                <w:szCs w:val="20"/>
              </w:rPr>
            </w:pPr>
            <w:r w:rsidRPr="00442B03">
              <w:rPr>
                <w:sz w:val="20"/>
                <w:szCs w:val="20"/>
              </w:rPr>
              <w:t>-</w:t>
            </w:r>
          </w:p>
        </w:tc>
        <w:tc>
          <w:tcPr>
            <w:tcW w:w="1368" w:type="dxa"/>
            <w:shd w:val="clear" w:color="auto" w:fill="auto"/>
          </w:tcPr>
          <w:p w:rsidR="008E5C65" w:rsidRPr="00442B03" w:rsidRDefault="008E5C65" w:rsidP="006E3423">
            <w:pPr>
              <w:pStyle w:val="BodyText"/>
              <w:spacing w:before="60" w:after="60"/>
              <w:jc w:val="right"/>
              <w:rPr>
                <w:sz w:val="20"/>
                <w:szCs w:val="20"/>
              </w:rPr>
            </w:pPr>
            <w:r w:rsidRPr="00442B03">
              <w:rPr>
                <w:sz w:val="20"/>
                <w:szCs w:val="20"/>
              </w:rPr>
              <w:t>-</w:t>
            </w:r>
          </w:p>
        </w:tc>
      </w:tr>
      <w:tr w:rsidR="008E5C65" w:rsidRPr="00442B03" w:rsidTr="000F76F9">
        <w:tc>
          <w:tcPr>
            <w:tcW w:w="2405" w:type="dxa"/>
            <w:shd w:val="clear" w:color="auto" w:fill="auto"/>
          </w:tcPr>
          <w:p w:rsidR="008E5C65" w:rsidRPr="00442B03" w:rsidRDefault="008E5C65" w:rsidP="006E3423">
            <w:pPr>
              <w:pStyle w:val="BodyText"/>
              <w:spacing w:before="60" w:after="60"/>
              <w:rPr>
                <w:sz w:val="20"/>
                <w:szCs w:val="20"/>
              </w:rPr>
            </w:pPr>
            <w:r w:rsidRPr="00442B03">
              <w:rPr>
                <w:sz w:val="20"/>
                <w:szCs w:val="20"/>
              </w:rPr>
              <w:t>Revenue Systems Consolidation and Enhancement Program</w:t>
            </w:r>
          </w:p>
        </w:tc>
        <w:tc>
          <w:tcPr>
            <w:tcW w:w="1367" w:type="dxa"/>
            <w:shd w:val="clear" w:color="auto" w:fill="auto"/>
          </w:tcPr>
          <w:p w:rsidR="008E5C65" w:rsidRPr="00442B03" w:rsidRDefault="008E5C65" w:rsidP="006E3423">
            <w:pPr>
              <w:pStyle w:val="BodyText"/>
              <w:spacing w:before="60" w:after="60"/>
              <w:jc w:val="right"/>
              <w:rPr>
                <w:sz w:val="20"/>
                <w:szCs w:val="20"/>
              </w:rPr>
            </w:pPr>
            <w:r>
              <w:rPr>
                <w:sz w:val="20"/>
                <w:szCs w:val="20"/>
              </w:rPr>
              <w:t>2019</w:t>
            </w:r>
          </w:p>
        </w:tc>
        <w:tc>
          <w:tcPr>
            <w:tcW w:w="1367" w:type="dxa"/>
            <w:shd w:val="clear" w:color="auto" w:fill="auto"/>
          </w:tcPr>
          <w:p w:rsidR="008E5C65" w:rsidRPr="00442B03" w:rsidRDefault="008E5C65" w:rsidP="006E3423">
            <w:pPr>
              <w:pStyle w:val="BodyText"/>
              <w:spacing w:before="60" w:after="60"/>
              <w:jc w:val="right"/>
              <w:rPr>
                <w:sz w:val="20"/>
                <w:szCs w:val="20"/>
              </w:rPr>
            </w:pPr>
            <w:r>
              <w:rPr>
                <w:sz w:val="20"/>
                <w:szCs w:val="20"/>
              </w:rPr>
              <w:t>6,153</w:t>
            </w:r>
          </w:p>
        </w:tc>
        <w:tc>
          <w:tcPr>
            <w:tcW w:w="1368" w:type="dxa"/>
            <w:shd w:val="clear" w:color="auto" w:fill="auto"/>
          </w:tcPr>
          <w:p w:rsidR="008E5C65" w:rsidRPr="00442B03" w:rsidRDefault="008E5C65" w:rsidP="006E3423">
            <w:pPr>
              <w:pStyle w:val="BodyText"/>
              <w:spacing w:before="60" w:after="60"/>
              <w:jc w:val="right"/>
              <w:rPr>
                <w:sz w:val="20"/>
                <w:szCs w:val="20"/>
              </w:rPr>
            </w:pPr>
            <w:r w:rsidRPr="00442B03">
              <w:rPr>
                <w:sz w:val="20"/>
                <w:szCs w:val="20"/>
              </w:rPr>
              <w:t>4,854</w:t>
            </w:r>
          </w:p>
        </w:tc>
        <w:tc>
          <w:tcPr>
            <w:tcW w:w="1367" w:type="dxa"/>
            <w:shd w:val="clear" w:color="auto" w:fill="auto"/>
          </w:tcPr>
          <w:p w:rsidR="008E5C65" w:rsidRPr="00442B03" w:rsidRDefault="008E5C65" w:rsidP="006E3423">
            <w:pPr>
              <w:pStyle w:val="BodyText"/>
              <w:spacing w:before="60" w:after="60"/>
              <w:jc w:val="right"/>
              <w:rPr>
                <w:sz w:val="20"/>
                <w:szCs w:val="20"/>
              </w:rPr>
            </w:pPr>
            <w:r>
              <w:rPr>
                <w:sz w:val="20"/>
                <w:szCs w:val="20"/>
              </w:rPr>
              <w:t>20,814</w:t>
            </w:r>
          </w:p>
        </w:tc>
        <w:tc>
          <w:tcPr>
            <w:tcW w:w="1368" w:type="dxa"/>
            <w:shd w:val="clear" w:color="auto" w:fill="auto"/>
          </w:tcPr>
          <w:p w:rsidR="008E5C65" w:rsidRPr="00442B03" w:rsidRDefault="008E5C65" w:rsidP="006E3423">
            <w:pPr>
              <w:pStyle w:val="BodyText"/>
              <w:spacing w:before="60" w:after="60"/>
              <w:jc w:val="right"/>
              <w:rPr>
                <w:sz w:val="20"/>
                <w:szCs w:val="20"/>
              </w:rPr>
            </w:pPr>
            <w:r w:rsidRPr="00442B03">
              <w:rPr>
                <w:sz w:val="20"/>
                <w:szCs w:val="20"/>
              </w:rPr>
              <w:t>32,055</w:t>
            </w:r>
          </w:p>
        </w:tc>
      </w:tr>
    </w:tbl>
    <w:p w:rsidR="008E5C65" w:rsidRDefault="008E5C65" w:rsidP="008E5C65">
      <w:pPr>
        <w:pStyle w:val="Heading3"/>
      </w:pPr>
      <w:r>
        <w:br w:type="page"/>
        <w:t>Employment and industrial relations</w:t>
      </w:r>
    </w:p>
    <w:p w:rsidR="008E5C65" w:rsidRDefault="008E5C65" w:rsidP="008E5C65">
      <w:pPr>
        <w:pStyle w:val="Heading4"/>
      </w:pPr>
      <w:r>
        <w:t xml:space="preserve">Comparative full-time equivalent (FTE) allocation by category </w:t>
      </w:r>
    </w:p>
    <w:p w:rsidR="008E5C65" w:rsidRDefault="008E5C65" w:rsidP="008E5C65">
      <w:pPr>
        <w:pStyle w:val="BodyText"/>
      </w:pPr>
      <w:r>
        <w:t>The Department managed its resourcing within the revised salary cap following the Agency Expenditure Review.</w:t>
      </w:r>
    </w:p>
    <w:p w:rsidR="008E5C65" w:rsidRDefault="008E5C65" w:rsidP="008E5C65">
      <w:pPr>
        <w:pStyle w:val="BodyText"/>
      </w:pPr>
    </w:p>
    <w:p w:rsidR="008E5C65" w:rsidRDefault="008E5C65" w:rsidP="008E5C65">
      <w:pPr>
        <w:pStyle w:val="Caption"/>
        <w:keepNext/>
      </w:pPr>
      <w:r w:rsidRPr="00FE25E6">
        <w:rPr>
          <w:rFonts w:cs="Arial"/>
          <w:szCs w:val="24"/>
        </w:rPr>
        <w:fldChar w:fldCharType="begin"/>
      </w:r>
      <w:r w:rsidRPr="00FE25E6">
        <w:rPr>
          <w:rFonts w:cs="Arial"/>
          <w:szCs w:val="24"/>
        </w:rPr>
        <w:instrText xml:space="preserve"> SEQ Table \* ARABIC </w:instrText>
      </w:r>
      <w:r w:rsidRPr="00FE25E6">
        <w:rPr>
          <w:rFonts w:cs="Arial"/>
          <w:szCs w:val="24"/>
        </w:rPr>
        <w:fldChar w:fldCharType="separate"/>
      </w:r>
      <w:r w:rsidR="00D8778B">
        <w:rPr>
          <w:rFonts w:cs="Arial"/>
          <w:noProof/>
          <w:szCs w:val="24"/>
        </w:rPr>
        <w:t>87</w:t>
      </w:r>
      <w:r w:rsidRPr="00FE25E6">
        <w:rPr>
          <w:rFonts w:cs="Arial"/>
          <w:szCs w:val="24"/>
        </w:rPr>
        <w:fldChar w:fldCharType="end"/>
      </w:r>
      <w:r w:rsidRPr="00FE25E6">
        <w:t xml:space="preserve"> Comparative full-time equivalent (FTE) allocation by category</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8E5C65" w:rsidRPr="00442B03" w:rsidTr="000D7011">
        <w:tc>
          <w:tcPr>
            <w:tcW w:w="3080" w:type="dxa"/>
            <w:shd w:val="clear" w:color="auto" w:fill="auto"/>
            <w:vAlign w:val="center"/>
          </w:tcPr>
          <w:p w:rsidR="008E5C65" w:rsidRPr="00442B03" w:rsidRDefault="008E5C65" w:rsidP="000C107E">
            <w:pPr>
              <w:pStyle w:val="BodyText"/>
              <w:spacing w:before="60" w:after="60"/>
              <w:rPr>
                <w:b/>
                <w:sz w:val="20"/>
                <w:szCs w:val="20"/>
              </w:rPr>
            </w:pPr>
            <w:r w:rsidRPr="00442B03">
              <w:rPr>
                <w:b/>
                <w:sz w:val="20"/>
                <w:szCs w:val="20"/>
              </w:rPr>
              <w:t>Category</w:t>
            </w:r>
          </w:p>
        </w:tc>
        <w:tc>
          <w:tcPr>
            <w:tcW w:w="3081" w:type="dxa"/>
            <w:shd w:val="clear" w:color="auto" w:fill="auto"/>
            <w:vAlign w:val="center"/>
          </w:tcPr>
          <w:p w:rsidR="008E5C65" w:rsidRPr="00442B03" w:rsidRDefault="008E5C65" w:rsidP="000C107E">
            <w:pPr>
              <w:pStyle w:val="BodyText"/>
              <w:spacing w:before="60" w:after="60"/>
              <w:jc w:val="right"/>
              <w:rPr>
                <w:b/>
                <w:sz w:val="20"/>
                <w:szCs w:val="20"/>
              </w:rPr>
            </w:pPr>
            <w:r w:rsidRPr="00442B03">
              <w:rPr>
                <w:b/>
                <w:sz w:val="20"/>
                <w:szCs w:val="20"/>
              </w:rPr>
              <w:t>201</w:t>
            </w:r>
            <w:r>
              <w:rPr>
                <w:b/>
                <w:sz w:val="20"/>
                <w:szCs w:val="20"/>
              </w:rPr>
              <w:t>5</w:t>
            </w:r>
            <w:r w:rsidRPr="00442B03">
              <w:rPr>
                <w:b/>
                <w:sz w:val="20"/>
                <w:szCs w:val="20"/>
              </w:rPr>
              <w:t>-1</w:t>
            </w:r>
            <w:r>
              <w:rPr>
                <w:b/>
                <w:sz w:val="20"/>
                <w:szCs w:val="20"/>
              </w:rPr>
              <w:t>6</w:t>
            </w:r>
          </w:p>
        </w:tc>
        <w:tc>
          <w:tcPr>
            <w:tcW w:w="3081" w:type="dxa"/>
            <w:vAlign w:val="center"/>
          </w:tcPr>
          <w:p w:rsidR="008E5C65" w:rsidRPr="00442B03" w:rsidRDefault="008E5C65" w:rsidP="000C107E">
            <w:pPr>
              <w:pStyle w:val="BodyText"/>
              <w:spacing w:before="60" w:after="60"/>
              <w:jc w:val="right"/>
              <w:rPr>
                <w:b/>
                <w:sz w:val="20"/>
                <w:szCs w:val="20"/>
              </w:rPr>
            </w:pPr>
            <w:r w:rsidRPr="00442B03">
              <w:rPr>
                <w:b/>
                <w:sz w:val="20"/>
                <w:szCs w:val="20"/>
              </w:rPr>
              <w:t>2014-15</w:t>
            </w:r>
          </w:p>
        </w:tc>
      </w:tr>
      <w:tr w:rsidR="008E5C65" w:rsidRPr="00442B03" w:rsidTr="000D7011">
        <w:tc>
          <w:tcPr>
            <w:tcW w:w="3080" w:type="dxa"/>
            <w:shd w:val="clear" w:color="auto" w:fill="auto"/>
            <w:vAlign w:val="center"/>
          </w:tcPr>
          <w:p w:rsidR="008E5C65" w:rsidRPr="00442B03" w:rsidRDefault="008E5C65" w:rsidP="000C107E">
            <w:pPr>
              <w:pStyle w:val="BodyText"/>
              <w:spacing w:before="60" w:after="60"/>
              <w:rPr>
                <w:sz w:val="20"/>
                <w:szCs w:val="20"/>
              </w:rPr>
            </w:pPr>
            <w:r>
              <w:rPr>
                <w:sz w:val="20"/>
                <w:szCs w:val="20"/>
              </w:rPr>
              <w:t>F</w:t>
            </w:r>
            <w:r w:rsidRPr="00442B03">
              <w:rPr>
                <w:sz w:val="20"/>
                <w:szCs w:val="20"/>
              </w:rPr>
              <w:t>ull-time</w:t>
            </w:r>
            <w:r>
              <w:rPr>
                <w:sz w:val="20"/>
                <w:szCs w:val="20"/>
              </w:rPr>
              <w:t xml:space="preserve"> permanent</w:t>
            </w:r>
          </w:p>
        </w:tc>
        <w:tc>
          <w:tcPr>
            <w:tcW w:w="3081" w:type="dxa"/>
            <w:shd w:val="clear" w:color="auto" w:fill="auto"/>
            <w:vAlign w:val="center"/>
          </w:tcPr>
          <w:p w:rsidR="008E5C65" w:rsidRPr="00442B03" w:rsidRDefault="008E5C65" w:rsidP="000C107E">
            <w:pPr>
              <w:pStyle w:val="BodyText"/>
              <w:spacing w:before="60" w:after="60"/>
              <w:jc w:val="right"/>
              <w:rPr>
                <w:sz w:val="20"/>
                <w:szCs w:val="20"/>
              </w:rPr>
            </w:pPr>
            <w:r>
              <w:rPr>
                <w:sz w:val="20"/>
                <w:szCs w:val="20"/>
              </w:rPr>
              <w:t>867</w:t>
            </w:r>
          </w:p>
        </w:tc>
        <w:tc>
          <w:tcPr>
            <w:tcW w:w="3081" w:type="dxa"/>
            <w:vAlign w:val="center"/>
          </w:tcPr>
          <w:p w:rsidR="008E5C65" w:rsidRPr="00442B03" w:rsidRDefault="008E5C65" w:rsidP="000C107E">
            <w:pPr>
              <w:pStyle w:val="BodyText"/>
              <w:spacing w:before="60" w:after="60"/>
              <w:jc w:val="right"/>
              <w:rPr>
                <w:sz w:val="20"/>
                <w:szCs w:val="20"/>
              </w:rPr>
            </w:pPr>
            <w:r w:rsidRPr="00442B03">
              <w:rPr>
                <w:sz w:val="20"/>
                <w:szCs w:val="20"/>
              </w:rPr>
              <w:t>975</w:t>
            </w:r>
          </w:p>
        </w:tc>
      </w:tr>
      <w:tr w:rsidR="008E5C65" w:rsidRPr="00442B03" w:rsidTr="000D7011">
        <w:tc>
          <w:tcPr>
            <w:tcW w:w="3080" w:type="dxa"/>
            <w:shd w:val="clear" w:color="auto" w:fill="auto"/>
            <w:vAlign w:val="center"/>
          </w:tcPr>
          <w:p w:rsidR="008E5C65" w:rsidRPr="00442B03" w:rsidRDefault="008E5C65" w:rsidP="000C107E">
            <w:pPr>
              <w:pStyle w:val="BodyText"/>
              <w:spacing w:before="60" w:after="60"/>
              <w:rPr>
                <w:sz w:val="20"/>
                <w:szCs w:val="20"/>
              </w:rPr>
            </w:pPr>
            <w:r>
              <w:rPr>
                <w:sz w:val="20"/>
                <w:szCs w:val="20"/>
              </w:rPr>
              <w:t>F</w:t>
            </w:r>
            <w:r w:rsidRPr="00442B03">
              <w:rPr>
                <w:sz w:val="20"/>
                <w:szCs w:val="20"/>
              </w:rPr>
              <w:t>ull-time</w:t>
            </w:r>
            <w:r>
              <w:rPr>
                <w:sz w:val="20"/>
                <w:szCs w:val="20"/>
              </w:rPr>
              <w:t xml:space="preserve"> contract</w:t>
            </w:r>
          </w:p>
        </w:tc>
        <w:tc>
          <w:tcPr>
            <w:tcW w:w="3081" w:type="dxa"/>
            <w:shd w:val="clear" w:color="auto" w:fill="auto"/>
            <w:vAlign w:val="center"/>
          </w:tcPr>
          <w:p w:rsidR="008E5C65" w:rsidRPr="00442B03" w:rsidRDefault="008E5C65" w:rsidP="000C107E">
            <w:pPr>
              <w:pStyle w:val="BodyText"/>
              <w:spacing w:before="60" w:after="60"/>
              <w:jc w:val="right"/>
              <w:rPr>
                <w:sz w:val="20"/>
                <w:szCs w:val="20"/>
              </w:rPr>
            </w:pPr>
            <w:r>
              <w:rPr>
                <w:sz w:val="20"/>
                <w:szCs w:val="20"/>
              </w:rPr>
              <w:t>106</w:t>
            </w:r>
          </w:p>
        </w:tc>
        <w:tc>
          <w:tcPr>
            <w:tcW w:w="3081" w:type="dxa"/>
            <w:vAlign w:val="center"/>
          </w:tcPr>
          <w:p w:rsidR="008E5C65" w:rsidRPr="00442B03" w:rsidRDefault="008E5C65" w:rsidP="000C107E">
            <w:pPr>
              <w:pStyle w:val="BodyText"/>
              <w:spacing w:before="60" w:after="60"/>
              <w:jc w:val="right"/>
              <w:rPr>
                <w:sz w:val="20"/>
                <w:szCs w:val="20"/>
              </w:rPr>
            </w:pPr>
            <w:r w:rsidRPr="00442B03">
              <w:rPr>
                <w:sz w:val="20"/>
                <w:szCs w:val="20"/>
              </w:rPr>
              <w:t>121</w:t>
            </w:r>
          </w:p>
        </w:tc>
      </w:tr>
      <w:tr w:rsidR="008E5C65" w:rsidRPr="00442B03" w:rsidTr="000D7011">
        <w:tc>
          <w:tcPr>
            <w:tcW w:w="3080" w:type="dxa"/>
            <w:shd w:val="clear" w:color="auto" w:fill="auto"/>
            <w:vAlign w:val="center"/>
          </w:tcPr>
          <w:p w:rsidR="008E5C65" w:rsidRPr="00442B03" w:rsidRDefault="008E5C65" w:rsidP="000C107E">
            <w:pPr>
              <w:pStyle w:val="BodyText"/>
              <w:spacing w:before="60" w:after="60"/>
              <w:rPr>
                <w:sz w:val="20"/>
                <w:szCs w:val="20"/>
              </w:rPr>
            </w:pPr>
            <w:r w:rsidRPr="00442B03">
              <w:rPr>
                <w:sz w:val="20"/>
                <w:szCs w:val="20"/>
              </w:rPr>
              <w:t>Part-time permanent and contract</w:t>
            </w:r>
          </w:p>
        </w:tc>
        <w:tc>
          <w:tcPr>
            <w:tcW w:w="3081" w:type="dxa"/>
            <w:shd w:val="clear" w:color="auto" w:fill="auto"/>
            <w:vAlign w:val="center"/>
          </w:tcPr>
          <w:p w:rsidR="008E5C65" w:rsidRPr="00442B03" w:rsidRDefault="008E5C65" w:rsidP="000C107E">
            <w:pPr>
              <w:pStyle w:val="BodyText"/>
              <w:spacing w:before="60" w:after="60"/>
              <w:jc w:val="right"/>
              <w:rPr>
                <w:sz w:val="20"/>
                <w:szCs w:val="20"/>
              </w:rPr>
            </w:pPr>
            <w:r>
              <w:rPr>
                <w:sz w:val="20"/>
                <w:szCs w:val="20"/>
              </w:rPr>
              <w:t>78</w:t>
            </w:r>
          </w:p>
        </w:tc>
        <w:tc>
          <w:tcPr>
            <w:tcW w:w="3081" w:type="dxa"/>
            <w:vAlign w:val="center"/>
          </w:tcPr>
          <w:p w:rsidR="008E5C65" w:rsidRPr="00442B03" w:rsidRDefault="008E5C65" w:rsidP="000C107E">
            <w:pPr>
              <w:pStyle w:val="BodyText"/>
              <w:spacing w:before="60" w:after="60"/>
              <w:jc w:val="right"/>
              <w:rPr>
                <w:sz w:val="20"/>
                <w:szCs w:val="20"/>
              </w:rPr>
            </w:pPr>
            <w:r w:rsidRPr="00442B03">
              <w:rPr>
                <w:sz w:val="20"/>
                <w:szCs w:val="20"/>
              </w:rPr>
              <w:t>101</w:t>
            </w:r>
          </w:p>
        </w:tc>
      </w:tr>
      <w:tr w:rsidR="008E5C65" w:rsidRPr="00442B03" w:rsidTr="000D7011">
        <w:tc>
          <w:tcPr>
            <w:tcW w:w="3080" w:type="dxa"/>
            <w:shd w:val="clear" w:color="auto" w:fill="auto"/>
            <w:vAlign w:val="center"/>
          </w:tcPr>
          <w:p w:rsidR="008E5C65" w:rsidRPr="00442B03" w:rsidRDefault="008E5C65" w:rsidP="000C107E">
            <w:pPr>
              <w:pStyle w:val="BodyText"/>
              <w:spacing w:before="60" w:after="60"/>
              <w:rPr>
                <w:b/>
                <w:sz w:val="20"/>
                <w:szCs w:val="20"/>
              </w:rPr>
            </w:pPr>
            <w:r w:rsidRPr="00442B03">
              <w:rPr>
                <w:b/>
                <w:sz w:val="20"/>
                <w:szCs w:val="20"/>
              </w:rPr>
              <w:t>Total</w:t>
            </w:r>
          </w:p>
        </w:tc>
        <w:tc>
          <w:tcPr>
            <w:tcW w:w="3081" w:type="dxa"/>
            <w:shd w:val="clear" w:color="auto" w:fill="auto"/>
            <w:vAlign w:val="center"/>
          </w:tcPr>
          <w:p w:rsidR="008E5C65" w:rsidRPr="00442B03" w:rsidRDefault="008E5C65" w:rsidP="000C107E">
            <w:pPr>
              <w:pStyle w:val="BodyText"/>
              <w:spacing w:before="60" w:after="60"/>
              <w:jc w:val="right"/>
              <w:rPr>
                <w:b/>
                <w:sz w:val="20"/>
                <w:szCs w:val="20"/>
              </w:rPr>
            </w:pPr>
            <w:r>
              <w:rPr>
                <w:b/>
                <w:sz w:val="20"/>
                <w:szCs w:val="20"/>
              </w:rPr>
              <w:t>1,051</w:t>
            </w:r>
          </w:p>
        </w:tc>
        <w:tc>
          <w:tcPr>
            <w:tcW w:w="3081" w:type="dxa"/>
            <w:vAlign w:val="center"/>
          </w:tcPr>
          <w:p w:rsidR="008E5C65" w:rsidRPr="00442B03" w:rsidRDefault="008E5C65" w:rsidP="000C107E">
            <w:pPr>
              <w:pStyle w:val="BodyText"/>
              <w:spacing w:before="60" w:after="60"/>
              <w:jc w:val="right"/>
              <w:rPr>
                <w:b/>
                <w:sz w:val="20"/>
                <w:szCs w:val="20"/>
              </w:rPr>
            </w:pPr>
            <w:r w:rsidRPr="00442B03">
              <w:rPr>
                <w:b/>
                <w:sz w:val="20"/>
                <w:szCs w:val="20"/>
              </w:rPr>
              <w:t>1,197</w:t>
            </w:r>
          </w:p>
        </w:tc>
      </w:tr>
    </w:tbl>
    <w:p w:rsidR="008E5C65" w:rsidRDefault="008E5C65" w:rsidP="008E5C65">
      <w:pPr>
        <w:pStyle w:val="BodyText"/>
      </w:pPr>
      <w:r>
        <w:t>Source Data: 2015-2016 MOIR data.</w:t>
      </w:r>
    </w:p>
    <w:p w:rsidR="008E5C65" w:rsidRDefault="008E5C65" w:rsidP="008E5C65">
      <w:pPr>
        <w:pStyle w:val="BodyText"/>
      </w:pPr>
      <w:r>
        <w:t>Notes:</w:t>
      </w:r>
    </w:p>
    <w:p w:rsidR="008E5C65" w:rsidRPr="00BA64DB" w:rsidRDefault="008E5C65" w:rsidP="000D7011">
      <w:pPr>
        <w:pStyle w:val="BodyText"/>
        <w:numPr>
          <w:ilvl w:val="0"/>
          <w:numId w:val="50"/>
        </w:numPr>
        <w:rPr>
          <w:i/>
        </w:rPr>
      </w:pPr>
      <w:r w:rsidRPr="00BA64DB">
        <w:rPr>
          <w:i/>
        </w:rPr>
        <w:t>Part time = hours less than normal hours of 37.5 per week.</w:t>
      </w:r>
    </w:p>
    <w:p w:rsidR="008E5C65" w:rsidRPr="00BA64DB" w:rsidRDefault="008E5C65" w:rsidP="000D7011">
      <w:pPr>
        <w:pStyle w:val="BodyText"/>
        <w:numPr>
          <w:ilvl w:val="0"/>
          <w:numId w:val="50"/>
        </w:numPr>
        <w:rPr>
          <w:i/>
        </w:rPr>
      </w:pPr>
      <w:r w:rsidRPr="00BA64DB">
        <w:rPr>
          <w:i/>
        </w:rPr>
        <w:t>Employees seconded out of the Department have been excluded from the figures as these officers were not contributing to departmental outputs as they were working for another organisation.</w:t>
      </w:r>
    </w:p>
    <w:p w:rsidR="008E5C65" w:rsidRPr="00BA64DB" w:rsidRDefault="008E5C65" w:rsidP="000D7011">
      <w:pPr>
        <w:pStyle w:val="BodyText"/>
        <w:numPr>
          <w:ilvl w:val="0"/>
          <w:numId w:val="50"/>
        </w:numPr>
        <w:rPr>
          <w:i/>
        </w:rPr>
      </w:pPr>
      <w:r w:rsidRPr="00BA64DB">
        <w:rPr>
          <w:i/>
        </w:rPr>
        <w:t>Approved FTE target for 2015-16 was 1,271 with the result being lower due to staffing reductions achieved through the Agency Expenditure Review</w:t>
      </w:r>
    </w:p>
    <w:p w:rsidR="008E5C65" w:rsidRDefault="008E5C65" w:rsidP="008E5C65">
      <w:pPr>
        <w:pStyle w:val="Heading4"/>
      </w:pPr>
      <w:r>
        <w:t>Industrial relations</w:t>
      </w:r>
    </w:p>
    <w:p w:rsidR="008E5C65" w:rsidRDefault="008E5C65" w:rsidP="008E5C65">
      <w:pPr>
        <w:pStyle w:val="BodyText"/>
      </w:pPr>
      <w:r>
        <w:t xml:space="preserve">The majority of Department of Finance staff are employed under the Public Service Award 1992 and Public Service and Government Officers General Agreement 2014. Five senior officers are employed under the </w:t>
      </w:r>
      <w:r w:rsidRPr="00B16525">
        <w:rPr>
          <w:i/>
        </w:rPr>
        <w:t>Salaries and Allowances Tribunal Act 1975</w:t>
      </w:r>
      <w:r>
        <w:t>.</w:t>
      </w:r>
    </w:p>
    <w:p w:rsidR="008E5C65" w:rsidRDefault="008E5C65" w:rsidP="008E5C65">
      <w:pPr>
        <w:pStyle w:val="BodyText"/>
      </w:pPr>
      <w:r>
        <w:t>The Department also has an Agency Specific Agreement in place with provisions for a wellness program, motor vehicle allowance for business use and flexible working arrangements.</w:t>
      </w:r>
    </w:p>
    <w:p w:rsidR="008E5C65" w:rsidRDefault="008E5C65" w:rsidP="008E5C65">
      <w:pPr>
        <w:pStyle w:val="Heading4"/>
      </w:pPr>
      <w:r>
        <w:br w:type="page"/>
        <w:t>Workers’ compensation</w:t>
      </w:r>
    </w:p>
    <w:p w:rsidR="008E5C65" w:rsidRDefault="008E5C65" w:rsidP="008E5C65">
      <w:pPr>
        <w:pStyle w:val="BodyText"/>
      </w:pPr>
      <w:r>
        <w:t>In accordance with Treasurer’s Instruction 903 (13), the Department had the following workers’ compensation disclosures.</w:t>
      </w:r>
    </w:p>
    <w:p w:rsidR="008E5C65" w:rsidRDefault="008E5C65" w:rsidP="008E5C65">
      <w:pPr>
        <w:pStyle w:val="BodyText"/>
      </w:pPr>
    </w:p>
    <w:p w:rsidR="008E5C65" w:rsidRDefault="008E5C65" w:rsidP="008E5C65">
      <w:pPr>
        <w:pStyle w:val="Caption"/>
        <w:keepNext/>
      </w:pPr>
      <w:r w:rsidRPr="00FE25E6">
        <w:rPr>
          <w:rFonts w:cs="Arial"/>
          <w:szCs w:val="24"/>
        </w:rPr>
        <w:fldChar w:fldCharType="begin"/>
      </w:r>
      <w:r w:rsidRPr="00FE25E6">
        <w:rPr>
          <w:rFonts w:cs="Arial"/>
          <w:szCs w:val="24"/>
        </w:rPr>
        <w:instrText xml:space="preserve"> SEQ Table \* ARABIC </w:instrText>
      </w:r>
      <w:r w:rsidRPr="00FE25E6">
        <w:rPr>
          <w:rFonts w:cs="Arial"/>
          <w:szCs w:val="24"/>
        </w:rPr>
        <w:fldChar w:fldCharType="separate"/>
      </w:r>
      <w:r w:rsidR="00D8778B">
        <w:rPr>
          <w:rFonts w:cs="Arial"/>
          <w:noProof/>
          <w:szCs w:val="24"/>
        </w:rPr>
        <w:t>88</w:t>
      </w:r>
      <w:r w:rsidRPr="00FE25E6">
        <w:rPr>
          <w:rFonts w:cs="Arial"/>
          <w:szCs w:val="24"/>
        </w:rPr>
        <w:fldChar w:fldCharType="end"/>
      </w:r>
      <w:r w:rsidRPr="00FE25E6">
        <w:t xml:space="preserve"> Workers’ compensation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4"/>
        <w:gridCol w:w="2250"/>
        <w:gridCol w:w="2092"/>
        <w:gridCol w:w="2250"/>
      </w:tblGrid>
      <w:tr w:rsidR="008E5C65" w:rsidRPr="00442B03" w:rsidTr="000D7011">
        <w:tc>
          <w:tcPr>
            <w:tcW w:w="2465" w:type="dxa"/>
            <w:shd w:val="clear" w:color="auto" w:fill="auto"/>
          </w:tcPr>
          <w:p w:rsidR="008E5C65" w:rsidRPr="00442B03" w:rsidRDefault="008E5C65" w:rsidP="00A76CE7">
            <w:pPr>
              <w:pStyle w:val="BodyText"/>
              <w:spacing w:before="60" w:after="60"/>
              <w:rPr>
                <w:b/>
                <w:sz w:val="20"/>
                <w:szCs w:val="20"/>
              </w:rPr>
            </w:pPr>
            <w:r>
              <w:rPr>
                <w:b/>
                <w:sz w:val="20"/>
                <w:szCs w:val="20"/>
              </w:rPr>
              <w:t>Claims</w:t>
            </w:r>
          </w:p>
        </w:tc>
        <w:tc>
          <w:tcPr>
            <w:tcW w:w="2314" w:type="dxa"/>
            <w:shd w:val="clear" w:color="auto" w:fill="auto"/>
          </w:tcPr>
          <w:p w:rsidR="008E5C65" w:rsidRPr="00442B03" w:rsidRDefault="008E5C65" w:rsidP="00A76CE7">
            <w:pPr>
              <w:pStyle w:val="BodyText"/>
              <w:spacing w:before="60" w:after="60"/>
              <w:jc w:val="right"/>
              <w:rPr>
                <w:b/>
                <w:sz w:val="20"/>
                <w:szCs w:val="20"/>
              </w:rPr>
            </w:pPr>
            <w:r>
              <w:rPr>
                <w:b/>
                <w:sz w:val="20"/>
                <w:szCs w:val="20"/>
              </w:rPr>
              <w:t>2015-16</w:t>
            </w:r>
          </w:p>
        </w:tc>
        <w:tc>
          <w:tcPr>
            <w:tcW w:w="2149" w:type="dxa"/>
            <w:shd w:val="clear" w:color="auto" w:fill="auto"/>
          </w:tcPr>
          <w:p w:rsidR="008E5C65" w:rsidRPr="00442B03" w:rsidRDefault="008E5C65" w:rsidP="00A76CE7">
            <w:pPr>
              <w:pStyle w:val="BodyText"/>
              <w:spacing w:before="60" w:after="60"/>
              <w:jc w:val="right"/>
              <w:rPr>
                <w:b/>
                <w:sz w:val="20"/>
                <w:szCs w:val="20"/>
              </w:rPr>
            </w:pPr>
            <w:r w:rsidRPr="00442B03">
              <w:rPr>
                <w:b/>
                <w:sz w:val="20"/>
                <w:szCs w:val="20"/>
              </w:rPr>
              <w:t>2014-15</w:t>
            </w:r>
          </w:p>
        </w:tc>
        <w:tc>
          <w:tcPr>
            <w:tcW w:w="2314" w:type="dxa"/>
            <w:shd w:val="clear" w:color="auto" w:fill="auto"/>
          </w:tcPr>
          <w:p w:rsidR="008E5C65" w:rsidRPr="00442B03" w:rsidRDefault="008E5C65" w:rsidP="00A76CE7">
            <w:pPr>
              <w:pStyle w:val="BodyText"/>
              <w:spacing w:before="60" w:after="60"/>
              <w:jc w:val="right"/>
              <w:rPr>
                <w:b/>
                <w:sz w:val="20"/>
                <w:szCs w:val="20"/>
              </w:rPr>
            </w:pPr>
            <w:r w:rsidRPr="00442B03">
              <w:rPr>
                <w:b/>
                <w:sz w:val="20"/>
                <w:szCs w:val="20"/>
              </w:rPr>
              <w:t>2013-14</w:t>
            </w:r>
          </w:p>
        </w:tc>
      </w:tr>
      <w:tr w:rsidR="008E5C65" w:rsidRPr="00442B03" w:rsidTr="000D7011">
        <w:tc>
          <w:tcPr>
            <w:tcW w:w="2465" w:type="dxa"/>
            <w:shd w:val="clear" w:color="auto" w:fill="auto"/>
          </w:tcPr>
          <w:p w:rsidR="008E5C65" w:rsidRPr="00442B03" w:rsidRDefault="008E5C65" w:rsidP="00A76CE7">
            <w:pPr>
              <w:pStyle w:val="BodyText"/>
              <w:spacing w:before="60" w:after="60"/>
              <w:rPr>
                <w:sz w:val="20"/>
                <w:szCs w:val="20"/>
              </w:rPr>
            </w:pPr>
            <w:r>
              <w:rPr>
                <w:sz w:val="20"/>
                <w:szCs w:val="20"/>
              </w:rPr>
              <w:t>Workers’ compensation</w:t>
            </w:r>
          </w:p>
        </w:tc>
        <w:tc>
          <w:tcPr>
            <w:tcW w:w="2314" w:type="dxa"/>
            <w:shd w:val="clear" w:color="auto" w:fill="auto"/>
          </w:tcPr>
          <w:p w:rsidR="008E5C65" w:rsidRPr="00442B03" w:rsidRDefault="008E5C65" w:rsidP="00A76CE7">
            <w:pPr>
              <w:pStyle w:val="BodyText"/>
              <w:spacing w:before="60" w:after="60"/>
              <w:jc w:val="right"/>
              <w:rPr>
                <w:sz w:val="20"/>
                <w:szCs w:val="20"/>
              </w:rPr>
            </w:pPr>
            <w:r>
              <w:rPr>
                <w:sz w:val="20"/>
                <w:szCs w:val="20"/>
              </w:rPr>
              <w:t>6</w:t>
            </w:r>
          </w:p>
        </w:tc>
        <w:tc>
          <w:tcPr>
            <w:tcW w:w="2149" w:type="dxa"/>
            <w:shd w:val="clear" w:color="auto" w:fill="auto"/>
          </w:tcPr>
          <w:p w:rsidR="008E5C65" w:rsidRPr="00442B03" w:rsidRDefault="008E5C65" w:rsidP="00A76CE7">
            <w:pPr>
              <w:pStyle w:val="BodyText"/>
              <w:spacing w:before="60" w:after="60"/>
              <w:jc w:val="right"/>
              <w:rPr>
                <w:sz w:val="20"/>
                <w:szCs w:val="20"/>
              </w:rPr>
            </w:pPr>
            <w:r w:rsidRPr="00442B03">
              <w:rPr>
                <w:sz w:val="20"/>
                <w:szCs w:val="20"/>
              </w:rPr>
              <w:t>3</w:t>
            </w:r>
          </w:p>
        </w:tc>
        <w:tc>
          <w:tcPr>
            <w:tcW w:w="2314" w:type="dxa"/>
            <w:shd w:val="clear" w:color="auto" w:fill="auto"/>
          </w:tcPr>
          <w:p w:rsidR="008E5C65" w:rsidRPr="00442B03" w:rsidRDefault="008E5C65" w:rsidP="00A76CE7">
            <w:pPr>
              <w:pStyle w:val="BodyText"/>
              <w:spacing w:before="60" w:after="60"/>
              <w:jc w:val="right"/>
              <w:rPr>
                <w:sz w:val="20"/>
                <w:szCs w:val="20"/>
              </w:rPr>
            </w:pPr>
            <w:r w:rsidRPr="00442B03">
              <w:rPr>
                <w:sz w:val="20"/>
                <w:szCs w:val="20"/>
              </w:rPr>
              <w:t>6</w:t>
            </w:r>
          </w:p>
        </w:tc>
      </w:tr>
      <w:tr w:rsidR="008E5C65" w:rsidRPr="00442B03" w:rsidTr="000D7011">
        <w:tc>
          <w:tcPr>
            <w:tcW w:w="2465" w:type="dxa"/>
            <w:shd w:val="clear" w:color="auto" w:fill="auto"/>
          </w:tcPr>
          <w:p w:rsidR="008E5C65" w:rsidRPr="00442B03" w:rsidRDefault="008E5C65" w:rsidP="00A76CE7">
            <w:pPr>
              <w:pStyle w:val="BodyText"/>
              <w:spacing w:before="60" w:after="60"/>
              <w:rPr>
                <w:sz w:val="20"/>
                <w:szCs w:val="20"/>
              </w:rPr>
            </w:pPr>
            <w:r w:rsidRPr="00442B03">
              <w:rPr>
                <w:sz w:val="20"/>
                <w:szCs w:val="20"/>
              </w:rPr>
              <w:t>Loss time injuries</w:t>
            </w:r>
          </w:p>
        </w:tc>
        <w:tc>
          <w:tcPr>
            <w:tcW w:w="2314" w:type="dxa"/>
            <w:shd w:val="clear" w:color="auto" w:fill="auto"/>
          </w:tcPr>
          <w:p w:rsidR="008E5C65" w:rsidRPr="00442B03" w:rsidRDefault="008E5C65" w:rsidP="00A76CE7">
            <w:pPr>
              <w:pStyle w:val="BodyText"/>
              <w:spacing w:before="60" w:after="60"/>
              <w:jc w:val="right"/>
              <w:rPr>
                <w:sz w:val="20"/>
                <w:szCs w:val="20"/>
              </w:rPr>
            </w:pPr>
            <w:r>
              <w:rPr>
                <w:sz w:val="20"/>
                <w:szCs w:val="20"/>
              </w:rPr>
              <w:t>3</w:t>
            </w:r>
          </w:p>
        </w:tc>
        <w:tc>
          <w:tcPr>
            <w:tcW w:w="2149" w:type="dxa"/>
            <w:shd w:val="clear" w:color="auto" w:fill="auto"/>
          </w:tcPr>
          <w:p w:rsidR="008E5C65" w:rsidRPr="00442B03" w:rsidRDefault="008E5C65" w:rsidP="00A76CE7">
            <w:pPr>
              <w:pStyle w:val="BodyText"/>
              <w:spacing w:before="60" w:after="60"/>
              <w:jc w:val="right"/>
              <w:rPr>
                <w:sz w:val="20"/>
                <w:szCs w:val="20"/>
              </w:rPr>
            </w:pPr>
            <w:r w:rsidRPr="00442B03">
              <w:rPr>
                <w:sz w:val="20"/>
                <w:szCs w:val="20"/>
              </w:rPr>
              <w:t>2</w:t>
            </w:r>
          </w:p>
        </w:tc>
        <w:tc>
          <w:tcPr>
            <w:tcW w:w="2314" w:type="dxa"/>
            <w:shd w:val="clear" w:color="auto" w:fill="auto"/>
          </w:tcPr>
          <w:p w:rsidR="008E5C65" w:rsidRPr="00442B03" w:rsidRDefault="008E5C65" w:rsidP="00A76CE7">
            <w:pPr>
              <w:pStyle w:val="BodyText"/>
              <w:spacing w:before="60" w:after="60"/>
              <w:jc w:val="right"/>
              <w:rPr>
                <w:sz w:val="20"/>
                <w:szCs w:val="20"/>
              </w:rPr>
            </w:pPr>
            <w:r w:rsidRPr="00442B03">
              <w:rPr>
                <w:sz w:val="20"/>
                <w:szCs w:val="20"/>
              </w:rPr>
              <w:t>2</w:t>
            </w:r>
          </w:p>
        </w:tc>
      </w:tr>
    </w:tbl>
    <w:p w:rsidR="008E5C65" w:rsidRDefault="008E5C65" w:rsidP="008E5C65">
      <w:pPr>
        <w:pStyle w:val="BodyText"/>
      </w:pPr>
      <w:r>
        <w:t>All above claims with registered loss time injuries were provided with injury management assistance.</w:t>
      </w:r>
    </w:p>
    <w:p w:rsidR="008E5C65" w:rsidRDefault="008E5C65" w:rsidP="008E5C65">
      <w:pPr>
        <w:pStyle w:val="Heading4"/>
      </w:pPr>
      <w:r>
        <w:t xml:space="preserve">Staff development </w:t>
      </w:r>
    </w:p>
    <w:p w:rsidR="008E5C65" w:rsidRDefault="008E5C65" w:rsidP="008E5C65">
      <w:pPr>
        <w:pStyle w:val="BodyText"/>
      </w:pPr>
      <w:r>
        <w:t>Leadership and expertise is at the heart of the Department's professional development programs, in alignment with the vision to enhance performance and capability across the Department. These programs support the professional development planning process, where all staff formally meet with their manager three times a year to plan and set agreed goals and objectives, review outcomes achieved and identify development needs.</w:t>
      </w:r>
    </w:p>
    <w:p w:rsidR="008E5C65" w:rsidRDefault="008E5C65" w:rsidP="008E5C65">
      <w:pPr>
        <w:pStyle w:val="BodyText"/>
      </w:pPr>
      <w:r>
        <w:t>The Leadership Development Program supports the ongoing professional development of the Department’s emerging, current and future leaders. In partnership with Curtin University, the program provides a structured leadership development framework supplemented by a series of leadership master classes, from which 21 staff across the Department benefited this year.</w:t>
      </w:r>
    </w:p>
    <w:p w:rsidR="008E5C65" w:rsidRDefault="008E5C65" w:rsidP="008E5C65">
      <w:pPr>
        <w:pStyle w:val="BodyText"/>
      </w:pPr>
      <w:r>
        <w:t>The Department continues to lead the highly successful interagency mentoring program, which this year has six departmental participants and 55 mentoring pairs. This year, over 75 per cent of participating managers reported positive changes in work quality and behaviours, and 100 per cent stated they would support participation in future programs.</w:t>
      </w:r>
    </w:p>
    <w:p w:rsidR="008E5C65" w:rsidRDefault="008E5C65" w:rsidP="008E5C65">
      <w:pPr>
        <w:pStyle w:val="BodyText"/>
      </w:pPr>
      <w:r>
        <w:t>The Department also continues to recruit high calibre graduates to participate in its tailored one-year graduate program, where successful candidates have the opportunity to rotate through various business units, based on business need, qualification relevance and career interest. There are currently five graduates completing the program.</w:t>
      </w:r>
    </w:p>
    <w:p w:rsidR="008E5C65" w:rsidRDefault="008E5C65" w:rsidP="008E5C65">
      <w:pPr>
        <w:pStyle w:val="Heading2"/>
      </w:pPr>
      <w:r>
        <w:br w:type="page"/>
        <w:t>Governance disclosures</w:t>
      </w:r>
    </w:p>
    <w:p w:rsidR="008E5C65" w:rsidRDefault="008E5C65" w:rsidP="008E5C65">
      <w:pPr>
        <w:pStyle w:val="Heading3"/>
      </w:pPr>
      <w:r>
        <w:t>Senior officers</w:t>
      </w:r>
    </w:p>
    <w:p w:rsidR="008E5C65" w:rsidRDefault="008E5C65" w:rsidP="008E5C65">
      <w:pPr>
        <w:pStyle w:val="BodyText"/>
      </w:pPr>
      <w:r>
        <w:t>In 2015-16, no senior officers disclosed that they held any shares as is required to be disclosed in accordance with Treasurer’s Instruction 903 (14). No senior officers, firms of which senior officers are members, or entities in which senior officers have substantial interests, had any interests in existing or proposed contracts with the Department other than normal contracts of employment of service.</w:t>
      </w:r>
    </w:p>
    <w:p w:rsidR="008E5C65" w:rsidRDefault="008E5C65" w:rsidP="008E5C65">
      <w:pPr>
        <w:pStyle w:val="Heading3"/>
      </w:pPr>
      <w:r>
        <w:t>Board and committee remuneration</w:t>
      </w:r>
    </w:p>
    <w:p w:rsidR="008E5C65" w:rsidRDefault="008E5C65" w:rsidP="008E5C65">
      <w:pPr>
        <w:pStyle w:val="Heading3"/>
        <w:rPr>
          <w:rFonts w:cs="Arial"/>
          <w:b w:val="0"/>
          <w:bCs w:val="0"/>
          <w:sz w:val="24"/>
          <w:szCs w:val="24"/>
          <w:lang w:eastAsia="en-AU"/>
        </w:rPr>
      </w:pPr>
      <w:r w:rsidRPr="002A5E8E">
        <w:rPr>
          <w:rFonts w:cs="Arial"/>
          <w:b w:val="0"/>
          <w:bCs w:val="0"/>
          <w:sz w:val="24"/>
          <w:szCs w:val="24"/>
          <w:lang w:eastAsia="en-AU"/>
        </w:rPr>
        <w:t>In 2015-16, the Department of Finance had no</w:t>
      </w:r>
      <w:r>
        <w:rPr>
          <w:rFonts w:cs="Arial"/>
          <w:b w:val="0"/>
          <w:bCs w:val="0"/>
          <w:sz w:val="24"/>
          <w:szCs w:val="24"/>
          <w:lang w:eastAsia="en-AU"/>
        </w:rPr>
        <w:t xml:space="preserve"> </w:t>
      </w:r>
      <w:r w:rsidRPr="002A5E8E">
        <w:rPr>
          <w:rFonts w:cs="Arial"/>
          <w:b w:val="0"/>
          <w:bCs w:val="0"/>
          <w:sz w:val="24"/>
          <w:szCs w:val="24"/>
          <w:lang w:eastAsia="en-AU"/>
        </w:rPr>
        <w:t>board or committee costs and memberships.</w:t>
      </w:r>
    </w:p>
    <w:p w:rsidR="008E5C65" w:rsidRDefault="008E5C65" w:rsidP="008E5C65">
      <w:pPr>
        <w:pStyle w:val="Heading3"/>
      </w:pPr>
      <w:r>
        <w:t>Governance committees</w:t>
      </w:r>
    </w:p>
    <w:p w:rsidR="008E5C65" w:rsidRDefault="008E5C65" w:rsidP="008E5C65">
      <w:pPr>
        <w:pStyle w:val="BodyText"/>
      </w:pPr>
      <w:r>
        <w:t>In its commitment to complying with legislative requirements and industry standards, the Department of Finance continues to convene several governance committees, enhancing accountability, probity and transparency in finance and procurement, technology and governance, people and communications, and audit and risk management.</w:t>
      </w:r>
    </w:p>
    <w:p w:rsidR="008E5C65" w:rsidRDefault="008E5C65" w:rsidP="008E5C65">
      <w:pPr>
        <w:pStyle w:val="Heading3"/>
      </w:pPr>
      <w:r>
        <w:t>Corporate Executive</w:t>
      </w:r>
    </w:p>
    <w:p w:rsidR="008E5C65" w:rsidRDefault="008E5C65" w:rsidP="008E5C65">
      <w:pPr>
        <w:pStyle w:val="BodyText"/>
      </w:pPr>
      <w:r>
        <w:t>The Department’s leaders continue to champion innovative thinking across the business units by taking a proactive approach in anticipating emerging trends, and empowering staff to offer unique solutions that have the potential to benefit government as a whole.</w:t>
      </w:r>
    </w:p>
    <w:p w:rsidR="008E5C65" w:rsidRDefault="008E5C65" w:rsidP="008E5C65">
      <w:pPr>
        <w:pStyle w:val="BodyText"/>
      </w:pPr>
      <w:r>
        <w:t>This proactive approach whilst maintaining a long-term outlook, also aligns with a focus on enabling staff to proactively identify regulatory reform opportunities across the Department and cut red tape, to free up time and money that would otherwise be spent on unnecessary compliance.</w:t>
      </w:r>
    </w:p>
    <w:p w:rsidR="008E5C65" w:rsidRDefault="008E5C65" w:rsidP="008E5C65">
      <w:pPr>
        <w:pStyle w:val="Heading3"/>
      </w:pPr>
      <w:r>
        <w:t>Finance and Procurement Committee</w:t>
      </w:r>
    </w:p>
    <w:p w:rsidR="008E5C65" w:rsidRDefault="008E5C65" w:rsidP="008E5C65">
      <w:pPr>
        <w:pStyle w:val="BodyText"/>
      </w:pPr>
      <w:r>
        <w:t>This year, the Finance and Procurement Committee provided direction and leadership in the management of the Department’s financial responsibilities by increasing its focus and oversight of cash management, financial accountability, business unit reporting and procurement trends.</w:t>
      </w:r>
    </w:p>
    <w:p w:rsidR="008E5C65" w:rsidRDefault="008E5C65" w:rsidP="008E5C65">
      <w:pPr>
        <w:pStyle w:val="BodyText"/>
      </w:pPr>
      <w:r>
        <w:t>This work was complemented by the Department’s review and rationalisation of services as part of the Agency Expenditure Review agenda, achieving significant savings targets. This also encompassed the transfer of responsibility for procurement under $250,000 back to the Department's Corporate Services area.</w:t>
      </w:r>
    </w:p>
    <w:p w:rsidR="008E5C65" w:rsidRDefault="008E5C65" w:rsidP="008E5C65">
      <w:pPr>
        <w:pStyle w:val="Heading3"/>
      </w:pPr>
      <w:r>
        <w:br w:type="page"/>
        <w:t>Technology Governance Committee</w:t>
      </w:r>
    </w:p>
    <w:p w:rsidR="008E5C65" w:rsidRDefault="008E5C65" w:rsidP="008E5C65">
      <w:pPr>
        <w:pStyle w:val="BodyText"/>
      </w:pPr>
      <w:r>
        <w:t>The Technology Governance Committee comprises executive members from all business units, relevant technical staff and a representative from the Department of Treasury. This membership mix ensures a strategic approach is applied to discussions supporting ICT strategy and digital programs, activities, opportunities and risks across the Department and the wider government sector.</w:t>
      </w:r>
    </w:p>
    <w:p w:rsidR="008E5C65" w:rsidRDefault="008E5C65" w:rsidP="008E5C65">
      <w:pPr>
        <w:pStyle w:val="BodyText"/>
      </w:pPr>
      <w:r>
        <w:t>The focus areas of the committee this year included:</w:t>
      </w:r>
    </w:p>
    <w:p w:rsidR="008E5C65" w:rsidRDefault="008E5C65" w:rsidP="000D7011">
      <w:pPr>
        <w:pStyle w:val="BodyText"/>
        <w:numPr>
          <w:ilvl w:val="0"/>
          <w:numId w:val="46"/>
        </w:numPr>
      </w:pPr>
      <w:r>
        <w:t>Progress on the strategic positioning for all ICT works and digital services, with a focus on impacts and opportunities associated with new government ICT policies.</w:t>
      </w:r>
    </w:p>
    <w:p w:rsidR="008E5C65" w:rsidRDefault="008E5C65" w:rsidP="000D7011">
      <w:pPr>
        <w:pStyle w:val="BodyText"/>
        <w:numPr>
          <w:ilvl w:val="0"/>
          <w:numId w:val="46"/>
        </w:numPr>
      </w:pPr>
      <w:r>
        <w:t>Establishing frameworks for enhanced information sharing within the Department and throughout the government sector.</w:t>
      </w:r>
    </w:p>
    <w:p w:rsidR="008E5C65" w:rsidRDefault="008E5C65" w:rsidP="000D7011">
      <w:pPr>
        <w:pStyle w:val="BodyText"/>
        <w:numPr>
          <w:ilvl w:val="0"/>
          <w:numId w:val="46"/>
        </w:numPr>
      </w:pPr>
      <w:r>
        <w:t>Policies, long-term plans, standards and directions of all corporate systems, with a focus on simplicity and efficiency.</w:t>
      </w:r>
    </w:p>
    <w:p w:rsidR="008E5C65" w:rsidRDefault="008E5C65" w:rsidP="008E5C65">
      <w:pPr>
        <w:pStyle w:val="Heading3"/>
      </w:pPr>
      <w:r>
        <w:t>People and Communications Committee</w:t>
      </w:r>
    </w:p>
    <w:p w:rsidR="008E5C65" w:rsidRPr="009F4704" w:rsidRDefault="008E5C65" w:rsidP="008E5C65">
      <w:pPr>
        <w:pStyle w:val="Heading3"/>
        <w:rPr>
          <w:rFonts w:cs="Arial"/>
          <w:b w:val="0"/>
          <w:bCs w:val="0"/>
          <w:sz w:val="24"/>
          <w:szCs w:val="24"/>
          <w:lang w:eastAsia="en-AU"/>
        </w:rPr>
      </w:pPr>
      <w:r w:rsidRPr="009F4704">
        <w:rPr>
          <w:rFonts w:cs="Arial"/>
          <w:b w:val="0"/>
          <w:bCs w:val="0"/>
          <w:sz w:val="24"/>
          <w:szCs w:val="24"/>
          <w:lang w:eastAsia="en-AU"/>
        </w:rPr>
        <w:t>With the Department implementing staff changes</w:t>
      </w:r>
      <w:r>
        <w:rPr>
          <w:rFonts w:cs="Arial"/>
          <w:b w:val="0"/>
          <w:bCs w:val="0"/>
          <w:sz w:val="24"/>
          <w:szCs w:val="24"/>
          <w:lang w:eastAsia="en-AU"/>
        </w:rPr>
        <w:t xml:space="preserve"> </w:t>
      </w:r>
      <w:r w:rsidRPr="009F4704">
        <w:rPr>
          <w:rFonts w:cs="Arial"/>
          <w:b w:val="0"/>
          <w:bCs w:val="0"/>
          <w:sz w:val="24"/>
          <w:szCs w:val="24"/>
          <w:lang w:eastAsia="en-AU"/>
        </w:rPr>
        <w:t>to deliver the outcomes of the Agency Expenditure</w:t>
      </w:r>
      <w:r>
        <w:rPr>
          <w:rFonts w:cs="Arial"/>
          <w:b w:val="0"/>
          <w:bCs w:val="0"/>
          <w:sz w:val="24"/>
          <w:szCs w:val="24"/>
          <w:lang w:eastAsia="en-AU"/>
        </w:rPr>
        <w:t xml:space="preserve"> </w:t>
      </w:r>
      <w:r w:rsidRPr="009F4704">
        <w:rPr>
          <w:rFonts w:cs="Arial"/>
          <w:b w:val="0"/>
          <w:bCs w:val="0"/>
          <w:sz w:val="24"/>
          <w:szCs w:val="24"/>
          <w:lang w:eastAsia="en-AU"/>
        </w:rPr>
        <w:t>Review, the People and Communications Committee</w:t>
      </w:r>
      <w:r>
        <w:rPr>
          <w:rFonts w:cs="Arial"/>
          <w:b w:val="0"/>
          <w:bCs w:val="0"/>
          <w:sz w:val="24"/>
          <w:szCs w:val="24"/>
          <w:lang w:eastAsia="en-AU"/>
        </w:rPr>
        <w:t xml:space="preserve"> </w:t>
      </w:r>
      <w:r w:rsidRPr="009F4704">
        <w:rPr>
          <w:rFonts w:cs="Arial"/>
          <w:b w:val="0"/>
          <w:bCs w:val="0"/>
          <w:sz w:val="24"/>
          <w:szCs w:val="24"/>
          <w:lang w:eastAsia="en-AU"/>
        </w:rPr>
        <w:t>focused on ensuring the program of change</w:t>
      </w:r>
      <w:r>
        <w:rPr>
          <w:rFonts w:cs="Arial"/>
          <w:b w:val="0"/>
          <w:bCs w:val="0"/>
          <w:sz w:val="24"/>
          <w:szCs w:val="24"/>
          <w:lang w:eastAsia="en-AU"/>
        </w:rPr>
        <w:t xml:space="preserve"> </w:t>
      </w:r>
      <w:r w:rsidRPr="009F4704">
        <w:rPr>
          <w:rFonts w:cs="Arial"/>
          <w:b w:val="0"/>
          <w:bCs w:val="0"/>
          <w:sz w:val="24"/>
          <w:szCs w:val="24"/>
          <w:lang w:eastAsia="en-AU"/>
        </w:rPr>
        <w:t>included a robust staff consultation plan, providing</w:t>
      </w:r>
      <w:r>
        <w:rPr>
          <w:rFonts w:cs="Arial"/>
          <w:b w:val="0"/>
          <w:bCs w:val="0"/>
          <w:sz w:val="24"/>
          <w:szCs w:val="24"/>
          <w:lang w:eastAsia="en-AU"/>
        </w:rPr>
        <w:t xml:space="preserve"> </w:t>
      </w:r>
      <w:r w:rsidRPr="009F4704">
        <w:rPr>
          <w:rFonts w:cs="Arial"/>
          <w:b w:val="0"/>
          <w:bCs w:val="0"/>
          <w:sz w:val="24"/>
          <w:szCs w:val="24"/>
          <w:lang w:eastAsia="en-AU"/>
        </w:rPr>
        <w:t>clear communication regarding the change, in a way</w:t>
      </w:r>
      <w:r>
        <w:rPr>
          <w:rFonts w:cs="Arial"/>
          <w:b w:val="0"/>
          <w:bCs w:val="0"/>
          <w:sz w:val="24"/>
          <w:szCs w:val="24"/>
          <w:lang w:eastAsia="en-AU"/>
        </w:rPr>
        <w:t xml:space="preserve"> </w:t>
      </w:r>
      <w:r w:rsidRPr="009F4704">
        <w:rPr>
          <w:rFonts w:cs="Arial"/>
          <w:b w:val="0"/>
          <w:bCs w:val="0"/>
          <w:sz w:val="24"/>
          <w:szCs w:val="24"/>
          <w:lang w:eastAsia="en-AU"/>
        </w:rPr>
        <w:t>consistent with departmental values.</w:t>
      </w:r>
    </w:p>
    <w:p w:rsidR="008E5C65" w:rsidRPr="009F4704" w:rsidRDefault="008E5C65" w:rsidP="008E5C65">
      <w:pPr>
        <w:pStyle w:val="Heading3"/>
        <w:rPr>
          <w:rFonts w:cs="Arial"/>
          <w:b w:val="0"/>
          <w:bCs w:val="0"/>
          <w:sz w:val="24"/>
          <w:szCs w:val="24"/>
          <w:lang w:eastAsia="en-AU"/>
        </w:rPr>
      </w:pPr>
      <w:r w:rsidRPr="009F4704">
        <w:rPr>
          <w:rFonts w:cs="Arial"/>
          <w:b w:val="0"/>
          <w:bCs w:val="0"/>
          <w:sz w:val="24"/>
          <w:szCs w:val="24"/>
          <w:lang w:eastAsia="en-AU"/>
        </w:rPr>
        <w:t>Other areas of attention for the Committee during</w:t>
      </w:r>
      <w:r>
        <w:rPr>
          <w:rFonts w:cs="Arial"/>
          <w:b w:val="0"/>
          <w:bCs w:val="0"/>
          <w:sz w:val="24"/>
          <w:szCs w:val="24"/>
          <w:lang w:eastAsia="en-AU"/>
        </w:rPr>
        <w:t xml:space="preserve"> </w:t>
      </w:r>
      <w:r w:rsidRPr="009F4704">
        <w:rPr>
          <w:rFonts w:cs="Arial"/>
          <w:b w:val="0"/>
          <w:bCs w:val="0"/>
          <w:sz w:val="24"/>
          <w:szCs w:val="24"/>
          <w:lang w:eastAsia="en-AU"/>
        </w:rPr>
        <w:t>2015-16 included:</w:t>
      </w:r>
    </w:p>
    <w:p w:rsidR="008E5C65" w:rsidRPr="009F4704" w:rsidRDefault="008E5C65" w:rsidP="000D7011">
      <w:pPr>
        <w:pStyle w:val="BodyText"/>
        <w:numPr>
          <w:ilvl w:val="0"/>
          <w:numId w:val="46"/>
        </w:numPr>
      </w:pPr>
      <w:r w:rsidRPr="009F4704">
        <w:t>Strategies for improving the Department’s</w:t>
      </w:r>
      <w:r>
        <w:t xml:space="preserve"> </w:t>
      </w:r>
      <w:r w:rsidRPr="009F4704">
        <w:t>workforce diversity in areas of</w:t>
      </w:r>
      <w:r>
        <w:t xml:space="preserve"> </w:t>
      </w:r>
      <w:r w:rsidRPr="009F4704">
        <w:t>under-representation as part of the</w:t>
      </w:r>
      <w:r>
        <w:t xml:space="preserve"> </w:t>
      </w:r>
      <w:r w:rsidRPr="009F4704">
        <w:t>2016-19 Workforce and Diversity Plan.</w:t>
      </w:r>
    </w:p>
    <w:p w:rsidR="008E5C65" w:rsidRPr="009F4704" w:rsidRDefault="008E5C65" w:rsidP="000D7011">
      <w:pPr>
        <w:pStyle w:val="BodyText"/>
        <w:numPr>
          <w:ilvl w:val="0"/>
          <w:numId w:val="46"/>
        </w:numPr>
      </w:pPr>
      <w:r w:rsidRPr="009F4704">
        <w:t>Improvements to streamline the process for</w:t>
      </w:r>
      <w:r>
        <w:t xml:space="preserve"> </w:t>
      </w:r>
      <w:r w:rsidRPr="009F4704">
        <w:t>employees exiting the Department.</w:t>
      </w:r>
    </w:p>
    <w:p w:rsidR="008E5C65" w:rsidRPr="009F4704" w:rsidRDefault="008E5C65" w:rsidP="000D7011">
      <w:pPr>
        <w:pStyle w:val="BodyText"/>
        <w:numPr>
          <w:ilvl w:val="0"/>
          <w:numId w:val="46"/>
        </w:numPr>
      </w:pPr>
      <w:r w:rsidRPr="009F4704">
        <w:t>Roll-out of a framework to improve succession</w:t>
      </w:r>
      <w:r>
        <w:t xml:space="preserve"> </w:t>
      </w:r>
      <w:r w:rsidRPr="009F4704">
        <w:t>management planning across the Department.</w:t>
      </w:r>
    </w:p>
    <w:p w:rsidR="008E5C65" w:rsidRPr="009F4704" w:rsidRDefault="008E5C65" w:rsidP="000D7011">
      <w:pPr>
        <w:pStyle w:val="BodyText"/>
        <w:numPr>
          <w:ilvl w:val="0"/>
          <w:numId w:val="46"/>
        </w:numPr>
      </w:pPr>
      <w:r w:rsidRPr="009F4704">
        <w:t>Reports on Human Resource metrics</w:t>
      </w:r>
      <w:r>
        <w:t xml:space="preserve"> </w:t>
      </w:r>
      <w:r w:rsidRPr="009F4704">
        <w:t>including performance management, training,</w:t>
      </w:r>
      <w:r>
        <w:t xml:space="preserve"> </w:t>
      </w:r>
      <w:r w:rsidRPr="009F4704">
        <w:t>occupational safety and health, and workforce</w:t>
      </w:r>
      <w:r>
        <w:t xml:space="preserve"> </w:t>
      </w:r>
      <w:r w:rsidRPr="009F4704">
        <w:t>diversity. Trends show an increase in a culturally</w:t>
      </w:r>
      <w:r>
        <w:t xml:space="preserve"> </w:t>
      </w:r>
      <w:r w:rsidRPr="009F4704">
        <w:t>diverse workforce and employees with disability.</w:t>
      </w:r>
    </w:p>
    <w:p w:rsidR="008E5C65" w:rsidRPr="009F4704" w:rsidRDefault="008E5C65" w:rsidP="000D7011">
      <w:pPr>
        <w:pStyle w:val="BodyText"/>
        <w:numPr>
          <w:ilvl w:val="0"/>
          <w:numId w:val="46"/>
        </w:numPr>
      </w:pPr>
      <w:r w:rsidRPr="009F4704">
        <w:t>The review and update of policies relating to</w:t>
      </w:r>
      <w:r>
        <w:t xml:space="preserve"> </w:t>
      </w:r>
      <w:r w:rsidRPr="009F4704">
        <w:t>substantive equality, purchased leave and</w:t>
      </w:r>
      <w:r>
        <w:t xml:space="preserve"> </w:t>
      </w:r>
      <w:r w:rsidRPr="009F4704">
        <w:t>flexi time.</w:t>
      </w:r>
    </w:p>
    <w:p w:rsidR="008E5C65" w:rsidRDefault="008E5C65" w:rsidP="008E5C65">
      <w:pPr>
        <w:pStyle w:val="Heading3"/>
      </w:pPr>
      <w:r>
        <w:t>Audit and Risk Management Committee</w:t>
      </w:r>
    </w:p>
    <w:p w:rsidR="008E5C65" w:rsidRDefault="008E5C65" w:rsidP="008E5C65">
      <w:pPr>
        <w:pStyle w:val="BodyText"/>
      </w:pPr>
      <w:r>
        <w:t>The Audit and Risk Management Committee oversees the operation of the Department’s internal audit and risk management functions, and endorses the annual audit plan.</w:t>
      </w:r>
    </w:p>
    <w:p w:rsidR="00A76CE7" w:rsidRDefault="00A76CE7">
      <w:pPr>
        <w:spacing w:after="0" w:line="240" w:lineRule="auto"/>
        <w:rPr>
          <w:rFonts w:ascii="Arial" w:eastAsia="Times New Roman" w:hAnsi="Arial" w:cs="Arial"/>
          <w:sz w:val="24"/>
          <w:szCs w:val="24"/>
          <w:lang w:eastAsia="en-AU"/>
        </w:rPr>
      </w:pPr>
      <w:r>
        <w:br w:type="page"/>
      </w:r>
    </w:p>
    <w:p w:rsidR="008E5C65" w:rsidRDefault="008E5C65" w:rsidP="008E5C65">
      <w:pPr>
        <w:pStyle w:val="BodyText"/>
        <w:keepNext/>
      </w:pPr>
      <w:r>
        <w:t>This year, the Committee:</w:t>
      </w:r>
    </w:p>
    <w:p w:rsidR="008E5C65" w:rsidRDefault="008E5C65" w:rsidP="000D7011">
      <w:pPr>
        <w:pStyle w:val="BodyText"/>
        <w:keepNext/>
        <w:numPr>
          <w:ilvl w:val="0"/>
          <w:numId w:val="47"/>
        </w:numPr>
      </w:pPr>
      <w:r>
        <w:t>Streamlined processes to cut red tape through subsuming a risk management sub-committee and rationalising the Department’s Statutory and Administrative Obligations Register, enabling the focus to be on significant obligations at risk of non-compliance.</w:t>
      </w:r>
    </w:p>
    <w:p w:rsidR="008E5C65" w:rsidRDefault="008E5C65" w:rsidP="000D7011">
      <w:pPr>
        <w:pStyle w:val="BodyText"/>
        <w:keepNext/>
        <w:numPr>
          <w:ilvl w:val="0"/>
          <w:numId w:val="47"/>
        </w:numPr>
      </w:pPr>
      <w:r>
        <w:t>Approved audit recommendations to enhance efficiency and supported the business to implement new policies regarding the management of payroll overpayments and a single eForm, to more effectively manage the termination process for staff and contractors.</w:t>
      </w:r>
    </w:p>
    <w:p w:rsidR="008E5C65" w:rsidRDefault="008E5C65" w:rsidP="000D7011">
      <w:pPr>
        <w:pStyle w:val="BodyText"/>
        <w:keepNext/>
        <w:numPr>
          <w:ilvl w:val="0"/>
          <w:numId w:val="47"/>
        </w:numPr>
      </w:pPr>
      <w:r>
        <w:t>Developed and made available to staff a new mandatory Risk Management Awareness e-learning module to raise awareness and understanding of risk management across the Department. To date, 365 staff have completed the module.</w:t>
      </w:r>
    </w:p>
    <w:p w:rsidR="008E5C65" w:rsidRDefault="008E5C65" w:rsidP="008E5C65">
      <w:pPr>
        <w:pStyle w:val="Heading3"/>
      </w:pPr>
      <w:r>
        <w:t>Unauthorised use of credit cards</w:t>
      </w:r>
    </w:p>
    <w:p w:rsidR="008E5C65" w:rsidRDefault="008E5C65" w:rsidP="008E5C65">
      <w:pPr>
        <w:pStyle w:val="BodyText"/>
      </w:pPr>
      <w:r>
        <w:t>The Department of Finance uses corporate credit cards as a purchasing tool to reduce the cost of invoice payments. The Department has a strong control framework supporting the use of purchasing cards, including supervisor approval of all staff transactions and high level oversight by the Department’s Finance and Procurement Committee.</w:t>
      </w:r>
    </w:p>
    <w:p w:rsidR="008E5C65" w:rsidRDefault="008E5C65" w:rsidP="008E5C65">
      <w:pPr>
        <w:pStyle w:val="BodyText"/>
      </w:pPr>
      <w:r>
        <w:t>Effective 24 November 2015, a new requirement was introduced, requiring the disclosure of details concerning the personal use of corporate credit cards. On occasion, staff will accidentally/inadvertently use their corporate credit cards for personal purposes. The Department has strong procedures to detect such use, and ensure repayment of the associated costs in a timely way.</w:t>
      </w:r>
    </w:p>
    <w:p w:rsidR="008E5C65" w:rsidRDefault="008E5C65" w:rsidP="008E5C65">
      <w:pPr>
        <w:pStyle w:val="BodyText"/>
      </w:pPr>
      <w:r>
        <w:t>During this period, the Department performed 7,828 credit card transactions. The 12 personal transactions represented less than 0.2 per cent of the overall volume of credit card transactions.</w:t>
      </w:r>
    </w:p>
    <w:p w:rsidR="008E5C65" w:rsidRDefault="008E5C65" w:rsidP="008E5C65">
      <w:pPr>
        <w:pStyle w:val="BodyText"/>
      </w:pPr>
      <w:r>
        <w:t>The details of inadvertent personal use of credit cards are as follows:</w:t>
      </w:r>
    </w:p>
    <w:p w:rsidR="008E5C65" w:rsidRDefault="008E5C65" w:rsidP="008E5C65">
      <w:pPr>
        <w:pStyle w:val="Caption"/>
      </w:pPr>
    </w:p>
    <w:p w:rsidR="008E5C65" w:rsidRPr="00020025" w:rsidRDefault="008E5C65" w:rsidP="008E5C65">
      <w:pPr>
        <w:pStyle w:val="Caption"/>
      </w:pPr>
      <w:r w:rsidRPr="00FE25E6">
        <w:rPr>
          <w:rFonts w:cs="Arial"/>
          <w:szCs w:val="24"/>
        </w:rPr>
        <w:fldChar w:fldCharType="begin"/>
      </w:r>
      <w:r w:rsidRPr="00FE25E6">
        <w:rPr>
          <w:rFonts w:cs="Arial"/>
          <w:szCs w:val="24"/>
        </w:rPr>
        <w:instrText xml:space="preserve"> SEQ Table \* ARABIC </w:instrText>
      </w:r>
      <w:r w:rsidRPr="00FE25E6">
        <w:rPr>
          <w:rFonts w:cs="Arial"/>
          <w:szCs w:val="24"/>
        </w:rPr>
        <w:fldChar w:fldCharType="separate"/>
      </w:r>
      <w:r w:rsidR="00D8778B">
        <w:rPr>
          <w:rFonts w:cs="Arial"/>
          <w:noProof/>
          <w:szCs w:val="24"/>
        </w:rPr>
        <w:t>89</w:t>
      </w:r>
      <w:r w:rsidRPr="00FE25E6">
        <w:rPr>
          <w:rFonts w:cs="Arial"/>
          <w:szCs w:val="24"/>
        </w:rPr>
        <w:fldChar w:fldCharType="end"/>
      </w:r>
      <w:r w:rsidRPr="00FE25E6">
        <w:t xml:space="preserve"> Unauthorised use of credit cards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0"/>
        <w:gridCol w:w="1406"/>
      </w:tblGrid>
      <w:tr w:rsidR="008E5C65" w:rsidRPr="00442B03" w:rsidTr="000D7011">
        <w:tc>
          <w:tcPr>
            <w:tcW w:w="7763" w:type="dxa"/>
            <w:shd w:val="clear" w:color="auto" w:fill="auto"/>
          </w:tcPr>
          <w:p w:rsidR="008E5C65" w:rsidRPr="00442B03" w:rsidRDefault="008E5C65" w:rsidP="00A76CE7">
            <w:pPr>
              <w:pStyle w:val="BodyText"/>
              <w:spacing w:before="60" w:after="60"/>
              <w:rPr>
                <w:b/>
                <w:sz w:val="20"/>
                <w:szCs w:val="20"/>
              </w:rPr>
            </w:pPr>
            <w:r>
              <w:rPr>
                <w:b/>
                <w:sz w:val="20"/>
                <w:szCs w:val="20"/>
              </w:rPr>
              <w:t>Measure</w:t>
            </w:r>
          </w:p>
        </w:tc>
        <w:tc>
          <w:tcPr>
            <w:tcW w:w="1417" w:type="dxa"/>
            <w:shd w:val="clear" w:color="auto" w:fill="auto"/>
          </w:tcPr>
          <w:p w:rsidR="008E5C65" w:rsidRPr="00442B03" w:rsidRDefault="008E5C65" w:rsidP="00A76CE7">
            <w:pPr>
              <w:pStyle w:val="BodyText"/>
              <w:spacing w:before="60" w:after="60"/>
              <w:jc w:val="right"/>
              <w:rPr>
                <w:b/>
                <w:sz w:val="20"/>
                <w:szCs w:val="20"/>
              </w:rPr>
            </w:pPr>
            <w:r>
              <w:rPr>
                <w:b/>
                <w:sz w:val="20"/>
                <w:szCs w:val="20"/>
              </w:rPr>
              <w:t>2015-16</w:t>
            </w:r>
          </w:p>
        </w:tc>
      </w:tr>
      <w:tr w:rsidR="008E5C65" w:rsidRPr="00442B03" w:rsidTr="000D7011">
        <w:tc>
          <w:tcPr>
            <w:tcW w:w="7763" w:type="dxa"/>
            <w:shd w:val="clear" w:color="auto" w:fill="auto"/>
          </w:tcPr>
          <w:p w:rsidR="008E5C65" w:rsidRPr="00442B03" w:rsidRDefault="008E5C65" w:rsidP="00A76CE7">
            <w:pPr>
              <w:pStyle w:val="BodyText"/>
              <w:spacing w:before="60" w:after="60"/>
              <w:rPr>
                <w:sz w:val="20"/>
                <w:szCs w:val="20"/>
              </w:rPr>
            </w:pPr>
            <w:r w:rsidRPr="002E4421">
              <w:rPr>
                <w:sz w:val="20"/>
                <w:szCs w:val="20"/>
              </w:rPr>
              <w:t>Number of instances a government purchasing card has been</w:t>
            </w:r>
            <w:r>
              <w:rPr>
                <w:sz w:val="20"/>
                <w:szCs w:val="20"/>
              </w:rPr>
              <w:t xml:space="preserve"> </w:t>
            </w:r>
            <w:r w:rsidRPr="002E4421">
              <w:rPr>
                <w:sz w:val="20"/>
                <w:szCs w:val="20"/>
              </w:rPr>
              <w:t>used for personal use</w:t>
            </w:r>
          </w:p>
        </w:tc>
        <w:tc>
          <w:tcPr>
            <w:tcW w:w="1417" w:type="dxa"/>
            <w:shd w:val="clear" w:color="auto" w:fill="auto"/>
          </w:tcPr>
          <w:p w:rsidR="008E5C65" w:rsidRPr="00442B03" w:rsidRDefault="008E5C65" w:rsidP="00A76CE7">
            <w:pPr>
              <w:pStyle w:val="BodyText"/>
              <w:spacing w:before="60" w:after="60"/>
              <w:jc w:val="right"/>
              <w:rPr>
                <w:sz w:val="20"/>
                <w:szCs w:val="20"/>
              </w:rPr>
            </w:pPr>
            <w:r>
              <w:rPr>
                <w:sz w:val="20"/>
                <w:szCs w:val="20"/>
              </w:rPr>
              <w:t>12</w:t>
            </w:r>
          </w:p>
        </w:tc>
      </w:tr>
      <w:tr w:rsidR="008E5C65" w:rsidRPr="00442B03" w:rsidTr="000D7011">
        <w:tc>
          <w:tcPr>
            <w:tcW w:w="7763" w:type="dxa"/>
            <w:shd w:val="clear" w:color="auto" w:fill="auto"/>
          </w:tcPr>
          <w:p w:rsidR="008E5C65" w:rsidRPr="00442B03" w:rsidRDefault="008E5C65" w:rsidP="00A76CE7">
            <w:pPr>
              <w:pStyle w:val="BodyText"/>
              <w:spacing w:before="60" w:after="60"/>
              <w:rPr>
                <w:sz w:val="20"/>
                <w:szCs w:val="20"/>
              </w:rPr>
            </w:pPr>
            <w:r w:rsidRPr="002E4421">
              <w:rPr>
                <w:sz w:val="20"/>
                <w:szCs w:val="20"/>
              </w:rPr>
              <w:t>Aggregate amount of personal use expenditure for the reporting</w:t>
            </w:r>
            <w:r>
              <w:rPr>
                <w:sz w:val="20"/>
                <w:szCs w:val="20"/>
              </w:rPr>
              <w:t xml:space="preserve"> </w:t>
            </w:r>
            <w:r w:rsidRPr="002E4421">
              <w:rPr>
                <w:sz w:val="20"/>
                <w:szCs w:val="20"/>
              </w:rPr>
              <w:t>period</w:t>
            </w:r>
          </w:p>
        </w:tc>
        <w:tc>
          <w:tcPr>
            <w:tcW w:w="1417" w:type="dxa"/>
            <w:shd w:val="clear" w:color="auto" w:fill="auto"/>
          </w:tcPr>
          <w:p w:rsidR="008E5C65" w:rsidRPr="00442B03" w:rsidRDefault="008E5C65" w:rsidP="00A76CE7">
            <w:pPr>
              <w:pStyle w:val="BodyText"/>
              <w:spacing w:before="60" w:after="60"/>
              <w:jc w:val="right"/>
              <w:rPr>
                <w:sz w:val="20"/>
                <w:szCs w:val="20"/>
              </w:rPr>
            </w:pPr>
            <w:r>
              <w:rPr>
                <w:sz w:val="20"/>
                <w:szCs w:val="20"/>
              </w:rPr>
              <w:t>$492.63</w:t>
            </w:r>
          </w:p>
        </w:tc>
      </w:tr>
      <w:tr w:rsidR="008E5C65" w:rsidRPr="00442B03" w:rsidTr="000D7011">
        <w:tc>
          <w:tcPr>
            <w:tcW w:w="7763" w:type="dxa"/>
            <w:shd w:val="clear" w:color="auto" w:fill="auto"/>
          </w:tcPr>
          <w:p w:rsidR="008E5C65" w:rsidRPr="00442B03" w:rsidRDefault="008E5C65" w:rsidP="00A76CE7">
            <w:pPr>
              <w:pStyle w:val="BodyText"/>
              <w:spacing w:before="60" w:after="60"/>
              <w:rPr>
                <w:sz w:val="20"/>
                <w:szCs w:val="20"/>
              </w:rPr>
            </w:pPr>
            <w:r w:rsidRPr="002E4421">
              <w:rPr>
                <w:sz w:val="20"/>
                <w:szCs w:val="20"/>
              </w:rPr>
              <w:t>Aggregate amount of personal use expenditure settled by the</w:t>
            </w:r>
            <w:r>
              <w:rPr>
                <w:sz w:val="20"/>
                <w:szCs w:val="20"/>
              </w:rPr>
              <w:t xml:space="preserve"> </w:t>
            </w:r>
            <w:r w:rsidRPr="002E4421">
              <w:rPr>
                <w:sz w:val="20"/>
                <w:szCs w:val="20"/>
              </w:rPr>
              <w:t>due date (within five working days)</w:t>
            </w:r>
          </w:p>
        </w:tc>
        <w:tc>
          <w:tcPr>
            <w:tcW w:w="1417" w:type="dxa"/>
            <w:shd w:val="clear" w:color="auto" w:fill="auto"/>
          </w:tcPr>
          <w:p w:rsidR="008E5C65" w:rsidRPr="00442B03" w:rsidRDefault="008E5C65" w:rsidP="00A76CE7">
            <w:pPr>
              <w:pStyle w:val="BodyText"/>
              <w:spacing w:before="60" w:after="60"/>
              <w:jc w:val="right"/>
              <w:rPr>
                <w:sz w:val="20"/>
                <w:szCs w:val="20"/>
              </w:rPr>
            </w:pPr>
            <w:r>
              <w:rPr>
                <w:sz w:val="20"/>
                <w:szCs w:val="20"/>
              </w:rPr>
              <w:t>$492.63</w:t>
            </w:r>
          </w:p>
        </w:tc>
      </w:tr>
      <w:tr w:rsidR="008E5C65" w:rsidRPr="00442B03" w:rsidTr="000D7011">
        <w:tc>
          <w:tcPr>
            <w:tcW w:w="7763" w:type="dxa"/>
            <w:shd w:val="clear" w:color="auto" w:fill="auto"/>
          </w:tcPr>
          <w:p w:rsidR="008E5C65" w:rsidRPr="00442B03" w:rsidRDefault="008E5C65" w:rsidP="00A76CE7">
            <w:pPr>
              <w:pStyle w:val="BodyText"/>
              <w:spacing w:before="60" w:after="60"/>
              <w:rPr>
                <w:sz w:val="20"/>
                <w:szCs w:val="20"/>
              </w:rPr>
            </w:pPr>
            <w:r w:rsidRPr="002E4421">
              <w:rPr>
                <w:sz w:val="20"/>
                <w:szCs w:val="20"/>
              </w:rPr>
              <w:t>Aggregate amount of personal use expenditure settled after</w:t>
            </w:r>
            <w:r>
              <w:rPr>
                <w:sz w:val="20"/>
                <w:szCs w:val="20"/>
              </w:rPr>
              <w:t xml:space="preserve"> </w:t>
            </w:r>
            <w:r w:rsidRPr="002E4421">
              <w:rPr>
                <w:sz w:val="20"/>
                <w:szCs w:val="20"/>
              </w:rPr>
              <w:t>the period (after five working days)</w:t>
            </w:r>
          </w:p>
        </w:tc>
        <w:tc>
          <w:tcPr>
            <w:tcW w:w="1417" w:type="dxa"/>
            <w:shd w:val="clear" w:color="auto" w:fill="auto"/>
          </w:tcPr>
          <w:p w:rsidR="008E5C65" w:rsidRPr="00442B03" w:rsidRDefault="008E5C65" w:rsidP="00A76CE7">
            <w:pPr>
              <w:pStyle w:val="BodyText"/>
              <w:spacing w:before="60" w:after="60"/>
              <w:jc w:val="right"/>
              <w:rPr>
                <w:sz w:val="20"/>
                <w:szCs w:val="20"/>
              </w:rPr>
            </w:pPr>
            <w:r>
              <w:rPr>
                <w:sz w:val="20"/>
                <w:szCs w:val="20"/>
              </w:rPr>
              <w:t>Nil</w:t>
            </w:r>
          </w:p>
        </w:tc>
      </w:tr>
      <w:tr w:rsidR="008E5C65" w:rsidRPr="00442B03" w:rsidTr="000D7011">
        <w:tc>
          <w:tcPr>
            <w:tcW w:w="7763" w:type="dxa"/>
            <w:shd w:val="clear" w:color="auto" w:fill="auto"/>
          </w:tcPr>
          <w:p w:rsidR="008E5C65" w:rsidRPr="00442B03" w:rsidRDefault="008E5C65" w:rsidP="00A76CE7">
            <w:pPr>
              <w:pStyle w:val="BodyText"/>
              <w:spacing w:before="60" w:after="60"/>
              <w:rPr>
                <w:sz w:val="20"/>
                <w:szCs w:val="20"/>
              </w:rPr>
            </w:pPr>
            <w:r w:rsidRPr="002E4421">
              <w:rPr>
                <w:sz w:val="20"/>
                <w:szCs w:val="20"/>
              </w:rPr>
              <w:t>Aggregate amount of personal use expenditure outstanding</w:t>
            </w:r>
            <w:r>
              <w:rPr>
                <w:sz w:val="20"/>
                <w:szCs w:val="20"/>
              </w:rPr>
              <w:t xml:space="preserve"> </w:t>
            </w:r>
            <w:r w:rsidRPr="002E4421">
              <w:rPr>
                <w:sz w:val="20"/>
                <w:szCs w:val="20"/>
              </w:rPr>
              <w:t>at balance date</w:t>
            </w:r>
          </w:p>
        </w:tc>
        <w:tc>
          <w:tcPr>
            <w:tcW w:w="1417" w:type="dxa"/>
            <w:shd w:val="clear" w:color="auto" w:fill="auto"/>
          </w:tcPr>
          <w:p w:rsidR="008E5C65" w:rsidRPr="00442B03" w:rsidRDefault="008E5C65" w:rsidP="00A76CE7">
            <w:pPr>
              <w:pStyle w:val="BodyText"/>
              <w:spacing w:before="60" w:after="60"/>
              <w:jc w:val="right"/>
              <w:rPr>
                <w:sz w:val="20"/>
                <w:szCs w:val="20"/>
              </w:rPr>
            </w:pPr>
            <w:r>
              <w:rPr>
                <w:sz w:val="20"/>
                <w:szCs w:val="20"/>
              </w:rPr>
              <w:t>Nil</w:t>
            </w:r>
          </w:p>
        </w:tc>
      </w:tr>
    </w:tbl>
    <w:p w:rsidR="008E5C65" w:rsidRDefault="008E5C65" w:rsidP="008E5C65">
      <w:pPr>
        <w:pStyle w:val="BodyText"/>
        <w:ind w:left="720"/>
      </w:pPr>
    </w:p>
    <w:p w:rsidR="008E5C65" w:rsidRDefault="008E5C65" w:rsidP="008E5C65">
      <w:pPr>
        <w:pStyle w:val="Heading2"/>
      </w:pPr>
      <w:r>
        <w:br w:type="page"/>
        <w:t>Other legal requirements</w:t>
      </w:r>
    </w:p>
    <w:p w:rsidR="008E5C65" w:rsidRDefault="008E5C65" w:rsidP="008E5C65">
      <w:pPr>
        <w:pStyle w:val="Heading3"/>
      </w:pPr>
      <w:r>
        <w:t>Expenditure on advertising, market research, polling and direct mail</w:t>
      </w:r>
    </w:p>
    <w:p w:rsidR="008E5C65" w:rsidRDefault="008E5C65" w:rsidP="008E5C65">
      <w:pPr>
        <w:pStyle w:val="BodyText"/>
      </w:pPr>
      <w:r>
        <w:t xml:space="preserve">In accordance with section 175ZE of the </w:t>
      </w:r>
      <w:r w:rsidRPr="00B16525">
        <w:rPr>
          <w:i/>
        </w:rPr>
        <w:t>Electoral Act 1907</w:t>
      </w:r>
      <w:r>
        <w:t>, total advertising related expenditure for the 2015-16 year was $83,552, and mainly relates to the Electricity Market Review communications via the website www.morepowertoyou.wa.gov.au.</w:t>
      </w:r>
    </w:p>
    <w:p w:rsidR="008E5C65" w:rsidRDefault="008E5C65" w:rsidP="008E5C65">
      <w:pPr>
        <w:pStyle w:val="BodyText"/>
      </w:pPr>
      <w:r>
        <w:t>Total expenditure for the 2014-15 year was $348,438 and mainly related to the advertising of Fremantle Prison. With the transfer of responsibility for Fremantle Prison to the State Heritage Office on 1 July 2015, this advertising expenditure is now accounted for and documented in the State Heritage Office Annual Report.</w:t>
      </w:r>
    </w:p>
    <w:p w:rsidR="008E5C65" w:rsidRDefault="008E5C65" w:rsidP="008E5C65">
      <w:pPr>
        <w:pStyle w:val="BodyText"/>
      </w:pPr>
    </w:p>
    <w:p w:rsidR="008E5C65" w:rsidRDefault="008E5C65" w:rsidP="008E5C65">
      <w:pPr>
        <w:pStyle w:val="Caption"/>
      </w:pPr>
      <w:r w:rsidRPr="00FE25E6">
        <w:rPr>
          <w:rFonts w:cs="Arial"/>
          <w:szCs w:val="24"/>
        </w:rPr>
        <w:fldChar w:fldCharType="begin"/>
      </w:r>
      <w:r w:rsidRPr="00FE25E6">
        <w:rPr>
          <w:rFonts w:cs="Arial"/>
          <w:szCs w:val="24"/>
        </w:rPr>
        <w:instrText xml:space="preserve"> SEQ Table \* ARABIC </w:instrText>
      </w:r>
      <w:r w:rsidRPr="00FE25E6">
        <w:rPr>
          <w:rFonts w:cs="Arial"/>
          <w:szCs w:val="24"/>
        </w:rPr>
        <w:fldChar w:fldCharType="separate"/>
      </w:r>
      <w:r w:rsidR="00D8778B">
        <w:rPr>
          <w:rFonts w:cs="Arial"/>
          <w:noProof/>
          <w:szCs w:val="24"/>
        </w:rPr>
        <w:t>90</w:t>
      </w:r>
      <w:r w:rsidRPr="00FE25E6">
        <w:rPr>
          <w:rFonts w:cs="Arial"/>
          <w:szCs w:val="24"/>
        </w:rPr>
        <w:fldChar w:fldCharType="end"/>
      </w:r>
      <w:r w:rsidRPr="00FE25E6">
        <w:t xml:space="preserve"> Expenditure: advertising, market research, polling, direct mail and media advertising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1"/>
        <w:gridCol w:w="1964"/>
        <w:gridCol w:w="1971"/>
      </w:tblGrid>
      <w:tr w:rsidR="008E5C65" w:rsidRPr="00442B03" w:rsidTr="000D7011">
        <w:tc>
          <w:tcPr>
            <w:tcW w:w="5211" w:type="dxa"/>
            <w:shd w:val="clear" w:color="auto" w:fill="auto"/>
          </w:tcPr>
          <w:p w:rsidR="008E5C65" w:rsidRPr="00442B03" w:rsidRDefault="008E5C65" w:rsidP="00A76CE7">
            <w:pPr>
              <w:pStyle w:val="BodyText"/>
              <w:spacing w:before="60" w:after="60"/>
              <w:rPr>
                <w:b/>
                <w:sz w:val="20"/>
                <w:szCs w:val="20"/>
              </w:rPr>
            </w:pPr>
            <w:r w:rsidRPr="00442B03">
              <w:rPr>
                <w:b/>
                <w:sz w:val="20"/>
                <w:szCs w:val="20"/>
              </w:rPr>
              <w:t>Agency/organisation</w:t>
            </w:r>
          </w:p>
        </w:tc>
        <w:tc>
          <w:tcPr>
            <w:tcW w:w="2015" w:type="dxa"/>
            <w:shd w:val="clear" w:color="auto" w:fill="auto"/>
          </w:tcPr>
          <w:p w:rsidR="008E5C65" w:rsidRPr="00442B03" w:rsidRDefault="008E5C65" w:rsidP="00A76CE7">
            <w:pPr>
              <w:pStyle w:val="BodyText"/>
              <w:spacing w:before="60" w:after="60"/>
              <w:jc w:val="right"/>
              <w:rPr>
                <w:b/>
                <w:sz w:val="20"/>
                <w:szCs w:val="20"/>
              </w:rPr>
            </w:pPr>
            <w:r w:rsidRPr="00442B03">
              <w:rPr>
                <w:b/>
                <w:sz w:val="20"/>
                <w:szCs w:val="20"/>
              </w:rPr>
              <w:t>Total $</w:t>
            </w:r>
          </w:p>
        </w:tc>
        <w:tc>
          <w:tcPr>
            <w:tcW w:w="2016" w:type="dxa"/>
            <w:shd w:val="clear" w:color="auto" w:fill="auto"/>
          </w:tcPr>
          <w:p w:rsidR="008E5C65" w:rsidRPr="00442B03" w:rsidRDefault="008E5C65" w:rsidP="00A76CE7">
            <w:pPr>
              <w:pStyle w:val="BodyText"/>
              <w:spacing w:before="60" w:after="60"/>
              <w:jc w:val="right"/>
              <w:rPr>
                <w:b/>
                <w:sz w:val="20"/>
                <w:szCs w:val="20"/>
              </w:rPr>
            </w:pPr>
            <w:r w:rsidRPr="00442B03">
              <w:rPr>
                <w:b/>
                <w:sz w:val="20"/>
                <w:szCs w:val="20"/>
              </w:rPr>
              <w:t>Amount $</w:t>
            </w:r>
          </w:p>
        </w:tc>
      </w:tr>
      <w:tr w:rsidR="008E5C65" w:rsidRPr="00442B03" w:rsidTr="000D7011">
        <w:tc>
          <w:tcPr>
            <w:tcW w:w="5211" w:type="dxa"/>
            <w:shd w:val="clear" w:color="auto" w:fill="auto"/>
          </w:tcPr>
          <w:p w:rsidR="008E5C65" w:rsidRPr="007617EA" w:rsidRDefault="008E5C65" w:rsidP="00A76CE7">
            <w:pPr>
              <w:pStyle w:val="BodyText"/>
              <w:spacing w:before="60" w:after="60"/>
              <w:rPr>
                <w:b/>
                <w:i/>
                <w:sz w:val="20"/>
                <w:szCs w:val="20"/>
              </w:rPr>
            </w:pPr>
            <w:r w:rsidRPr="007617EA">
              <w:rPr>
                <w:b/>
                <w:i/>
                <w:sz w:val="20"/>
                <w:szCs w:val="20"/>
              </w:rPr>
              <w:t>Advertising agencies</w:t>
            </w:r>
          </w:p>
        </w:tc>
        <w:tc>
          <w:tcPr>
            <w:tcW w:w="2015" w:type="dxa"/>
            <w:shd w:val="clear" w:color="auto" w:fill="auto"/>
          </w:tcPr>
          <w:p w:rsidR="008E5C65" w:rsidRPr="00442B03" w:rsidRDefault="008E5C65" w:rsidP="00A76CE7">
            <w:pPr>
              <w:pStyle w:val="BodyText"/>
              <w:spacing w:before="60" w:after="60"/>
              <w:jc w:val="right"/>
              <w:rPr>
                <w:sz w:val="20"/>
                <w:szCs w:val="20"/>
              </w:rPr>
            </w:pPr>
            <w:r>
              <w:rPr>
                <w:sz w:val="20"/>
                <w:szCs w:val="20"/>
              </w:rPr>
              <w:t>83,552</w:t>
            </w:r>
          </w:p>
        </w:tc>
        <w:tc>
          <w:tcPr>
            <w:tcW w:w="2016" w:type="dxa"/>
            <w:shd w:val="clear" w:color="auto" w:fill="auto"/>
          </w:tcPr>
          <w:p w:rsidR="008E5C65" w:rsidRPr="00442B03" w:rsidRDefault="008E5C65" w:rsidP="00A76CE7">
            <w:pPr>
              <w:pStyle w:val="BodyText"/>
              <w:spacing w:before="60" w:after="60"/>
              <w:jc w:val="right"/>
              <w:rPr>
                <w:sz w:val="20"/>
                <w:szCs w:val="20"/>
              </w:rPr>
            </w:pPr>
          </w:p>
        </w:tc>
      </w:tr>
      <w:tr w:rsidR="008E5C65" w:rsidRPr="00442B03" w:rsidTr="000D7011">
        <w:tc>
          <w:tcPr>
            <w:tcW w:w="5211" w:type="dxa"/>
            <w:shd w:val="clear" w:color="auto" w:fill="auto"/>
          </w:tcPr>
          <w:p w:rsidR="008E5C65" w:rsidRPr="00442B03" w:rsidRDefault="008E5C65" w:rsidP="00A76CE7">
            <w:pPr>
              <w:pStyle w:val="BodyText"/>
              <w:spacing w:before="60" w:after="60"/>
              <w:rPr>
                <w:sz w:val="20"/>
                <w:szCs w:val="20"/>
              </w:rPr>
            </w:pPr>
            <w:r w:rsidRPr="00442B03">
              <w:rPr>
                <w:sz w:val="20"/>
                <w:szCs w:val="20"/>
              </w:rPr>
              <w:t xml:space="preserve">Adcorp </w:t>
            </w:r>
            <w:r w:rsidRPr="00442B03">
              <w:rPr>
                <w:sz w:val="20"/>
                <w:szCs w:val="20"/>
                <w:vertAlign w:val="superscript"/>
              </w:rPr>
              <w:t>(a)</w:t>
            </w:r>
          </w:p>
        </w:tc>
        <w:tc>
          <w:tcPr>
            <w:tcW w:w="2015" w:type="dxa"/>
            <w:shd w:val="clear" w:color="auto" w:fill="auto"/>
          </w:tcPr>
          <w:p w:rsidR="008E5C65" w:rsidRPr="00442B03" w:rsidRDefault="008E5C65" w:rsidP="00A76CE7">
            <w:pPr>
              <w:pStyle w:val="BodyText"/>
              <w:spacing w:before="60" w:after="60"/>
              <w:jc w:val="right"/>
              <w:rPr>
                <w:sz w:val="20"/>
                <w:szCs w:val="20"/>
              </w:rPr>
            </w:pPr>
          </w:p>
        </w:tc>
        <w:tc>
          <w:tcPr>
            <w:tcW w:w="2016" w:type="dxa"/>
            <w:shd w:val="clear" w:color="auto" w:fill="auto"/>
          </w:tcPr>
          <w:p w:rsidR="008E5C65" w:rsidRPr="00442B03" w:rsidRDefault="008E5C65" w:rsidP="00A76CE7">
            <w:pPr>
              <w:pStyle w:val="BodyText"/>
              <w:spacing w:before="60" w:after="60"/>
              <w:jc w:val="right"/>
              <w:rPr>
                <w:sz w:val="20"/>
                <w:szCs w:val="20"/>
              </w:rPr>
            </w:pPr>
            <w:r>
              <w:rPr>
                <w:sz w:val="20"/>
                <w:szCs w:val="20"/>
              </w:rPr>
              <w:t>23,532</w:t>
            </w:r>
          </w:p>
        </w:tc>
      </w:tr>
      <w:tr w:rsidR="008E5C65" w:rsidRPr="00442B03" w:rsidTr="000D7011">
        <w:tc>
          <w:tcPr>
            <w:tcW w:w="5211" w:type="dxa"/>
            <w:shd w:val="clear" w:color="auto" w:fill="auto"/>
          </w:tcPr>
          <w:p w:rsidR="008E5C65" w:rsidRPr="00442B03" w:rsidRDefault="008E5C65" w:rsidP="00A76CE7">
            <w:pPr>
              <w:pStyle w:val="BodyText"/>
              <w:spacing w:before="60" w:after="60"/>
              <w:rPr>
                <w:sz w:val="20"/>
                <w:szCs w:val="20"/>
              </w:rPr>
            </w:pPr>
            <w:r>
              <w:rPr>
                <w:sz w:val="20"/>
                <w:szCs w:val="20"/>
              </w:rPr>
              <w:t xml:space="preserve">Rare Pty Ltd </w:t>
            </w:r>
            <w:r w:rsidRPr="00DF7EBD">
              <w:rPr>
                <w:sz w:val="20"/>
                <w:szCs w:val="20"/>
                <w:vertAlign w:val="superscript"/>
              </w:rPr>
              <w:t>(b)</w:t>
            </w:r>
          </w:p>
        </w:tc>
        <w:tc>
          <w:tcPr>
            <w:tcW w:w="2015" w:type="dxa"/>
            <w:shd w:val="clear" w:color="auto" w:fill="auto"/>
          </w:tcPr>
          <w:p w:rsidR="008E5C65" w:rsidRPr="00442B03" w:rsidRDefault="008E5C65" w:rsidP="00A76CE7">
            <w:pPr>
              <w:pStyle w:val="BodyText"/>
              <w:spacing w:before="60" w:after="60"/>
              <w:jc w:val="right"/>
              <w:rPr>
                <w:sz w:val="20"/>
                <w:szCs w:val="20"/>
              </w:rPr>
            </w:pPr>
          </w:p>
        </w:tc>
        <w:tc>
          <w:tcPr>
            <w:tcW w:w="2016" w:type="dxa"/>
            <w:shd w:val="clear" w:color="auto" w:fill="auto"/>
          </w:tcPr>
          <w:p w:rsidR="008E5C65" w:rsidRPr="00442B03" w:rsidRDefault="008E5C65" w:rsidP="00A76CE7">
            <w:pPr>
              <w:pStyle w:val="BodyText"/>
              <w:spacing w:before="60" w:after="60"/>
              <w:jc w:val="right"/>
              <w:rPr>
                <w:sz w:val="20"/>
                <w:szCs w:val="20"/>
              </w:rPr>
            </w:pPr>
            <w:r>
              <w:rPr>
                <w:sz w:val="20"/>
                <w:szCs w:val="20"/>
              </w:rPr>
              <w:t>13,495</w:t>
            </w:r>
          </w:p>
        </w:tc>
      </w:tr>
      <w:tr w:rsidR="008E5C65" w:rsidRPr="00442B03" w:rsidTr="000D7011">
        <w:tc>
          <w:tcPr>
            <w:tcW w:w="5211" w:type="dxa"/>
            <w:shd w:val="clear" w:color="auto" w:fill="auto"/>
          </w:tcPr>
          <w:p w:rsidR="008E5C65" w:rsidRPr="00442B03" w:rsidRDefault="008E5C65" w:rsidP="00A76CE7">
            <w:pPr>
              <w:pStyle w:val="BodyText"/>
              <w:spacing w:before="60" w:after="60"/>
              <w:rPr>
                <w:sz w:val="20"/>
                <w:szCs w:val="20"/>
              </w:rPr>
            </w:pPr>
            <w:r>
              <w:rPr>
                <w:sz w:val="20"/>
                <w:szCs w:val="20"/>
              </w:rPr>
              <w:t xml:space="preserve">Meerkats The Brand Leadership Company Pty Ltd </w:t>
            </w:r>
            <w:r w:rsidRPr="00DF7EBD">
              <w:rPr>
                <w:sz w:val="20"/>
                <w:szCs w:val="20"/>
                <w:vertAlign w:val="superscript"/>
              </w:rPr>
              <w:t>(c)</w:t>
            </w:r>
          </w:p>
        </w:tc>
        <w:tc>
          <w:tcPr>
            <w:tcW w:w="2015" w:type="dxa"/>
            <w:shd w:val="clear" w:color="auto" w:fill="auto"/>
          </w:tcPr>
          <w:p w:rsidR="008E5C65" w:rsidRPr="00442B03" w:rsidRDefault="008E5C65" w:rsidP="00A76CE7">
            <w:pPr>
              <w:pStyle w:val="BodyText"/>
              <w:spacing w:before="60" w:after="60"/>
              <w:jc w:val="right"/>
              <w:rPr>
                <w:sz w:val="20"/>
                <w:szCs w:val="20"/>
              </w:rPr>
            </w:pPr>
          </w:p>
        </w:tc>
        <w:tc>
          <w:tcPr>
            <w:tcW w:w="2016" w:type="dxa"/>
            <w:shd w:val="clear" w:color="auto" w:fill="auto"/>
          </w:tcPr>
          <w:p w:rsidR="008E5C65" w:rsidRPr="00442B03" w:rsidRDefault="008E5C65" w:rsidP="00A76CE7">
            <w:pPr>
              <w:pStyle w:val="BodyText"/>
              <w:spacing w:before="60" w:after="60"/>
              <w:jc w:val="right"/>
              <w:rPr>
                <w:sz w:val="20"/>
                <w:szCs w:val="20"/>
              </w:rPr>
            </w:pPr>
            <w:r>
              <w:rPr>
                <w:sz w:val="20"/>
                <w:szCs w:val="20"/>
              </w:rPr>
              <w:t>46,525</w:t>
            </w:r>
          </w:p>
        </w:tc>
      </w:tr>
      <w:tr w:rsidR="008E5C65" w:rsidRPr="00442B03" w:rsidTr="000D7011">
        <w:tc>
          <w:tcPr>
            <w:tcW w:w="5211" w:type="dxa"/>
            <w:shd w:val="clear" w:color="auto" w:fill="auto"/>
          </w:tcPr>
          <w:p w:rsidR="008E5C65" w:rsidRPr="00442B03" w:rsidRDefault="008E5C65" w:rsidP="00A76CE7">
            <w:pPr>
              <w:pStyle w:val="BodyText"/>
              <w:spacing w:before="60" w:after="60"/>
              <w:rPr>
                <w:b/>
                <w:sz w:val="20"/>
                <w:szCs w:val="20"/>
              </w:rPr>
            </w:pPr>
            <w:r w:rsidRPr="00442B03">
              <w:rPr>
                <w:b/>
                <w:sz w:val="20"/>
                <w:szCs w:val="20"/>
              </w:rPr>
              <w:t>Market Research Organisations</w:t>
            </w:r>
          </w:p>
        </w:tc>
        <w:tc>
          <w:tcPr>
            <w:tcW w:w="2015" w:type="dxa"/>
            <w:shd w:val="clear" w:color="auto" w:fill="auto"/>
          </w:tcPr>
          <w:p w:rsidR="008E5C65" w:rsidRPr="00442B03" w:rsidRDefault="008E5C65" w:rsidP="00A76CE7">
            <w:pPr>
              <w:pStyle w:val="BodyText"/>
              <w:spacing w:before="60" w:after="60"/>
              <w:jc w:val="right"/>
              <w:rPr>
                <w:sz w:val="20"/>
                <w:szCs w:val="20"/>
              </w:rPr>
            </w:pPr>
            <w:r w:rsidRPr="00442B03">
              <w:rPr>
                <w:sz w:val="20"/>
                <w:szCs w:val="20"/>
              </w:rPr>
              <w:t>Nil</w:t>
            </w:r>
          </w:p>
        </w:tc>
        <w:tc>
          <w:tcPr>
            <w:tcW w:w="2016" w:type="dxa"/>
            <w:shd w:val="clear" w:color="auto" w:fill="auto"/>
          </w:tcPr>
          <w:p w:rsidR="008E5C65" w:rsidRPr="00442B03" w:rsidRDefault="008E5C65" w:rsidP="00A76CE7">
            <w:pPr>
              <w:pStyle w:val="BodyText"/>
              <w:spacing w:before="60" w:after="60"/>
              <w:jc w:val="right"/>
              <w:rPr>
                <w:sz w:val="20"/>
                <w:szCs w:val="20"/>
              </w:rPr>
            </w:pPr>
          </w:p>
        </w:tc>
      </w:tr>
      <w:tr w:rsidR="008E5C65" w:rsidRPr="00442B03" w:rsidTr="000D7011">
        <w:tc>
          <w:tcPr>
            <w:tcW w:w="5211" w:type="dxa"/>
            <w:shd w:val="clear" w:color="auto" w:fill="auto"/>
          </w:tcPr>
          <w:p w:rsidR="008E5C65" w:rsidRPr="00442B03" w:rsidRDefault="008E5C65" w:rsidP="00A76CE7">
            <w:pPr>
              <w:pStyle w:val="BodyText"/>
              <w:spacing w:before="60" w:after="60"/>
              <w:rPr>
                <w:b/>
                <w:sz w:val="20"/>
                <w:szCs w:val="20"/>
              </w:rPr>
            </w:pPr>
            <w:r w:rsidRPr="00442B03">
              <w:rPr>
                <w:b/>
                <w:sz w:val="20"/>
                <w:szCs w:val="20"/>
              </w:rPr>
              <w:t>Polling Organisations</w:t>
            </w:r>
          </w:p>
        </w:tc>
        <w:tc>
          <w:tcPr>
            <w:tcW w:w="2015" w:type="dxa"/>
            <w:shd w:val="clear" w:color="auto" w:fill="auto"/>
          </w:tcPr>
          <w:p w:rsidR="008E5C65" w:rsidRPr="00442B03" w:rsidRDefault="008E5C65" w:rsidP="00A76CE7">
            <w:pPr>
              <w:pStyle w:val="BodyText"/>
              <w:spacing w:before="60" w:after="60"/>
              <w:jc w:val="right"/>
              <w:rPr>
                <w:sz w:val="20"/>
                <w:szCs w:val="20"/>
              </w:rPr>
            </w:pPr>
            <w:r w:rsidRPr="00442B03">
              <w:rPr>
                <w:sz w:val="20"/>
                <w:szCs w:val="20"/>
              </w:rPr>
              <w:t>Nil</w:t>
            </w:r>
          </w:p>
        </w:tc>
        <w:tc>
          <w:tcPr>
            <w:tcW w:w="2016" w:type="dxa"/>
            <w:shd w:val="clear" w:color="auto" w:fill="auto"/>
          </w:tcPr>
          <w:p w:rsidR="008E5C65" w:rsidRPr="00442B03" w:rsidRDefault="008E5C65" w:rsidP="00A76CE7">
            <w:pPr>
              <w:pStyle w:val="BodyText"/>
              <w:spacing w:before="60" w:after="60"/>
              <w:jc w:val="right"/>
              <w:rPr>
                <w:sz w:val="20"/>
                <w:szCs w:val="20"/>
              </w:rPr>
            </w:pPr>
          </w:p>
        </w:tc>
      </w:tr>
      <w:tr w:rsidR="008E5C65" w:rsidRPr="00442B03" w:rsidTr="000D7011">
        <w:tc>
          <w:tcPr>
            <w:tcW w:w="5211" w:type="dxa"/>
            <w:shd w:val="clear" w:color="auto" w:fill="auto"/>
          </w:tcPr>
          <w:p w:rsidR="008E5C65" w:rsidRPr="00442B03" w:rsidRDefault="008E5C65" w:rsidP="00A76CE7">
            <w:pPr>
              <w:pStyle w:val="BodyText"/>
              <w:spacing w:before="60" w:after="60"/>
              <w:rPr>
                <w:b/>
                <w:sz w:val="20"/>
                <w:szCs w:val="20"/>
              </w:rPr>
            </w:pPr>
            <w:r w:rsidRPr="00442B03">
              <w:rPr>
                <w:b/>
                <w:sz w:val="20"/>
                <w:szCs w:val="20"/>
              </w:rPr>
              <w:t>Direct Mail</w:t>
            </w:r>
          </w:p>
        </w:tc>
        <w:tc>
          <w:tcPr>
            <w:tcW w:w="2015" w:type="dxa"/>
            <w:shd w:val="clear" w:color="auto" w:fill="auto"/>
          </w:tcPr>
          <w:p w:rsidR="008E5C65" w:rsidRPr="00442B03" w:rsidRDefault="008E5C65" w:rsidP="00A76CE7">
            <w:pPr>
              <w:pStyle w:val="BodyText"/>
              <w:spacing w:before="60" w:after="60"/>
              <w:jc w:val="right"/>
              <w:rPr>
                <w:sz w:val="20"/>
                <w:szCs w:val="20"/>
              </w:rPr>
            </w:pPr>
            <w:r w:rsidRPr="00442B03">
              <w:rPr>
                <w:sz w:val="20"/>
                <w:szCs w:val="20"/>
              </w:rPr>
              <w:t>Nil</w:t>
            </w:r>
          </w:p>
        </w:tc>
        <w:tc>
          <w:tcPr>
            <w:tcW w:w="2016" w:type="dxa"/>
            <w:shd w:val="clear" w:color="auto" w:fill="auto"/>
          </w:tcPr>
          <w:p w:rsidR="008E5C65" w:rsidRPr="00442B03" w:rsidRDefault="008E5C65" w:rsidP="00A76CE7">
            <w:pPr>
              <w:pStyle w:val="BodyText"/>
              <w:spacing w:before="60" w:after="60"/>
              <w:jc w:val="right"/>
              <w:rPr>
                <w:sz w:val="20"/>
                <w:szCs w:val="20"/>
              </w:rPr>
            </w:pPr>
          </w:p>
        </w:tc>
      </w:tr>
      <w:tr w:rsidR="008E5C65" w:rsidRPr="00442B03" w:rsidTr="000D7011">
        <w:tc>
          <w:tcPr>
            <w:tcW w:w="5211" w:type="dxa"/>
            <w:shd w:val="clear" w:color="auto" w:fill="auto"/>
          </w:tcPr>
          <w:p w:rsidR="008E5C65" w:rsidRPr="00442B03" w:rsidRDefault="008E5C65" w:rsidP="00A76CE7">
            <w:pPr>
              <w:pStyle w:val="BodyText"/>
              <w:spacing w:before="60" w:after="60"/>
              <w:rPr>
                <w:b/>
                <w:sz w:val="20"/>
                <w:szCs w:val="20"/>
              </w:rPr>
            </w:pPr>
            <w:r w:rsidRPr="00442B03">
              <w:rPr>
                <w:b/>
                <w:sz w:val="20"/>
                <w:szCs w:val="20"/>
              </w:rPr>
              <w:t>Media Advertising Organisations</w:t>
            </w:r>
          </w:p>
        </w:tc>
        <w:tc>
          <w:tcPr>
            <w:tcW w:w="2015" w:type="dxa"/>
            <w:shd w:val="clear" w:color="auto" w:fill="auto"/>
          </w:tcPr>
          <w:p w:rsidR="008E5C65" w:rsidRPr="00442B03" w:rsidRDefault="008E5C65" w:rsidP="00A76CE7">
            <w:pPr>
              <w:pStyle w:val="BodyText"/>
              <w:spacing w:before="60" w:after="60"/>
              <w:jc w:val="right"/>
              <w:rPr>
                <w:sz w:val="20"/>
                <w:szCs w:val="20"/>
              </w:rPr>
            </w:pPr>
            <w:r w:rsidRPr="00442B03">
              <w:rPr>
                <w:sz w:val="20"/>
                <w:szCs w:val="20"/>
              </w:rPr>
              <w:t>Nil</w:t>
            </w:r>
          </w:p>
        </w:tc>
        <w:tc>
          <w:tcPr>
            <w:tcW w:w="2016" w:type="dxa"/>
            <w:shd w:val="clear" w:color="auto" w:fill="auto"/>
          </w:tcPr>
          <w:p w:rsidR="008E5C65" w:rsidRPr="00442B03" w:rsidRDefault="008E5C65" w:rsidP="00A76CE7">
            <w:pPr>
              <w:pStyle w:val="BodyText"/>
              <w:spacing w:before="60" w:after="60"/>
              <w:jc w:val="right"/>
              <w:rPr>
                <w:sz w:val="20"/>
                <w:szCs w:val="20"/>
              </w:rPr>
            </w:pPr>
          </w:p>
        </w:tc>
      </w:tr>
    </w:tbl>
    <w:p w:rsidR="008E5C65" w:rsidRDefault="008E5C65" w:rsidP="000D7011">
      <w:pPr>
        <w:pStyle w:val="BodyText"/>
        <w:numPr>
          <w:ilvl w:val="0"/>
          <w:numId w:val="48"/>
        </w:numPr>
      </w:pPr>
      <w:r>
        <w:t>Information notices and recruitments.</w:t>
      </w:r>
    </w:p>
    <w:p w:rsidR="008E5C65" w:rsidRDefault="008E5C65" w:rsidP="000D7011">
      <w:pPr>
        <w:pStyle w:val="BodyText"/>
        <w:numPr>
          <w:ilvl w:val="0"/>
          <w:numId w:val="48"/>
        </w:numPr>
      </w:pPr>
      <w:r>
        <w:t>Economic Reform marketing collateral and Public Utilities Office ‘More Power To You’ campaign.</w:t>
      </w:r>
    </w:p>
    <w:p w:rsidR="008E5C65" w:rsidRDefault="008E5C65" w:rsidP="000D7011">
      <w:pPr>
        <w:pStyle w:val="BodyText"/>
        <w:numPr>
          <w:ilvl w:val="0"/>
          <w:numId w:val="48"/>
        </w:numPr>
      </w:pPr>
      <w:r>
        <w:t xml:space="preserve"> Public Utilities Office ‘More Power To You’ campaign.</w:t>
      </w:r>
    </w:p>
    <w:p w:rsidR="008E5C65" w:rsidRDefault="008E5C65" w:rsidP="008E5C65">
      <w:pPr>
        <w:pStyle w:val="Heading3"/>
      </w:pPr>
      <w:r>
        <w:t>Disability Access and Inclusion Plan outcomes</w:t>
      </w:r>
    </w:p>
    <w:p w:rsidR="008E5C65" w:rsidRDefault="008E5C65" w:rsidP="008E5C65">
      <w:pPr>
        <w:pStyle w:val="BodyText"/>
      </w:pPr>
      <w:r>
        <w:t>Through its Disability Access and Inclusion Plan, the Department of Finance seeks to ensure that people with a disability have an equal level of inclusion and access to services and employment.</w:t>
      </w:r>
    </w:p>
    <w:p w:rsidR="008E5C65" w:rsidRDefault="008E5C65" w:rsidP="008E5C65">
      <w:pPr>
        <w:pStyle w:val="BodyText"/>
      </w:pPr>
      <w:r>
        <w:t>The Plan has achieved the following outcomes</w:t>
      </w:r>
      <w:r w:rsidR="00B403FF">
        <w:t xml:space="preserve"> </w:t>
      </w:r>
      <w:r>
        <w:t>in 2015-16:</w:t>
      </w:r>
    </w:p>
    <w:p w:rsidR="008E5C65" w:rsidRDefault="008E5C65" w:rsidP="000D7011">
      <w:pPr>
        <w:pStyle w:val="BodyText"/>
        <w:numPr>
          <w:ilvl w:val="0"/>
          <w:numId w:val="47"/>
        </w:numPr>
      </w:pPr>
      <w:r>
        <w:t>Development of the ‘Disability Awareness’ eLearning online module to assist staff in understanding issues around disability in the workplace and the wider community.</w:t>
      </w:r>
    </w:p>
    <w:p w:rsidR="008E5C65" w:rsidRDefault="008E5C65" w:rsidP="000D7011">
      <w:pPr>
        <w:pStyle w:val="BodyText"/>
        <w:numPr>
          <w:ilvl w:val="0"/>
          <w:numId w:val="47"/>
        </w:numPr>
      </w:pPr>
      <w:r>
        <w:t>Review and update of online content for currency of information and resources.</w:t>
      </w:r>
    </w:p>
    <w:p w:rsidR="008E5C65" w:rsidRDefault="008E5C65" w:rsidP="00A76CE7">
      <w:pPr>
        <w:pStyle w:val="BodyText"/>
        <w:keepLines/>
        <w:numPr>
          <w:ilvl w:val="0"/>
          <w:numId w:val="47"/>
        </w:numPr>
        <w:ind w:left="714" w:hanging="357"/>
      </w:pPr>
      <w:r>
        <w:t>Recruitment of two employees under the public sector traineeship program both of whom completed their Certificate III in Government qualification, and are successfully employed in the Government Procurement and Corporate Services business units.</w:t>
      </w:r>
    </w:p>
    <w:p w:rsidR="008E5C65" w:rsidRDefault="008E5C65" w:rsidP="000D7011">
      <w:pPr>
        <w:pStyle w:val="BodyText"/>
        <w:numPr>
          <w:ilvl w:val="0"/>
          <w:numId w:val="47"/>
        </w:numPr>
      </w:pPr>
      <w:r>
        <w:t>Delivery of awareness training to 60 employees regarding inclusivity guidelines for new employees with vision impairment.</w:t>
      </w:r>
    </w:p>
    <w:p w:rsidR="008E5C65" w:rsidRDefault="008E5C65" w:rsidP="008E5C65">
      <w:pPr>
        <w:pStyle w:val="BodyText"/>
      </w:pPr>
      <w:r>
        <w:t>The Department is also proud to continue to lead whole-of-government access and inclusion related programs including the Australian Disability Enterprises initiative through Government Procurement, assisting agencies to understand the capabilities of disability enterprises, and the benefits of working with them; along with running an Interagency Knowledge Sharing Forum. This initiative is led by the Department of Finance to share best practice strategies across government agencies in dealing with a broad range of equity and diversity issues, including access and inclusion employment opportunities.</w:t>
      </w:r>
    </w:p>
    <w:p w:rsidR="008E5C65" w:rsidRDefault="008E5C65" w:rsidP="008E5C65">
      <w:pPr>
        <w:pStyle w:val="Heading3"/>
      </w:pPr>
      <w:r>
        <w:t>Reconciliation Action Plan</w:t>
      </w:r>
    </w:p>
    <w:p w:rsidR="008E5C65" w:rsidRDefault="008E5C65" w:rsidP="008E5C65">
      <w:pPr>
        <w:pStyle w:val="BodyText"/>
      </w:pPr>
      <w:r>
        <w:t>The Department is committed to the sustainable employment of and positive economic outcomes for Aboriginal and Torres Strait Islander people and communities.</w:t>
      </w:r>
    </w:p>
    <w:p w:rsidR="008E5C65" w:rsidRDefault="008E5C65" w:rsidP="008E5C65">
      <w:pPr>
        <w:pStyle w:val="BodyText"/>
      </w:pPr>
      <w:r>
        <w:t>This is demonstrated by Finance’s leadership of this year’s interagency National Aborigines and Islanders Day Observance Committee (NAIDOC) celebration at One40 William that involved nine other agencies and over 300 participants.</w:t>
      </w:r>
    </w:p>
    <w:p w:rsidR="008E5C65" w:rsidRDefault="008E5C65" w:rsidP="008E5C65">
      <w:pPr>
        <w:pStyle w:val="Heading3"/>
      </w:pPr>
      <w:r>
        <w:t>Compliance with public sector standards and ethical codes</w:t>
      </w:r>
    </w:p>
    <w:p w:rsidR="008E5C65" w:rsidRDefault="008E5C65" w:rsidP="008E5C65">
      <w:pPr>
        <w:pStyle w:val="BodyText"/>
      </w:pPr>
      <w:r>
        <w:t>The Department has maintained its good record in complying with public sector standards and the public sector code of ethics, delivering its training programs via online and face-to-face sessions, tailored for new and existing employees.</w:t>
      </w:r>
    </w:p>
    <w:p w:rsidR="008E5C65" w:rsidRDefault="008E5C65" w:rsidP="008E5C65">
      <w:pPr>
        <w:pStyle w:val="BodyText"/>
      </w:pPr>
      <w:r>
        <w:t>Over the year, the Department’s People Strategy and Performance team continued to provide proactive guidance to managers and staff to ensure that recruitment processes complied with public sector standards. Outside of the public sector recruitment freeze, between 21 December 2015 and 12 May 2016, the Department successfully completed 41 recruitment processes this year from which 1,487 applications were received.</w:t>
      </w:r>
    </w:p>
    <w:p w:rsidR="008E5C65" w:rsidRDefault="008E5C65" w:rsidP="008E5C65">
      <w:pPr>
        <w:pStyle w:val="BodyText"/>
      </w:pPr>
      <w:r>
        <w:t>One breach of standard claim was lodged. This claim related to the Employment Standard and was dismissed by the Public Sector Commissioner. Three cases of non-compliance with the Code of Conduct were finalised. No formal grievance cases were completed and one case of substandard performance management was commenced.</w:t>
      </w:r>
    </w:p>
    <w:p w:rsidR="008E5C65" w:rsidRDefault="008E5C65" w:rsidP="008E5C65">
      <w:pPr>
        <w:pStyle w:val="BodyText"/>
      </w:pPr>
      <w:r>
        <w:t>Departmental policies, procedures and guidelines are maintained to satisfy legislative requirements.</w:t>
      </w:r>
    </w:p>
    <w:p w:rsidR="008E5C65" w:rsidRDefault="008E5C65" w:rsidP="008E5C65">
      <w:pPr>
        <w:pStyle w:val="BodyText"/>
      </w:pPr>
      <w:r>
        <w:t xml:space="preserve">No disclosures were received in 2015-16 under the </w:t>
      </w:r>
      <w:r w:rsidRPr="00B412A2">
        <w:rPr>
          <w:i/>
        </w:rPr>
        <w:t>Public Interest Disclosure Act 2003</w:t>
      </w:r>
      <w:r>
        <w:t>.</w:t>
      </w:r>
    </w:p>
    <w:p w:rsidR="008E5C65" w:rsidRDefault="008E5C65" w:rsidP="008E5C65">
      <w:pPr>
        <w:pStyle w:val="Heading3"/>
      </w:pPr>
      <w:r>
        <w:t>Recordkeeping plans</w:t>
      </w:r>
    </w:p>
    <w:p w:rsidR="008E5C65" w:rsidRDefault="008E5C65" w:rsidP="008E5C65">
      <w:pPr>
        <w:pStyle w:val="BodyText"/>
      </w:pPr>
      <w:r>
        <w:t xml:space="preserve">The Department of Finance’s Recordkeeping Plan ensures all employees are aware of, embrace and maintain compliance responsibilities with respect to the </w:t>
      </w:r>
      <w:r w:rsidRPr="00137161">
        <w:rPr>
          <w:i/>
        </w:rPr>
        <w:t>State Records Act 2000</w:t>
      </w:r>
      <w:r>
        <w:t>. The Information Management team developed an online learning module for new users of the document management system. This combined with the existing online Records Awareness Training course, with an 87 per cent participation rate, ensures a strong environment for good record keeping practices. This is in addition to the ongoing training provided as part of employee induction training, and support provided to staff on an as-needs basis, both regionally and in the metropolitan area.</w:t>
      </w:r>
    </w:p>
    <w:p w:rsidR="008E5C65" w:rsidRDefault="008E5C65" w:rsidP="008E5C65">
      <w:pPr>
        <w:pStyle w:val="Heading3"/>
      </w:pPr>
      <w:r>
        <w:t>Freedom of Information</w:t>
      </w:r>
    </w:p>
    <w:p w:rsidR="008E5C65" w:rsidRDefault="008E5C65" w:rsidP="008E5C65">
      <w:pPr>
        <w:pStyle w:val="BodyText"/>
      </w:pPr>
      <w:r>
        <w:t xml:space="preserve">The </w:t>
      </w:r>
      <w:r w:rsidRPr="009F3F58">
        <w:rPr>
          <w:i/>
        </w:rPr>
        <w:t>Freedom of Information Act 1992</w:t>
      </w:r>
      <w:r>
        <w:t xml:space="preserve"> (the Act) enables the public to apply for access to documents held by the Department of Finance. The Department's release of information policy aligns with the Act and its principles of administration that facilitate access to documents promptly and at the lowest reasonable cost.</w:t>
      </w:r>
    </w:p>
    <w:p w:rsidR="008E5C65" w:rsidRDefault="008E5C65" w:rsidP="008E5C65">
      <w:pPr>
        <w:pStyle w:val="BodyText"/>
      </w:pPr>
      <w:r>
        <w:t>Access applications received during 2015-16 covered a variety of topics including State tax administration and assessments, energy market reforms and policy development, building and construction projects as well as information of personal nature. In most instances, the Department permitted full or edited access to the documents concerned, except in limited circumstances where information was legitimately exempt due to its sensitive nature or the inherent adverse impact that would flow from disclosure. Complaints before the Information Commissioner against the Department’s decisions were either conciliated or had the Department’s decision confirmed.</w:t>
      </w:r>
    </w:p>
    <w:p w:rsidR="008E5C65" w:rsidRDefault="008E5C65" w:rsidP="008E5C65">
      <w:pPr>
        <w:pStyle w:val="BodyText"/>
      </w:pPr>
      <w:r>
        <w:t>The table summarises the Freedom of Information applications finalised over the year and includes applications carried over from the previous period. More detailed statistics are available in the Office of the Information Commissioner Annual Report.</w:t>
      </w:r>
    </w:p>
    <w:p w:rsidR="008E5C65" w:rsidRDefault="008E5C65" w:rsidP="008E5C65">
      <w:pPr>
        <w:pStyle w:val="BodyText"/>
      </w:pPr>
    </w:p>
    <w:p w:rsidR="008E5C65" w:rsidRDefault="008E5C65" w:rsidP="008E5C65">
      <w:pPr>
        <w:pStyle w:val="Caption"/>
        <w:keepNext/>
      </w:pPr>
      <w:r w:rsidRPr="00FE25E6">
        <w:rPr>
          <w:rFonts w:cs="Arial"/>
          <w:szCs w:val="24"/>
        </w:rPr>
        <w:fldChar w:fldCharType="begin"/>
      </w:r>
      <w:r w:rsidRPr="00FE25E6">
        <w:rPr>
          <w:rFonts w:cs="Arial"/>
          <w:szCs w:val="24"/>
        </w:rPr>
        <w:instrText xml:space="preserve"> SEQ Table \* ARABIC </w:instrText>
      </w:r>
      <w:r w:rsidRPr="00FE25E6">
        <w:rPr>
          <w:rFonts w:cs="Arial"/>
          <w:szCs w:val="24"/>
        </w:rPr>
        <w:fldChar w:fldCharType="separate"/>
      </w:r>
      <w:r w:rsidR="00D8778B">
        <w:rPr>
          <w:rFonts w:cs="Arial"/>
          <w:noProof/>
          <w:szCs w:val="24"/>
        </w:rPr>
        <w:t>91</w:t>
      </w:r>
      <w:r w:rsidRPr="00FE25E6">
        <w:rPr>
          <w:rFonts w:cs="Arial"/>
          <w:szCs w:val="24"/>
        </w:rPr>
        <w:fldChar w:fldCharType="end"/>
      </w:r>
      <w:r w:rsidRPr="00FE25E6">
        <w:t xml:space="preserve"> FOI applications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5"/>
        <w:gridCol w:w="1285"/>
        <w:gridCol w:w="1286"/>
      </w:tblGrid>
      <w:tr w:rsidR="008E5C65" w:rsidRPr="00442B03" w:rsidTr="000D7011">
        <w:tc>
          <w:tcPr>
            <w:tcW w:w="6629" w:type="dxa"/>
            <w:shd w:val="clear" w:color="auto" w:fill="auto"/>
          </w:tcPr>
          <w:p w:rsidR="008E5C65" w:rsidRPr="00442B03" w:rsidRDefault="008E5C65" w:rsidP="00A76CE7">
            <w:pPr>
              <w:pStyle w:val="BodyText"/>
              <w:spacing w:before="60" w:after="60"/>
              <w:rPr>
                <w:b/>
                <w:sz w:val="20"/>
                <w:szCs w:val="20"/>
              </w:rPr>
            </w:pPr>
            <w:r w:rsidRPr="00442B03">
              <w:rPr>
                <w:b/>
                <w:sz w:val="20"/>
                <w:szCs w:val="20"/>
              </w:rPr>
              <w:t>Applications</w:t>
            </w:r>
          </w:p>
        </w:tc>
        <w:tc>
          <w:tcPr>
            <w:tcW w:w="1306" w:type="dxa"/>
            <w:shd w:val="clear" w:color="auto" w:fill="auto"/>
          </w:tcPr>
          <w:p w:rsidR="008E5C65" w:rsidRPr="00442B03" w:rsidRDefault="008E5C65" w:rsidP="00A76CE7">
            <w:pPr>
              <w:pStyle w:val="BodyText"/>
              <w:spacing w:before="60" w:after="60"/>
              <w:jc w:val="right"/>
              <w:rPr>
                <w:b/>
                <w:sz w:val="20"/>
                <w:szCs w:val="20"/>
              </w:rPr>
            </w:pPr>
            <w:r w:rsidRPr="00442B03">
              <w:rPr>
                <w:b/>
                <w:sz w:val="20"/>
                <w:szCs w:val="20"/>
              </w:rPr>
              <w:t>201</w:t>
            </w:r>
            <w:r>
              <w:rPr>
                <w:b/>
                <w:sz w:val="20"/>
                <w:szCs w:val="20"/>
              </w:rPr>
              <w:t>5</w:t>
            </w:r>
            <w:r w:rsidRPr="00442B03">
              <w:rPr>
                <w:b/>
                <w:sz w:val="20"/>
                <w:szCs w:val="20"/>
              </w:rPr>
              <w:t>-1</w:t>
            </w:r>
            <w:r>
              <w:rPr>
                <w:b/>
                <w:sz w:val="20"/>
                <w:szCs w:val="20"/>
              </w:rPr>
              <w:t>6</w:t>
            </w:r>
          </w:p>
        </w:tc>
        <w:tc>
          <w:tcPr>
            <w:tcW w:w="1307" w:type="dxa"/>
            <w:shd w:val="clear" w:color="auto" w:fill="auto"/>
          </w:tcPr>
          <w:p w:rsidR="008E5C65" w:rsidRPr="00442B03" w:rsidRDefault="008E5C65" w:rsidP="00A76CE7">
            <w:pPr>
              <w:pStyle w:val="BodyText"/>
              <w:spacing w:before="60" w:after="60"/>
              <w:jc w:val="right"/>
              <w:rPr>
                <w:b/>
                <w:sz w:val="20"/>
                <w:szCs w:val="20"/>
              </w:rPr>
            </w:pPr>
            <w:r w:rsidRPr="00442B03">
              <w:rPr>
                <w:b/>
                <w:sz w:val="20"/>
                <w:szCs w:val="20"/>
              </w:rPr>
              <w:t>201</w:t>
            </w:r>
            <w:r>
              <w:rPr>
                <w:b/>
                <w:sz w:val="20"/>
                <w:szCs w:val="20"/>
              </w:rPr>
              <w:t>4</w:t>
            </w:r>
            <w:r w:rsidRPr="00442B03">
              <w:rPr>
                <w:b/>
                <w:sz w:val="20"/>
                <w:szCs w:val="20"/>
              </w:rPr>
              <w:t>-1</w:t>
            </w:r>
            <w:r>
              <w:rPr>
                <w:b/>
                <w:sz w:val="20"/>
                <w:szCs w:val="20"/>
              </w:rPr>
              <w:t>5</w:t>
            </w:r>
          </w:p>
        </w:tc>
      </w:tr>
      <w:tr w:rsidR="008E5C65" w:rsidRPr="00442B03" w:rsidTr="000D7011">
        <w:tc>
          <w:tcPr>
            <w:tcW w:w="6629" w:type="dxa"/>
            <w:shd w:val="clear" w:color="auto" w:fill="auto"/>
          </w:tcPr>
          <w:p w:rsidR="008E5C65" w:rsidRPr="00442B03" w:rsidRDefault="008E5C65" w:rsidP="00A76CE7">
            <w:pPr>
              <w:pStyle w:val="BodyText"/>
              <w:spacing w:before="60" w:after="60"/>
              <w:rPr>
                <w:sz w:val="20"/>
                <w:szCs w:val="20"/>
              </w:rPr>
            </w:pPr>
            <w:r w:rsidRPr="00442B03">
              <w:rPr>
                <w:sz w:val="20"/>
                <w:szCs w:val="20"/>
              </w:rPr>
              <w:t>New applications received during the year</w:t>
            </w:r>
          </w:p>
        </w:tc>
        <w:tc>
          <w:tcPr>
            <w:tcW w:w="1306" w:type="dxa"/>
            <w:shd w:val="clear" w:color="auto" w:fill="auto"/>
          </w:tcPr>
          <w:p w:rsidR="008E5C65" w:rsidRPr="00442B03" w:rsidRDefault="008E5C65" w:rsidP="00A76CE7">
            <w:pPr>
              <w:pStyle w:val="BodyText"/>
              <w:spacing w:before="60" w:after="60"/>
              <w:jc w:val="right"/>
              <w:rPr>
                <w:sz w:val="20"/>
                <w:szCs w:val="20"/>
              </w:rPr>
            </w:pPr>
            <w:r w:rsidRPr="00442B03">
              <w:rPr>
                <w:sz w:val="20"/>
                <w:szCs w:val="20"/>
              </w:rPr>
              <w:t>31</w:t>
            </w:r>
          </w:p>
        </w:tc>
        <w:tc>
          <w:tcPr>
            <w:tcW w:w="1307" w:type="dxa"/>
            <w:shd w:val="clear" w:color="auto" w:fill="auto"/>
          </w:tcPr>
          <w:p w:rsidR="008E5C65" w:rsidRPr="00442B03" w:rsidRDefault="008E5C65" w:rsidP="00A76CE7">
            <w:pPr>
              <w:pStyle w:val="BodyText"/>
              <w:spacing w:before="60" w:after="60"/>
              <w:jc w:val="right"/>
              <w:rPr>
                <w:sz w:val="20"/>
                <w:szCs w:val="20"/>
              </w:rPr>
            </w:pPr>
            <w:r w:rsidRPr="00442B03">
              <w:rPr>
                <w:sz w:val="20"/>
                <w:szCs w:val="20"/>
              </w:rPr>
              <w:t>31</w:t>
            </w:r>
          </w:p>
        </w:tc>
      </w:tr>
      <w:tr w:rsidR="008E5C65" w:rsidRPr="00442B03" w:rsidTr="000D7011">
        <w:tc>
          <w:tcPr>
            <w:tcW w:w="6629" w:type="dxa"/>
            <w:shd w:val="clear" w:color="auto" w:fill="auto"/>
          </w:tcPr>
          <w:p w:rsidR="008E5C65" w:rsidRPr="00442B03" w:rsidRDefault="008E5C65" w:rsidP="00A76CE7">
            <w:pPr>
              <w:pStyle w:val="BodyText"/>
              <w:spacing w:before="60" w:after="60"/>
              <w:rPr>
                <w:sz w:val="20"/>
                <w:szCs w:val="20"/>
              </w:rPr>
            </w:pPr>
            <w:r w:rsidRPr="00442B03">
              <w:rPr>
                <w:sz w:val="20"/>
                <w:szCs w:val="20"/>
              </w:rPr>
              <w:t>Decisions made during the year</w:t>
            </w:r>
          </w:p>
        </w:tc>
        <w:tc>
          <w:tcPr>
            <w:tcW w:w="1306" w:type="dxa"/>
            <w:shd w:val="clear" w:color="auto" w:fill="auto"/>
          </w:tcPr>
          <w:p w:rsidR="008E5C65" w:rsidRPr="00442B03" w:rsidRDefault="008E5C65" w:rsidP="00A76CE7">
            <w:pPr>
              <w:pStyle w:val="BodyText"/>
              <w:spacing w:before="60" w:after="60"/>
              <w:jc w:val="right"/>
              <w:rPr>
                <w:sz w:val="20"/>
                <w:szCs w:val="20"/>
              </w:rPr>
            </w:pPr>
            <w:r>
              <w:rPr>
                <w:sz w:val="20"/>
                <w:szCs w:val="20"/>
              </w:rPr>
              <w:t>23</w:t>
            </w:r>
          </w:p>
        </w:tc>
        <w:tc>
          <w:tcPr>
            <w:tcW w:w="1307" w:type="dxa"/>
            <w:shd w:val="clear" w:color="auto" w:fill="auto"/>
          </w:tcPr>
          <w:p w:rsidR="008E5C65" w:rsidRPr="00442B03" w:rsidRDefault="008E5C65" w:rsidP="00A76CE7">
            <w:pPr>
              <w:pStyle w:val="BodyText"/>
              <w:spacing w:before="60" w:after="60"/>
              <w:jc w:val="right"/>
              <w:rPr>
                <w:sz w:val="20"/>
                <w:szCs w:val="20"/>
              </w:rPr>
            </w:pPr>
            <w:r w:rsidRPr="00442B03">
              <w:rPr>
                <w:sz w:val="20"/>
                <w:szCs w:val="20"/>
              </w:rPr>
              <w:t>25</w:t>
            </w:r>
          </w:p>
        </w:tc>
      </w:tr>
      <w:tr w:rsidR="008E5C65" w:rsidRPr="00442B03" w:rsidTr="000D7011">
        <w:tc>
          <w:tcPr>
            <w:tcW w:w="6629" w:type="dxa"/>
            <w:shd w:val="clear" w:color="auto" w:fill="auto"/>
          </w:tcPr>
          <w:p w:rsidR="008E5C65" w:rsidRPr="00442B03" w:rsidRDefault="008E5C65" w:rsidP="00A76CE7">
            <w:pPr>
              <w:pStyle w:val="BodyText"/>
              <w:spacing w:before="60" w:after="60"/>
              <w:rPr>
                <w:sz w:val="20"/>
                <w:szCs w:val="20"/>
              </w:rPr>
            </w:pPr>
            <w:r w:rsidRPr="00442B03">
              <w:rPr>
                <w:sz w:val="20"/>
                <w:szCs w:val="20"/>
              </w:rPr>
              <w:t>Average time to process (days)</w:t>
            </w:r>
          </w:p>
        </w:tc>
        <w:tc>
          <w:tcPr>
            <w:tcW w:w="1306" w:type="dxa"/>
            <w:shd w:val="clear" w:color="auto" w:fill="auto"/>
          </w:tcPr>
          <w:p w:rsidR="008E5C65" w:rsidRPr="00442B03" w:rsidRDefault="008E5C65" w:rsidP="00A76CE7">
            <w:pPr>
              <w:pStyle w:val="BodyText"/>
              <w:spacing w:before="60" w:after="60"/>
              <w:jc w:val="right"/>
              <w:rPr>
                <w:sz w:val="20"/>
                <w:szCs w:val="20"/>
              </w:rPr>
            </w:pPr>
            <w:r>
              <w:rPr>
                <w:sz w:val="20"/>
                <w:szCs w:val="20"/>
              </w:rPr>
              <w:t>43</w:t>
            </w:r>
          </w:p>
        </w:tc>
        <w:tc>
          <w:tcPr>
            <w:tcW w:w="1307" w:type="dxa"/>
            <w:shd w:val="clear" w:color="auto" w:fill="auto"/>
          </w:tcPr>
          <w:p w:rsidR="008E5C65" w:rsidRPr="00442B03" w:rsidRDefault="008E5C65" w:rsidP="00A76CE7">
            <w:pPr>
              <w:pStyle w:val="BodyText"/>
              <w:spacing w:before="60" w:after="60"/>
              <w:jc w:val="right"/>
              <w:rPr>
                <w:sz w:val="20"/>
                <w:szCs w:val="20"/>
              </w:rPr>
            </w:pPr>
            <w:r w:rsidRPr="00442B03">
              <w:rPr>
                <w:sz w:val="20"/>
                <w:szCs w:val="20"/>
              </w:rPr>
              <w:t>48</w:t>
            </w:r>
          </w:p>
        </w:tc>
      </w:tr>
    </w:tbl>
    <w:p w:rsidR="008E5C65" w:rsidRDefault="008E5C65" w:rsidP="008E5C65">
      <w:pPr>
        <w:pStyle w:val="BodyText"/>
      </w:pPr>
    </w:p>
    <w:p w:rsidR="008E5C65" w:rsidRDefault="008E5C65" w:rsidP="008E5C65">
      <w:pPr>
        <w:pStyle w:val="Caption"/>
        <w:keepNext/>
      </w:pPr>
      <w:r w:rsidRPr="00FE25E6">
        <w:rPr>
          <w:rFonts w:cs="Arial"/>
          <w:szCs w:val="24"/>
        </w:rPr>
        <w:fldChar w:fldCharType="begin"/>
      </w:r>
      <w:r w:rsidRPr="00FE25E6">
        <w:rPr>
          <w:rFonts w:cs="Arial"/>
          <w:szCs w:val="24"/>
        </w:rPr>
        <w:instrText xml:space="preserve"> SEQ Table \* ARABIC </w:instrText>
      </w:r>
      <w:r w:rsidRPr="00FE25E6">
        <w:rPr>
          <w:rFonts w:cs="Arial"/>
          <w:szCs w:val="24"/>
        </w:rPr>
        <w:fldChar w:fldCharType="separate"/>
      </w:r>
      <w:r w:rsidR="00D8778B">
        <w:rPr>
          <w:rFonts w:cs="Arial"/>
          <w:noProof/>
          <w:szCs w:val="24"/>
        </w:rPr>
        <w:t>92</w:t>
      </w:r>
      <w:r w:rsidRPr="00FE25E6">
        <w:rPr>
          <w:rFonts w:cs="Arial"/>
          <w:szCs w:val="24"/>
        </w:rPr>
        <w:fldChar w:fldCharType="end"/>
      </w:r>
      <w:r w:rsidRPr="00FE25E6">
        <w:t xml:space="preserve"> FOI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3"/>
        <w:gridCol w:w="1286"/>
        <w:gridCol w:w="1287"/>
      </w:tblGrid>
      <w:tr w:rsidR="008E5C65" w:rsidRPr="00442B03" w:rsidTr="000D7011">
        <w:tc>
          <w:tcPr>
            <w:tcW w:w="6629" w:type="dxa"/>
            <w:shd w:val="clear" w:color="auto" w:fill="auto"/>
          </w:tcPr>
          <w:p w:rsidR="008E5C65" w:rsidRPr="00442B03" w:rsidRDefault="008E5C65" w:rsidP="00A76CE7">
            <w:pPr>
              <w:pStyle w:val="BodyText"/>
              <w:spacing w:before="60" w:after="60"/>
              <w:rPr>
                <w:b/>
                <w:sz w:val="20"/>
                <w:szCs w:val="20"/>
              </w:rPr>
            </w:pPr>
            <w:r w:rsidRPr="00442B03">
              <w:rPr>
                <w:b/>
                <w:sz w:val="20"/>
                <w:szCs w:val="20"/>
              </w:rPr>
              <w:t>Outcomes</w:t>
            </w:r>
          </w:p>
        </w:tc>
        <w:tc>
          <w:tcPr>
            <w:tcW w:w="1306" w:type="dxa"/>
            <w:shd w:val="clear" w:color="auto" w:fill="auto"/>
          </w:tcPr>
          <w:p w:rsidR="008E5C65" w:rsidRPr="00442B03" w:rsidRDefault="008E5C65" w:rsidP="00A76CE7">
            <w:pPr>
              <w:pStyle w:val="BodyText"/>
              <w:spacing w:before="60" w:after="60"/>
              <w:jc w:val="right"/>
              <w:rPr>
                <w:b/>
                <w:sz w:val="20"/>
                <w:szCs w:val="20"/>
              </w:rPr>
            </w:pPr>
            <w:r w:rsidRPr="00442B03">
              <w:rPr>
                <w:b/>
                <w:sz w:val="20"/>
                <w:szCs w:val="20"/>
              </w:rPr>
              <w:t>201</w:t>
            </w:r>
            <w:r>
              <w:rPr>
                <w:b/>
                <w:sz w:val="20"/>
                <w:szCs w:val="20"/>
              </w:rPr>
              <w:t>5</w:t>
            </w:r>
            <w:r w:rsidRPr="00442B03">
              <w:rPr>
                <w:b/>
                <w:sz w:val="20"/>
                <w:szCs w:val="20"/>
              </w:rPr>
              <w:t>-1</w:t>
            </w:r>
            <w:r>
              <w:rPr>
                <w:b/>
                <w:sz w:val="20"/>
                <w:szCs w:val="20"/>
              </w:rPr>
              <w:t>6</w:t>
            </w:r>
          </w:p>
        </w:tc>
        <w:tc>
          <w:tcPr>
            <w:tcW w:w="1307" w:type="dxa"/>
            <w:shd w:val="clear" w:color="auto" w:fill="auto"/>
          </w:tcPr>
          <w:p w:rsidR="008E5C65" w:rsidRPr="00442B03" w:rsidRDefault="008E5C65" w:rsidP="00A76CE7">
            <w:pPr>
              <w:pStyle w:val="BodyText"/>
              <w:spacing w:before="60" w:after="60"/>
              <w:jc w:val="right"/>
              <w:rPr>
                <w:b/>
                <w:sz w:val="20"/>
                <w:szCs w:val="20"/>
              </w:rPr>
            </w:pPr>
            <w:r w:rsidRPr="00442B03">
              <w:rPr>
                <w:b/>
                <w:sz w:val="20"/>
                <w:szCs w:val="20"/>
              </w:rPr>
              <w:t>201</w:t>
            </w:r>
            <w:r>
              <w:rPr>
                <w:b/>
                <w:sz w:val="20"/>
                <w:szCs w:val="20"/>
              </w:rPr>
              <w:t>4</w:t>
            </w:r>
            <w:r w:rsidRPr="00442B03">
              <w:rPr>
                <w:b/>
                <w:sz w:val="20"/>
                <w:szCs w:val="20"/>
              </w:rPr>
              <w:t>-1</w:t>
            </w:r>
            <w:r>
              <w:rPr>
                <w:b/>
                <w:sz w:val="20"/>
                <w:szCs w:val="20"/>
              </w:rPr>
              <w:t>5</w:t>
            </w:r>
          </w:p>
        </w:tc>
      </w:tr>
      <w:tr w:rsidR="008E5C65" w:rsidRPr="00442B03" w:rsidTr="000D7011">
        <w:tc>
          <w:tcPr>
            <w:tcW w:w="6629" w:type="dxa"/>
            <w:shd w:val="clear" w:color="auto" w:fill="auto"/>
          </w:tcPr>
          <w:p w:rsidR="008E5C65" w:rsidRPr="00442B03" w:rsidRDefault="008E5C65" w:rsidP="00A76CE7">
            <w:pPr>
              <w:pStyle w:val="BodyText"/>
              <w:spacing w:before="60" w:after="60"/>
              <w:rPr>
                <w:sz w:val="20"/>
                <w:szCs w:val="20"/>
              </w:rPr>
            </w:pPr>
            <w:r w:rsidRPr="00442B03">
              <w:rPr>
                <w:sz w:val="20"/>
                <w:szCs w:val="20"/>
              </w:rPr>
              <w:t>Full access</w:t>
            </w:r>
          </w:p>
        </w:tc>
        <w:tc>
          <w:tcPr>
            <w:tcW w:w="1306" w:type="dxa"/>
            <w:shd w:val="clear" w:color="auto" w:fill="auto"/>
          </w:tcPr>
          <w:p w:rsidR="008E5C65" w:rsidRPr="00442B03" w:rsidRDefault="008E5C65" w:rsidP="00A76CE7">
            <w:pPr>
              <w:pStyle w:val="BodyText"/>
              <w:spacing w:before="60" w:after="60"/>
              <w:jc w:val="right"/>
              <w:rPr>
                <w:sz w:val="20"/>
                <w:szCs w:val="20"/>
              </w:rPr>
            </w:pPr>
            <w:r>
              <w:rPr>
                <w:sz w:val="20"/>
                <w:szCs w:val="20"/>
              </w:rPr>
              <w:t>15</w:t>
            </w:r>
          </w:p>
        </w:tc>
        <w:tc>
          <w:tcPr>
            <w:tcW w:w="1307" w:type="dxa"/>
            <w:shd w:val="clear" w:color="auto" w:fill="auto"/>
          </w:tcPr>
          <w:p w:rsidR="008E5C65" w:rsidRPr="00442B03" w:rsidRDefault="008E5C65" w:rsidP="00A76CE7">
            <w:pPr>
              <w:pStyle w:val="BodyText"/>
              <w:spacing w:before="60" w:after="60"/>
              <w:jc w:val="right"/>
              <w:rPr>
                <w:sz w:val="20"/>
                <w:szCs w:val="20"/>
              </w:rPr>
            </w:pPr>
            <w:r w:rsidRPr="00442B03">
              <w:rPr>
                <w:sz w:val="20"/>
                <w:szCs w:val="20"/>
              </w:rPr>
              <w:t>6</w:t>
            </w:r>
          </w:p>
        </w:tc>
      </w:tr>
      <w:tr w:rsidR="008E5C65" w:rsidRPr="00442B03" w:rsidTr="000D7011">
        <w:tc>
          <w:tcPr>
            <w:tcW w:w="6629" w:type="dxa"/>
            <w:shd w:val="clear" w:color="auto" w:fill="auto"/>
          </w:tcPr>
          <w:p w:rsidR="008E5C65" w:rsidRPr="00442B03" w:rsidRDefault="008E5C65" w:rsidP="00A76CE7">
            <w:pPr>
              <w:pStyle w:val="BodyText"/>
              <w:spacing w:before="60" w:after="60"/>
              <w:rPr>
                <w:sz w:val="20"/>
                <w:szCs w:val="20"/>
              </w:rPr>
            </w:pPr>
            <w:r w:rsidRPr="00442B03">
              <w:rPr>
                <w:sz w:val="20"/>
                <w:szCs w:val="20"/>
              </w:rPr>
              <w:t>Edited access</w:t>
            </w:r>
          </w:p>
        </w:tc>
        <w:tc>
          <w:tcPr>
            <w:tcW w:w="1306" w:type="dxa"/>
            <w:shd w:val="clear" w:color="auto" w:fill="auto"/>
          </w:tcPr>
          <w:p w:rsidR="008E5C65" w:rsidRPr="00442B03" w:rsidRDefault="008E5C65" w:rsidP="00A76CE7">
            <w:pPr>
              <w:pStyle w:val="BodyText"/>
              <w:spacing w:before="60" w:after="60"/>
              <w:jc w:val="right"/>
              <w:rPr>
                <w:sz w:val="20"/>
                <w:szCs w:val="20"/>
              </w:rPr>
            </w:pPr>
            <w:r>
              <w:rPr>
                <w:sz w:val="20"/>
                <w:szCs w:val="20"/>
              </w:rPr>
              <w:t>3</w:t>
            </w:r>
          </w:p>
        </w:tc>
        <w:tc>
          <w:tcPr>
            <w:tcW w:w="1307" w:type="dxa"/>
            <w:shd w:val="clear" w:color="auto" w:fill="auto"/>
          </w:tcPr>
          <w:p w:rsidR="008E5C65" w:rsidRPr="00442B03" w:rsidRDefault="008E5C65" w:rsidP="00A76CE7">
            <w:pPr>
              <w:pStyle w:val="BodyText"/>
              <w:spacing w:before="60" w:after="60"/>
              <w:jc w:val="right"/>
              <w:rPr>
                <w:sz w:val="20"/>
                <w:szCs w:val="20"/>
              </w:rPr>
            </w:pPr>
            <w:r w:rsidRPr="00442B03">
              <w:rPr>
                <w:sz w:val="20"/>
                <w:szCs w:val="20"/>
              </w:rPr>
              <w:t>15</w:t>
            </w:r>
          </w:p>
        </w:tc>
      </w:tr>
      <w:tr w:rsidR="008E5C65" w:rsidRPr="00442B03" w:rsidTr="000D7011">
        <w:tc>
          <w:tcPr>
            <w:tcW w:w="6629" w:type="dxa"/>
            <w:shd w:val="clear" w:color="auto" w:fill="auto"/>
          </w:tcPr>
          <w:p w:rsidR="008E5C65" w:rsidRPr="00442B03" w:rsidRDefault="008E5C65" w:rsidP="00A76CE7">
            <w:pPr>
              <w:pStyle w:val="BodyText"/>
              <w:spacing w:before="60" w:after="60"/>
              <w:rPr>
                <w:sz w:val="20"/>
                <w:szCs w:val="20"/>
              </w:rPr>
            </w:pPr>
            <w:r w:rsidRPr="00442B03">
              <w:rPr>
                <w:sz w:val="20"/>
                <w:szCs w:val="20"/>
              </w:rPr>
              <w:t>Deferred access</w:t>
            </w:r>
          </w:p>
        </w:tc>
        <w:tc>
          <w:tcPr>
            <w:tcW w:w="1306" w:type="dxa"/>
            <w:shd w:val="clear" w:color="auto" w:fill="auto"/>
          </w:tcPr>
          <w:p w:rsidR="008E5C65" w:rsidRPr="00442B03" w:rsidRDefault="008E5C65" w:rsidP="00A76CE7">
            <w:pPr>
              <w:pStyle w:val="BodyText"/>
              <w:spacing w:before="60" w:after="60"/>
              <w:jc w:val="right"/>
              <w:rPr>
                <w:sz w:val="20"/>
                <w:szCs w:val="20"/>
              </w:rPr>
            </w:pPr>
            <w:r w:rsidRPr="00442B03">
              <w:rPr>
                <w:sz w:val="20"/>
                <w:szCs w:val="20"/>
              </w:rPr>
              <w:t>0</w:t>
            </w:r>
          </w:p>
        </w:tc>
        <w:tc>
          <w:tcPr>
            <w:tcW w:w="1307" w:type="dxa"/>
            <w:shd w:val="clear" w:color="auto" w:fill="auto"/>
          </w:tcPr>
          <w:p w:rsidR="008E5C65" w:rsidRPr="00442B03" w:rsidRDefault="008E5C65" w:rsidP="00A76CE7">
            <w:pPr>
              <w:pStyle w:val="BodyText"/>
              <w:spacing w:before="60" w:after="60"/>
              <w:jc w:val="right"/>
              <w:rPr>
                <w:sz w:val="20"/>
                <w:szCs w:val="20"/>
              </w:rPr>
            </w:pPr>
            <w:r w:rsidRPr="00442B03">
              <w:rPr>
                <w:sz w:val="20"/>
                <w:szCs w:val="20"/>
              </w:rPr>
              <w:t>0</w:t>
            </w:r>
          </w:p>
        </w:tc>
      </w:tr>
      <w:tr w:rsidR="008E5C65" w:rsidRPr="00442B03" w:rsidTr="000D7011">
        <w:tc>
          <w:tcPr>
            <w:tcW w:w="6629" w:type="dxa"/>
            <w:shd w:val="clear" w:color="auto" w:fill="auto"/>
          </w:tcPr>
          <w:p w:rsidR="008E5C65" w:rsidRPr="00442B03" w:rsidRDefault="008E5C65" w:rsidP="00A76CE7">
            <w:pPr>
              <w:pStyle w:val="BodyText"/>
              <w:spacing w:before="60" w:after="60"/>
              <w:rPr>
                <w:sz w:val="20"/>
                <w:szCs w:val="20"/>
              </w:rPr>
            </w:pPr>
            <w:r w:rsidRPr="00442B03">
              <w:rPr>
                <w:sz w:val="20"/>
                <w:szCs w:val="20"/>
              </w:rPr>
              <w:t>Section 26 access</w:t>
            </w:r>
          </w:p>
        </w:tc>
        <w:tc>
          <w:tcPr>
            <w:tcW w:w="1306" w:type="dxa"/>
            <w:shd w:val="clear" w:color="auto" w:fill="auto"/>
          </w:tcPr>
          <w:p w:rsidR="008E5C65" w:rsidRPr="00442B03" w:rsidRDefault="008E5C65" w:rsidP="00A76CE7">
            <w:pPr>
              <w:pStyle w:val="BodyText"/>
              <w:spacing w:before="60" w:after="60"/>
              <w:jc w:val="right"/>
              <w:rPr>
                <w:sz w:val="20"/>
                <w:szCs w:val="20"/>
              </w:rPr>
            </w:pPr>
            <w:r>
              <w:rPr>
                <w:sz w:val="20"/>
                <w:szCs w:val="20"/>
              </w:rPr>
              <w:t>1</w:t>
            </w:r>
          </w:p>
        </w:tc>
        <w:tc>
          <w:tcPr>
            <w:tcW w:w="1307" w:type="dxa"/>
            <w:shd w:val="clear" w:color="auto" w:fill="auto"/>
          </w:tcPr>
          <w:p w:rsidR="008E5C65" w:rsidRPr="00442B03" w:rsidRDefault="008E5C65" w:rsidP="00A76CE7">
            <w:pPr>
              <w:pStyle w:val="BodyText"/>
              <w:spacing w:before="60" w:after="60"/>
              <w:jc w:val="right"/>
              <w:rPr>
                <w:sz w:val="20"/>
                <w:szCs w:val="20"/>
              </w:rPr>
            </w:pPr>
            <w:r w:rsidRPr="00442B03">
              <w:rPr>
                <w:sz w:val="20"/>
                <w:szCs w:val="20"/>
              </w:rPr>
              <w:t>2</w:t>
            </w:r>
          </w:p>
        </w:tc>
      </w:tr>
      <w:tr w:rsidR="008E5C65" w:rsidRPr="00442B03" w:rsidTr="000D7011">
        <w:tc>
          <w:tcPr>
            <w:tcW w:w="6629" w:type="dxa"/>
            <w:shd w:val="clear" w:color="auto" w:fill="auto"/>
          </w:tcPr>
          <w:p w:rsidR="008E5C65" w:rsidRPr="00442B03" w:rsidRDefault="008E5C65" w:rsidP="00A76CE7">
            <w:pPr>
              <w:pStyle w:val="BodyText"/>
              <w:spacing w:before="60" w:after="60"/>
              <w:rPr>
                <w:sz w:val="20"/>
                <w:szCs w:val="20"/>
              </w:rPr>
            </w:pPr>
            <w:r w:rsidRPr="00442B03">
              <w:rPr>
                <w:sz w:val="20"/>
                <w:szCs w:val="20"/>
              </w:rPr>
              <w:t>Section 28 access</w:t>
            </w:r>
          </w:p>
        </w:tc>
        <w:tc>
          <w:tcPr>
            <w:tcW w:w="1306" w:type="dxa"/>
            <w:shd w:val="clear" w:color="auto" w:fill="auto"/>
          </w:tcPr>
          <w:p w:rsidR="008E5C65" w:rsidRPr="00442B03" w:rsidRDefault="008E5C65" w:rsidP="00A76CE7">
            <w:pPr>
              <w:pStyle w:val="BodyText"/>
              <w:spacing w:before="60" w:after="60"/>
              <w:jc w:val="right"/>
              <w:rPr>
                <w:sz w:val="20"/>
                <w:szCs w:val="20"/>
              </w:rPr>
            </w:pPr>
            <w:r w:rsidRPr="00442B03">
              <w:rPr>
                <w:sz w:val="20"/>
                <w:szCs w:val="20"/>
              </w:rPr>
              <w:t>0</w:t>
            </w:r>
          </w:p>
        </w:tc>
        <w:tc>
          <w:tcPr>
            <w:tcW w:w="1307" w:type="dxa"/>
            <w:shd w:val="clear" w:color="auto" w:fill="auto"/>
          </w:tcPr>
          <w:p w:rsidR="008E5C65" w:rsidRPr="00442B03" w:rsidRDefault="008E5C65" w:rsidP="00A76CE7">
            <w:pPr>
              <w:pStyle w:val="BodyText"/>
              <w:spacing w:before="60" w:after="60"/>
              <w:jc w:val="right"/>
              <w:rPr>
                <w:sz w:val="20"/>
                <w:szCs w:val="20"/>
              </w:rPr>
            </w:pPr>
            <w:r w:rsidRPr="00442B03">
              <w:rPr>
                <w:sz w:val="20"/>
                <w:szCs w:val="20"/>
              </w:rPr>
              <w:t>0</w:t>
            </w:r>
          </w:p>
        </w:tc>
      </w:tr>
      <w:tr w:rsidR="008E5C65" w:rsidRPr="00442B03" w:rsidTr="000D7011">
        <w:tc>
          <w:tcPr>
            <w:tcW w:w="6629" w:type="dxa"/>
            <w:shd w:val="clear" w:color="auto" w:fill="auto"/>
          </w:tcPr>
          <w:p w:rsidR="008E5C65" w:rsidRPr="00442B03" w:rsidRDefault="008E5C65" w:rsidP="00A76CE7">
            <w:pPr>
              <w:pStyle w:val="BodyText"/>
              <w:spacing w:before="60" w:after="60"/>
              <w:rPr>
                <w:sz w:val="20"/>
                <w:szCs w:val="20"/>
              </w:rPr>
            </w:pPr>
            <w:r w:rsidRPr="00442B03">
              <w:rPr>
                <w:sz w:val="20"/>
                <w:szCs w:val="20"/>
              </w:rPr>
              <w:t>Access refused</w:t>
            </w:r>
          </w:p>
        </w:tc>
        <w:tc>
          <w:tcPr>
            <w:tcW w:w="1306" w:type="dxa"/>
            <w:shd w:val="clear" w:color="auto" w:fill="auto"/>
          </w:tcPr>
          <w:p w:rsidR="008E5C65" w:rsidRPr="00442B03" w:rsidRDefault="008E5C65" w:rsidP="00A76CE7">
            <w:pPr>
              <w:pStyle w:val="BodyText"/>
              <w:spacing w:before="60" w:after="60"/>
              <w:jc w:val="right"/>
              <w:rPr>
                <w:sz w:val="20"/>
                <w:szCs w:val="20"/>
              </w:rPr>
            </w:pPr>
            <w:r>
              <w:rPr>
                <w:sz w:val="20"/>
                <w:szCs w:val="20"/>
              </w:rPr>
              <w:t>4</w:t>
            </w:r>
          </w:p>
        </w:tc>
        <w:tc>
          <w:tcPr>
            <w:tcW w:w="1307" w:type="dxa"/>
            <w:shd w:val="clear" w:color="auto" w:fill="auto"/>
          </w:tcPr>
          <w:p w:rsidR="008E5C65" w:rsidRPr="00442B03" w:rsidRDefault="008E5C65" w:rsidP="00A76CE7">
            <w:pPr>
              <w:pStyle w:val="BodyText"/>
              <w:spacing w:before="60" w:after="60"/>
              <w:jc w:val="right"/>
              <w:rPr>
                <w:sz w:val="20"/>
                <w:szCs w:val="20"/>
              </w:rPr>
            </w:pPr>
            <w:r w:rsidRPr="00442B03">
              <w:rPr>
                <w:sz w:val="20"/>
                <w:szCs w:val="20"/>
              </w:rPr>
              <w:t>2</w:t>
            </w:r>
          </w:p>
        </w:tc>
      </w:tr>
      <w:tr w:rsidR="008E5C65" w:rsidRPr="00442B03" w:rsidTr="000D7011">
        <w:tc>
          <w:tcPr>
            <w:tcW w:w="6629" w:type="dxa"/>
            <w:shd w:val="clear" w:color="auto" w:fill="auto"/>
          </w:tcPr>
          <w:p w:rsidR="008E5C65" w:rsidRPr="00442B03" w:rsidRDefault="008E5C65" w:rsidP="00A76CE7">
            <w:pPr>
              <w:pStyle w:val="BodyText"/>
              <w:spacing w:before="60" w:after="60"/>
              <w:rPr>
                <w:b/>
                <w:sz w:val="20"/>
                <w:szCs w:val="20"/>
              </w:rPr>
            </w:pPr>
            <w:r w:rsidRPr="00442B03">
              <w:rPr>
                <w:b/>
                <w:sz w:val="20"/>
                <w:szCs w:val="20"/>
              </w:rPr>
              <w:t>Total decisions</w:t>
            </w:r>
          </w:p>
        </w:tc>
        <w:tc>
          <w:tcPr>
            <w:tcW w:w="1306" w:type="dxa"/>
            <w:shd w:val="clear" w:color="auto" w:fill="auto"/>
          </w:tcPr>
          <w:p w:rsidR="008E5C65" w:rsidRPr="00F420F3" w:rsidRDefault="008E5C65" w:rsidP="00A76CE7">
            <w:pPr>
              <w:pStyle w:val="BodyText"/>
              <w:spacing w:before="60" w:after="60"/>
              <w:jc w:val="right"/>
              <w:rPr>
                <w:b/>
                <w:sz w:val="20"/>
                <w:szCs w:val="20"/>
              </w:rPr>
            </w:pPr>
            <w:r w:rsidRPr="00F420F3">
              <w:rPr>
                <w:b/>
                <w:sz w:val="20"/>
                <w:szCs w:val="20"/>
              </w:rPr>
              <w:t>23</w:t>
            </w:r>
          </w:p>
        </w:tc>
        <w:tc>
          <w:tcPr>
            <w:tcW w:w="1307" w:type="dxa"/>
            <w:shd w:val="clear" w:color="auto" w:fill="auto"/>
          </w:tcPr>
          <w:p w:rsidR="008E5C65" w:rsidRPr="00F420F3" w:rsidRDefault="008E5C65" w:rsidP="00A76CE7">
            <w:pPr>
              <w:pStyle w:val="BodyText"/>
              <w:spacing w:before="60" w:after="60"/>
              <w:jc w:val="right"/>
              <w:rPr>
                <w:b/>
                <w:sz w:val="20"/>
                <w:szCs w:val="20"/>
              </w:rPr>
            </w:pPr>
            <w:r w:rsidRPr="00F420F3">
              <w:rPr>
                <w:b/>
                <w:sz w:val="20"/>
                <w:szCs w:val="20"/>
              </w:rPr>
              <w:t>25</w:t>
            </w:r>
          </w:p>
        </w:tc>
      </w:tr>
      <w:tr w:rsidR="008E5C65" w:rsidRPr="00442B03" w:rsidTr="000D7011">
        <w:tc>
          <w:tcPr>
            <w:tcW w:w="6629" w:type="dxa"/>
            <w:shd w:val="clear" w:color="auto" w:fill="auto"/>
          </w:tcPr>
          <w:p w:rsidR="008E5C65" w:rsidRPr="00442B03" w:rsidRDefault="008E5C65" w:rsidP="00A76CE7">
            <w:pPr>
              <w:pStyle w:val="BodyText"/>
              <w:spacing w:before="60" w:after="60"/>
              <w:rPr>
                <w:sz w:val="20"/>
                <w:szCs w:val="20"/>
              </w:rPr>
            </w:pPr>
            <w:r w:rsidRPr="00442B03">
              <w:rPr>
                <w:sz w:val="20"/>
                <w:szCs w:val="20"/>
              </w:rPr>
              <w:t>Transferred to other agencies</w:t>
            </w:r>
          </w:p>
        </w:tc>
        <w:tc>
          <w:tcPr>
            <w:tcW w:w="1306" w:type="dxa"/>
            <w:shd w:val="clear" w:color="auto" w:fill="auto"/>
          </w:tcPr>
          <w:p w:rsidR="008E5C65" w:rsidRPr="00442B03" w:rsidRDefault="008E5C65" w:rsidP="00A76CE7">
            <w:pPr>
              <w:pStyle w:val="BodyText"/>
              <w:spacing w:before="60" w:after="60"/>
              <w:jc w:val="right"/>
              <w:rPr>
                <w:sz w:val="20"/>
                <w:szCs w:val="20"/>
              </w:rPr>
            </w:pPr>
            <w:r>
              <w:rPr>
                <w:sz w:val="20"/>
                <w:szCs w:val="20"/>
              </w:rPr>
              <w:t>2</w:t>
            </w:r>
          </w:p>
        </w:tc>
        <w:tc>
          <w:tcPr>
            <w:tcW w:w="1307" w:type="dxa"/>
            <w:shd w:val="clear" w:color="auto" w:fill="auto"/>
          </w:tcPr>
          <w:p w:rsidR="008E5C65" w:rsidRPr="00442B03" w:rsidRDefault="008E5C65" w:rsidP="00A76CE7">
            <w:pPr>
              <w:pStyle w:val="BodyText"/>
              <w:spacing w:before="60" w:after="60"/>
              <w:jc w:val="right"/>
              <w:rPr>
                <w:sz w:val="20"/>
                <w:szCs w:val="20"/>
              </w:rPr>
            </w:pPr>
            <w:r w:rsidRPr="00442B03">
              <w:rPr>
                <w:sz w:val="20"/>
                <w:szCs w:val="20"/>
              </w:rPr>
              <w:t>2</w:t>
            </w:r>
          </w:p>
        </w:tc>
      </w:tr>
      <w:tr w:rsidR="008E5C65" w:rsidRPr="00442B03" w:rsidTr="000D7011">
        <w:tc>
          <w:tcPr>
            <w:tcW w:w="6629" w:type="dxa"/>
            <w:shd w:val="clear" w:color="auto" w:fill="auto"/>
          </w:tcPr>
          <w:p w:rsidR="008E5C65" w:rsidRPr="00442B03" w:rsidRDefault="008E5C65" w:rsidP="00A76CE7">
            <w:pPr>
              <w:pStyle w:val="BodyText"/>
              <w:spacing w:before="60" w:after="60"/>
              <w:rPr>
                <w:sz w:val="20"/>
                <w:szCs w:val="20"/>
              </w:rPr>
            </w:pPr>
            <w:r w:rsidRPr="00442B03">
              <w:rPr>
                <w:sz w:val="20"/>
                <w:szCs w:val="20"/>
              </w:rPr>
              <w:t>Withdrawn</w:t>
            </w:r>
          </w:p>
        </w:tc>
        <w:tc>
          <w:tcPr>
            <w:tcW w:w="1306" w:type="dxa"/>
            <w:shd w:val="clear" w:color="auto" w:fill="auto"/>
          </w:tcPr>
          <w:p w:rsidR="008E5C65" w:rsidRPr="00442B03" w:rsidRDefault="008E5C65" w:rsidP="00A76CE7">
            <w:pPr>
              <w:pStyle w:val="BodyText"/>
              <w:spacing w:before="60" w:after="60"/>
              <w:jc w:val="right"/>
              <w:rPr>
                <w:sz w:val="20"/>
                <w:szCs w:val="20"/>
              </w:rPr>
            </w:pPr>
            <w:r>
              <w:rPr>
                <w:sz w:val="20"/>
                <w:szCs w:val="20"/>
              </w:rPr>
              <w:t>7</w:t>
            </w:r>
          </w:p>
        </w:tc>
        <w:tc>
          <w:tcPr>
            <w:tcW w:w="1307" w:type="dxa"/>
            <w:shd w:val="clear" w:color="auto" w:fill="auto"/>
          </w:tcPr>
          <w:p w:rsidR="008E5C65" w:rsidRPr="00442B03" w:rsidRDefault="008E5C65" w:rsidP="00A76CE7">
            <w:pPr>
              <w:pStyle w:val="BodyText"/>
              <w:spacing w:before="60" w:after="60"/>
              <w:jc w:val="right"/>
              <w:rPr>
                <w:sz w:val="20"/>
                <w:szCs w:val="20"/>
              </w:rPr>
            </w:pPr>
            <w:r w:rsidRPr="00442B03">
              <w:rPr>
                <w:sz w:val="20"/>
                <w:szCs w:val="20"/>
              </w:rPr>
              <w:t>4</w:t>
            </w:r>
          </w:p>
        </w:tc>
      </w:tr>
      <w:tr w:rsidR="008E5C65" w:rsidRPr="00442B03" w:rsidTr="000D7011">
        <w:tc>
          <w:tcPr>
            <w:tcW w:w="6629" w:type="dxa"/>
            <w:shd w:val="clear" w:color="auto" w:fill="auto"/>
          </w:tcPr>
          <w:p w:rsidR="008E5C65" w:rsidRPr="00442B03" w:rsidRDefault="008E5C65" w:rsidP="00A76CE7">
            <w:pPr>
              <w:pStyle w:val="BodyText"/>
              <w:spacing w:before="60" w:after="60"/>
              <w:rPr>
                <w:b/>
                <w:sz w:val="20"/>
                <w:szCs w:val="20"/>
              </w:rPr>
            </w:pPr>
            <w:r w:rsidRPr="00442B03">
              <w:rPr>
                <w:b/>
                <w:sz w:val="20"/>
                <w:szCs w:val="20"/>
              </w:rPr>
              <w:t>Total applications finalised</w:t>
            </w:r>
          </w:p>
        </w:tc>
        <w:tc>
          <w:tcPr>
            <w:tcW w:w="1306" w:type="dxa"/>
            <w:shd w:val="clear" w:color="auto" w:fill="auto"/>
          </w:tcPr>
          <w:p w:rsidR="008E5C65" w:rsidRPr="00F420F3" w:rsidRDefault="008E5C65" w:rsidP="00A76CE7">
            <w:pPr>
              <w:pStyle w:val="BodyText"/>
              <w:spacing w:before="60" w:after="60"/>
              <w:jc w:val="right"/>
              <w:rPr>
                <w:b/>
                <w:sz w:val="20"/>
                <w:szCs w:val="20"/>
              </w:rPr>
            </w:pPr>
            <w:r w:rsidRPr="00F420F3">
              <w:rPr>
                <w:b/>
                <w:sz w:val="20"/>
                <w:szCs w:val="20"/>
              </w:rPr>
              <w:t>32</w:t>
            </w:r>
          </w:p>
        </w:tc>
        <w:tc>
          <w:tcPr>
            <w:tcW w:w="1307" w:type="dxa"/>
            <w:shd w:val="clear" w:color="auto" w:fill="auto"/>
          </w:tcPr>
          <w:p w:rsidR="008E5C65" w:rsidRPr="00F420F3" w:rsidRDefault="008E5C65" w:rsidP="00A76CE7">
            <w:pPr>
              <w:pStyle w:val="BodyText"/>
              <w:spacing w:before="60" w:after="60"/>
              <w:jc w:val="right"/>
              <w:rPr>
                <w:b/>
                <w:sz w:val="20"/>
                <w:szCs w:val="20"/>
              </w:rPr>
            </w:pPr>
            <w:r w:rsidRPr="00F420F3">
              <w:rPr>
                <w:b/>
                <w:sz w:val="20"/>
                <w:szCs w:val="20"/>
              </w:rPr>
              <w:t>31</w:t>
            </w:r>
          </w:p>
        </w:tc>
      </w:tr>
    </w:tbl>
    <w:p w:rsidR="008E5C65" w:rsidRDefault="008E5C65" w:rsidP="008E5C65">
      <w:pPr>
        <w:pStyle w:val="BodyText"/>
      </w:pPr>
    </w:p>
    <w:p w:rsidR="008E5C65" w:rsidRDefault="00196F4C" w:rsidP="008E5C65">
      <w:pPr>
        <w:pStyle w:val="Caption"/>
        <w:keepNext/>
      </w:pPr>
      <w:fldSimple w:instr=" SEQ Table \* ARABIC ">
        <w:r w:rsidR="00D8778B">
          <w:rPr>
            <w:noProof/>
          </w:rPr>
          <w:t>93</w:t>
        </w:r>
      </w:fldSimple>
      <w:r w:rsidR="008E5C65" w:rsidRPr="00FE25E6">
        <w:t xml:space="preserve"> FOI reviews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3"/>
        <w:gridCol w:w="1286"/>
        <w:gridCol w:w="1287"/>
      </w:tblGrid>
      <w:tr w:rsidR="008E5C65" w:rsidRPr="00442B03" w:rsidTr="000D7011">
        <w:tc>
          <w:tcPr>
            <w:tcW w:w="6629" w:type="dxa"/>
            <w:shd w:val="clear" w:color="auto" w:fill="auto"/>
          </w:tcPr>
          <w:p w:rsidR="008E5C65" w:rsidRPr="00442B03" w:rsidRDefault="008E5C65" w:rsidP="00A76CE7">
            <w:pPr>
              <w:pStyle w:val="BodyText"/>
              <w:spacing w:before="60" w:after="60"/>
              <w:rPr>
                <w:b/>
                <w:sz w:val="20"/>
                <w:szCs w:val="20"/>
              </w:rPr>
            </w:pPr>
            <w:r w:rsidRPr="00442B03">
              <w:rPr>
                <w:b/>
                <w:sz w:val="20"/>
                <w:szCs w:val="20"/>
              </w:rPr>
              <w:t>Reviews</w:t>
            </w:r>
          </w:p>
        </w:tc>
        <w:tc>
          <w:tcPr>
            <w:tcW w:w="1306" w:type="dxa"/>
            <w:shd w:val="clear" w:color="auto" w:fill="auto"/>
          </w:tcPr>
          <w:p w:rsidR="008E5C65" w:rsidRPr="00442B03" w:rsidRDefault="008E5C65" w:rsidP="00A76CE7">
            <w:pPr>
              <w:pStyle w:val="BodyText"/>
              <w:spacing w:before="60" w:after="60"/>
              <w:jc w:val="right"/>
              <w:rPr>
                <w:b/>
                <w:sz w:val="20"/>
                <w:szCs w:val="20"/>
              </w:rPr>
            </w:pPr>
            <w:r w:rsidRPr="00442B03">
              <w:rPr>
                <w:b/>
                <w:sz w:val="20"/>
                <w:szCs w:val="20"/>
              </w:rPr>
              <w:t>201</w:t>
            </w:r>
            <w:r>
              <w:rPr>
                <w:b/>
                <w:sz w:val="20"/>
                <w:szCs w:val="20"/>
              </w:rPr>
              <w:t>5</w:t>
            </w:r>
            <w:r w:rsidRPr="00442B03">
              <w:rPr>
                <w:b/>
                <w:sz w:val="20"/>
                <w:szCs w:val="20"/>
              </w:rPr>
              <w:t>-1</w:t>
            </w:r>
            <w:r>
              <w:rPr>
                <w:b/>
                <w:sz w:val="20"/>
                <w:szCs w:val="20"/>
              </w:rPr>
              <w:t>6</w:t>
            </w:r>
          </w:p>
        </w:tc>
        <w:tc>
          <w:tcPr>
            <w:tcW w:w="1307" w:type="dxa"/>
            <w:shd w:val="clear" w:color="auto" w:fill="auto"/>
          </w:tcPr>
          <w:p w:rsidR="008E5C65" w:rsidRPr="00442B03" w:rsidRDefault="008E5C65" w:rsidP="00A76CE7">
            <w:pPr>
              <w:pStyle w:val="BodyText"/>
              <w:spacing w:before="60" w:after="60"/>
              <w:jc w:val="right"/>
              <w:rPr>
                <w:b/>
                <w:sz w:val="20"/>
                <w:szCs w:val="20"/>
              </w:rPr>
            </w:pPr>
            <w:r w:rsidRPr="00442B03">
              <w:rPr>
                <w:b/>
                <w:sz w:val="20"/>
                <w:szCs w:val="20"/>
              </w:rPr>
              <w:t>201</w:t>
            </w:r>
            <w:r>
              <w:rPr>
                <w:b/>
                <w:sz w:val="20"/>
                <w:szCs w:val="20"/>
              </w:rPr>
              <w:t>4</w:t>
            </w:r>
            <w:r w:rsidRPr="00442B03">
              <w:rPr>
                <w:b/>
                <w:sz w:val="20"/>
                <w:szCs w:val="20"/>
              </w:rPr>
              <w:t>-1</w:t>
            </w:r>
            <w:r>
              <w:rPr>
                <w:b/>
                <w:sz w:val="20"/>
                <w:szCs w:val="20"/>
              </w:rPr>
              <w:t>5</w:t>
            </w:r>
          </w:p>
        </w:tc>
      </w:tr>
      <w:tr w:rsidR="008E5C65" w:rsidRPr="00442B03" w:rsidTr="000D7011">
        <w:tc>
          <w:tcPr>
            <w:tcW w:w="6629" w:type="dxa"/>
            <w:shd w:val="clear" w:color="auto" w:fill="auto"/>
          </w:tcPr>
          <w:p w:rsidR="008E5C65" w:rsidRPr="00442B03" w:rsidRDefault="008E5C65" w:rsidP="00A76CE7">
            <w:pPr>
              <w:pStyle w:val="BodyText"/>
              <w:spacing w:before="60" w:after="60"/>
              <w:rPr>
                <w:sz w:val="20"/>
                <w:szCs w:val="20"/>
              </w:rPr>
            </w:pPr>
            <w:r w:rsidRPr="00442B03">
              <w:rPr>
                <w:sz w:val="20"/>
                <w:szCs w:val="20"/>
              </w:rPr>
              <w:t>Internal reviews</w:t>
            </w:r>
          </w:p>
        </w:tc>
        <w:tc>
          <w:tcPr>
            <w:tcW w:w="1306" w:type="dxa"/>
            <w:shd w:val="clear" w:color="auto" w:fill="auto"/>
          </w:tcPr>
          <w:p w:rsidR="008E5C65" w:rsidRPr="00442B03" w:rsidRDefault="008E5C65" w:rsidP="00A76CE7">
            <w:pPr>
              <w:pStyle w:val="BodyText"/>
              <w:spacing w:before="60" w:after="60"/>
              <w:jc w:val="right"/>
              <w:rPr>
                <w:sz w:val="20"/>
                <w:szCs w:val="20"/>
              </w:rPr>
            </w:pPr>
            <w:r>
              <w:rPr>
                <w:sz w:val="20"/>
                <w:szCs w:val="20"/>
              </w:rPr>
              <w:t>4</w:t>
            </w:r>
          </w:p>
        </w:tc>
        <w:tc>
          <w:tcPr>
            <w:tcW w:w="1307" w:type="dxa"/>
            <w:shd w:val="clear" w:color="auto" w:fill="auto"/>
          </w:tcPr>
          <w:p w:rsidR="008E5C65" w:rsidRPr="00442B03" w:rsidRDefault="008E5C65" w:rsidP="00A76CE7">
            <w:pPr>
              <w:pStyle w:val="BodyText"/>
              <w:spacing w:before="60" w:after="60"/>
              <w:jc w:val="right"/>
              <w:rPr>
                <w:sz w:val="20"/>
                <w:szCs w:val="20"/>
              </w:rPr>
            </w:pPr>
            <w:r w:rsidRPr="00442B03">
              <w:rPr>
                <w:sz w:val="20"/>
                <w:szCs w:val="20"/>
              </w:rPr>
              <w:t>3</w:t>
            </w:r>
          </w:p>
        </w:tc>
      </w:tr>
      <w:tr w:rsidR="008E5C65" w:rsidRPr="00442B03" w:rsidTr="000D7011">
        <w:tc>
          <w:tcPr>
            <w:tcW w:w="6629" w:type="dxa"/>
            <w:shd w:val="clear" w:color="auto" w:fill="auto"/>
          </w:tcPr>
          <w:p w:rsidR="008E5C65" w:rsidRPr="00442B03" w:rsidRDefault="008E5C65" w:rsidP="00A76CE7">
            <w:pPr>
              <w:pStyle w:val="BodyText"/>
              <w:spacing w:before="60" w:after="60"/>
              <w:rPr>
                <w:sz w:val="20"/>
                <w:szCs w:val="20"/>
              </w:rPr>
            </w:pPr>
            <w:r w:rsidRPr="00442B03">
              <w:rPr>
                <w:sz w:val="20"/>
                <w:szCs w:val="20"/>
              </w:rPr>
              <w:t xml:space="preserve">External reviews – complaints </w:t>
            </w:r>
          </w:p>
        </w:tc>
        <w:tc>
          <w:tcPr>
            <w:tcW w:w="1306" w:type="dxa"/>
            <w:shd w:val="clear" w:color="auto" w:fill="auto"/>
          </w:tcPr>
          <w:p w:rsidR="008E5C65" w:rsidRPr="00442B03" w:rsidRDefault="008E5C65" w:rsidP="00A76CE7">
            <w:pPr>
              <w:pStyle w:val="BodyText"/>
              <w:spacing w:before="60" w:after="60"/>
              <w:jc w:val="right"/>
              <w:rPr>
                <w:sz w:val="20"/>
                <w:szCs w:val="20"/>
              </w:rPr>
            </w:pPr>
            <w:r>
              <w:rPr>
                <w:sz w:val="20"/>
                <w:szCs w:val="20"/>
              </w:rPr>
              <w:t>3</w:t>
            </w:r>
            <w:r w:rsidRPr="00442B03">
              <w:rPr>
                <w:sz w:val="20"/>
                <w:szCs w:val="20"/>
              </w:rPr>
              <w:t>*</w:t>
            </w:r>
          </w:p>
        </w:tc>
        <w:tc>
          <w:tcPr>
            <w:tcW w:w="1307" w:type="dxa"/>
            <w:shd w:val="clear" w:color="auto" w:fill="auto"/>
          </w:tcPr>
          <w:p w:rsidR="008E5C65" w:rsidRPr="00442B03" w:rsidRDefault="008E5C65" w:rsidP="00A76CE7">
            <w:pPr>
              <w:pStyle w:val="BodyText"/>
              <w:spacing w:before="60" w:after="60"/>
              <w:jc w:val="right"/>
              <w:rPr>
                <w:sz w:val="20"/>
                <w:szCs w:val="20"/>
              </w:rPr>
            </w:pPr>
            <w:r w:rsidRPr="00442B03">
              <w:rPr>
                <w:sz w:val="20"/>
                <w:szCs w:val="20"/>
              </w:rPr>
              <w:t>2</w:t>
            </w:r>
          </w:p>
        </w:tc>
      </w:tr>
    </w:tbl>
    <w:p w:rsidR="008E5C65" w:rsidRPr="004002E9" w:rsidRDefault="008E5C65" w:rsidP="008E5C65">
      <w:pPr>
        <w:pStyle w:val="BodyText"/>
      </w:pPr>
      <w:r>
        <w:t>*Two of these external reviews carried over from the 2014-15 financial year.</w:t>
      </w:r>
    </w:p>
    <w:p w:rsidR="008E5C65" w:rsidRDefault="008E5C65" w:rsidP="008E5C65">
      <w:pPr>
        <w:pStyle w:val="Heading2"/>
      </w:pPr>
      <w:r>
        <w:br w:type="page"/>
        <w:t>Government policy requirements</w:t>
      </w:r>
    </w:p>
    <w:p w:rsidR="008E5C65" w:rsidRDefault="008E5C65" w:rsidP="008E5C65">
      <w:pPr>
        <w:pStyle w:val="Heading3"/>
      </w:pPr>
      <w:r>
        <w:t>Government building contracts</w:t>
      </w:r>
    </w:p>
    <w:p w:rsidR="008E5C65" w:rsidRDefault="008E5C65" w:rsidP="008E5C65">
      <w:pPr>
        <w:pStyle w:val="BodyText"/>
      </w:pPr>
      <w:r>
        <w:t>The Government Building and Training Policy (GBT Policy) aims to increase the number of apprentices and trainees in the building and construction industry. This is achieved by requiring contractors awarded State Government building, construction and maintenance contracts to commit to meeting a target training rate, through employing construction apprentices and trainees.</w:t>
      </w:r>
    </w:p>
    <w:p w:rsidR="008E5C65" w:rsidRDefault="008E5C65" w:rsidP="008E5C65">
      <w:pPr>
        <w:pStyle w:val="BodyText"/>
      </w:pPr>
      <w:r>
        <w:t>The GBT Policy applies to:</w:t>
      </w:r>
    </w:p>
    <w:p w:rsidR="008E5C65" w:rsidRDefault="008E5C65" w:rsidP="000D7011">
      <w:pPr>
        <w:pStyle w:val="BodyText"/>
        <w:numPr>
          <w:ilvl w:val="0"/>
          <w:numId w:val="47"/>
        </w:numPr>
      </w:pPr>
      <w:r>
        <w:t>All State Government building and construction contracts, including civil and engineering contracts, with an estimated labour value of $2 million and over for the construction component of the contract.</w:t>
      </w:r>
    </w:p>
    <w:p w:rsidR="008E5C65" w:rsidRDefault="008E5C65" w:rsidP="000D7011">
      <w:pPr>
        <w:pStyle w:val="BodyText"/>
        <w:numPr>
          <w:ilvl w:val="0"/>
          <w:numId w:val="47"/>
        </w:numPr>
      </w:pPr>
      <w:r>
        <w:t>All State Government maintenance contracts, with an estimated labour component of $2 million and over for the total contracts.</w:t>
      </w:r>
    </w:p>
    <w:p w:rsidR="008E5C65" w:rsidRDefault="008E5C65" w:rsidP="000D7011">
      <w:pPr>
        <w:pStyle w:val="BodyText"/>
        <w:numPr>
          <w:ilvl w:val="0"/>
          <w:numId w:val="47"/>
        </w:numPr>
      </w:pPr>
      <w:r>
        <w:t xml:space="preserve">All State Government agencies (as defined in section 3 of the </w:t>
      </w:r>
      <w:r w:rsidRPr="00233907">
        <w:rPr>
          <w:i/>
        </w:rPr>
        <w:t>Public Sector Management Act 1994</w:t>
      </w:r>
      <w:r>
        <w:t>) that enter into these contracts.</w:t>
      </w:r>
    </w:p>
    <w:p w:rsidR="008E5C65" w:rsidRDefault="008E5C65" w:rsidP="008E5C65">
      <w:pPr>
        <w:pStyle w:val="BodyText"/>
      </w:pPr>
      <w:r>
        <w:t>Three contractors failed to meet the target training rate. Consideration was given to applying a demerit, as is provided for under the sanction scheme that relates to GBT policy implementation. Demerits were not applied in each instance as the policy implementation is in a transitional phase.</w:t>
      </w:r>
    </w:p>
    <w:p w:rsidR="008E5C65" w:rsidRDefault="008E5C65" w:rsidP="008E5C65">
      <w:pPr>
        <w:pStyle w:val="BodyText"/>
      </w:pPr>
      <w:r>
        <w:t>No maintenance contracts were awarded during the reporting period that fell within scope.</w:t>
      </w:r>
    </w:p>
    <w:p w:rsidR="008E5C65" w:rsidRDefault="008E5C65" w:rsidP="008E5C65">
      <w:pPr>
        <w:pStyle w:val="BodyText"/>
      </w:pPr>
    </w:p>
    <w:p w:rsidR="008E5C65" w:rsidRDefault="00196F4C" w:rsidP="008E5C65">
      <w:pPr>
        <w:pStyle w:val="Caption"/>
        <w:keepNext/>
      </w:pPr>
      <w:fldSimple w:instr=" SEQ Table \* ARABIC ">
        <w:r w:rsidR="00D8778B">
          <w:rPr>
            <w:noProof/>
          </w:rPr>
          <w:t>94</w:t>
        </w:r>
      </w:fldSimple>
      <w:r w:rsidR="008E5C65" w:rsidRPr="00FE25E6">
        <w:t xml:space="preserve"> Government building contracts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7"/>
        <w:gridCol w:w="1399"/>
      </w:tblGrid>
      <w:tr w:rsidR="008E5C65" w:rsidRPr="00442B03" w:rsidTr="000D7011">
        <w:tc>
          <w:tcPr>
            <w:tcW w:w="7763" w:type="dxa"/>
            <w:shd w:val="clear" w:color="auto" w:fill="auto"/>
          </w:tcPr>
          <w:p w:rsidR="008E5C65" w:rsidRPr="00442B03" w:rsidRDefault="008E5C65" w:rsidP="00A76CE7">
            <w:pPr>
              <w:pStyle w:val="BodyText"/>
              <w:spacing w:before="60" w:after="60"/>
              <w:rPr>
                <w:b/>
                <w:sz w:val="20"/>
                <w:szCs w:val="20"/>
              </w:rPr>
            </w:pPr>
            <w:r>
              <w:rPr>
                <w:b/>
                <w:sz w:val="20"/>
                <w:szCs w:val="20"/>
              </w:rPr>
              <w:t>Measure – Building and construction projects</w:t>
            </w:r>
          </w:p>
        </w:tc>
        <w:tc>
          <w:tcPr>
            <w:tcW w:w="1417" w:type="dxa"/>
            <w:shd w:val="clear" w:color="auto" w:fill="auto"/>
          </w:tcPr>
          <w:p w:rsidR="008E5C65" w:rsidRPr="00442B03" w:rsidRDefault="008E5C65" w:rsidP="00A76CE7">
            <w:pPr>
              <w:pStyle w:val="BodyText"/>
              <w:spacing w:before="60" w:after="60"/>
              <w:jc w:val="right"/>
              <w:rPr>
                <w:b/>
                <w:sz w:val="20"/>
                <w:szCs w:val="20"/>
              </w:rPr>
            </w:pPr>
            <w:r>
              <w:rPr>
                <w:b/>
                <w:sz w:val="20"/>
                <w:szCs w:val="20"/>
              </w:rPr>
              <w:t>2015-16</w:t>
            </w:r>
          </w:p>
        </w:tc>
      </w:tr>
      <w:tr w:rsidR="008E5C65" w:rsidRPr="00442B03" w:rsidTr="000D7011">
        <w:tc>
          <w:tcPr>
            <w:tcW w:w="7763" w:type="dxa"/>
            <w:shd w:val="clear" w:color="auto" w:fill="auto"/>
          </w:tcPr>
          <w:p w:rsidR="008E5C65" w:rsidRPr="00442B03" w:rsidRDefault="008E5C65" w:rsidP="00A76CE7">
            <w:pPr>
              <w:pStyle w:val="BodyText"/>
              <w:spacing w:before="60" w:after="60"/>
              <w:rPr>
                <w:sz w:val="20"/>
                <w:szCs w:val="20"/>
              </w:rPr>
            </w:pPr>
            <w:r w:rsidRPr="00C511C2">
              <w:rPr>
                <w:sz w:val="20"/>
                <w:szCs w:val="20"/>
              </w:rPr>
              <w:t>Active contracts within the scope of the GBT Policy in the reporting period</w:t>
            </w:r>
          </w:p>
        </w:tc>
        <w:tc>
          <w:tcPr>
            <w:tcW w:w="1417" w:type="dxa"/>
            <w:shd w:val="clear" w:color="auto" w:fill="auto"/>
          </w:tcPr>
          <w:p w:rsidR="008E5C65" w:rsidRPr="00442B03" w:rsidRDefault="008E5C65" w:rsidP="00A76CE7">
            <w:pPr>
              <w:pStyle w:val="BodyText"/>
              <w:spacing w:before="60" w:after="60"/>
              <w:jc w:val="right"/>
              <w:rPr>
                <w:sz w:val="20"/>
                <w:szCs w:val="20"/>
              </w:rPr>
            </w:pPr>
            <w:r>
              <w:rPr>
                <w:sz w:val="20"/>
                <w:szCs w:val="20"/>
              </w:rPr>
              <w:t>8</w:t>
            </w:r>
          </w:p>
        </w:tc>
      </w:tr>
      <w:tr w:rsidR="008E5C65" w:rsidRPr="00442B03" w:rsidTr="000D7011">
        <w:tc>
          <w:tcPr>
            <w:tcW w:w="7763" w:type="dxa"/>
            <w:shd w:val="clear" w:color="auto" w:fill="auto"/>
          </w:tcPr>
          <w:p w:rsidR="008E5C65" w:rsidRPr="00442B03" w:rsidRDefault="008E5C65" w:rsidP="00A76CE7">
            <w:pPr>
              <w:pStyle w:val="BodyText"/>
              <w:spacing w:before="60" w:after="60"/>
              <w:rPr>
                <w:sz w:val="20"/>
                <w:szCs w:val="20"/>
              </w:rPr>
            </w:pPr>
            <w:r w:rsidRPr="00C511C2">
              <w:rPr>
                <w:sz w:val="20"/>
                <w:szCs w:val="20"/>
              </w:rPr>
              <w:t>Contracts granted a variation to the target training rate in the reporting period</w:t>
            </w:r>
          </w:p>
        </w:tc>
        <w:tc>
          <w:tcPr>
            <w:tcW w:w="1417" w:type="dxa"/>
            <w:shd w:val="clear" w:color="auto" w:fill="auto"/>
          </w:tcPr>
          <w:p w:rsidR="008E5C65" w:rsidRPr="00442B03" w:rsidRDefault="008E5C65" w:rsidP="00A76CE7">
            <w:pPr>
              <w:pStyle w:val="BodyText"/>
              <w:spacing w:before="60" w:after="60"/>
              <w:jc w:val="right"/>
              <w:rPr>
                <w:sz w:val="20"/>
                <w:szCs w:val="20"/>
              </w:rPr>
            </w:pPr>
            <w:r>
              <w:rPr>
                <w:sz w:val="20"/>
                <w:szCs w:val="20"/>
              </w:rPr>
              <w:t>0</w:t>
            </w:r>
          </w:p>
        </w:tc>
      </w:tr>
      <w:tr w:rsidR="008E5C65" w:rsidRPr="00442B03" w:rsidTr="000D7011">
        <w:tc>
          <w:tcPr>
            <w:tcW w:w="7763" w:type="dxa"/>
            <w:shd w:val="clear" w:color="auto" w:fill="auto"/>
          </w:tcPr>
          <w:p w:rsidR="008E5C65" w:rsidRPr="00442B03" w:rsidRDefault="008E5C65" w:rsidP="00A76CE7">
            <w:pPr>
              <w:pStyle w:val="BodyText"/>
              <w:spacing w:before="60" w:after="60"/>
              <w:rPr>
                <w:sz w:val="20"/>
                <w:szCs w:val="20"/>
              </w:rPr>
            </w:pPr>
            <w:r w:rsidRPr="00C511C2">
              <w:rPr>
                <w:sz w:val="20"/>
                <w:szCs w:val="20"/>
              </w:rPr>
              <w:t>Head contractors involved in the contracts</w:t>
            </w:r>
          </w:p>
        </w:tc>
        <w:tc>
          <w:tcPr>
            <w:tcW w:w="1417" w:type="dxa"/>
            <w:shd w:val="clear" w:color="auto" w:fill="auto"/>
          </w:tcPr>
          <w:p w:rsidR="008E5C65" w:rsidRPr="00442B03" w:rsidRDefault="008E5C65" w:rsidP="00A76CE7">
            <w:pPr>
              <w:pStyle w:val="BodyText"/>
              <w:spacing w:before="60" w:after="60"/>
              <w:jc w:val="right"/>
              <w:rPr>
                <w:sz w:val="20"/>
                <w:szCs w:val="20"/>
              </w:rPr>
            </w:pPr>
            <w:r>
              <w:rPr>
                <w:sz w:val="20"/>
                <w:szCs w:val="20"/>
              </w:rPr>
              <w:t>7</w:t>
            </w:r>
          </w:p>
        </w:tc>
      </w:tr>
      <w:tr w:rsidR="008E5C65" w:rsidRPr="00442B03" w:rsidTr="000D7011">
        <w:tc>
          <w:tcPr>
            <w:tcW w:w="7763" w:type="dxa"/>
            <w:shd w:val="clear" w:color="auto" w:fill="auto"/>
          </w:tcPr>
          <w:p w:rsidR="008E5C65" w:rsidRPr="00442B03" w:rsidRDefault="008E5C65" w:rsidP="00A76CE7">
            <w:pPr>
              <w:pStyle w:val="BodyText"/>
              <w:spacing w:before="60" w:after="60"/>
              <w:rPr>
                <w:sz w:val="20"/>
                <w:szCs w:val="20"/>
              </w:rPr>
            </w:pPr>
            <w:r w:rsidRPr="00C511C2">
              <w:rPr>
                <w:sz w:val="20"/>
                <w:szCs w:val="20"/>
              </w:rPr>
              <w:t>Construction apprentices/trainees required to meet target training rate across</w:t>
            </w:r>
            <w:r>
              <w:rPr>
                <w:sz w:val="20"/>
                <w:szCs w:val="20"/>
              </w:rPr>
              <w:t xml:space="preserve"> </w:t>
            </w:r>
            <w:r w:rsidRPr="00C511C2">
              <w:rPr>
                <w:sz w:val="20"/>
                <w:szCs w:val="20"/>
              </w:rPr>
              <w:t>all contracts</w:t>
            </w:r>
          </w:p>
        </w:tc>
        <w:tc>
          <w:tcPr>
            <w:tcW w:w="1417" w:type="dxa"/>
            <w:shd w:val="clear" w:color="auto" w:fill="auto"/>
          </w:tcPr>
          <w:p w:rsidR="008E5C65" w:rsidRPr="00442B03" w:rsidRDefault="008E5C65" w:rsidP="00A76CE7">
            <w:pPr>
              <w:pStyle w:val="BodyText"/>
              <w:spacing w:before="60" w:after="60"/>
              <w:jc w:val="right"/>
              <w:rPr>
                <w:sz w:val="20"/>
                <w:szCs w:val="20"/>
              </w:rPr>
            </w:pPr>
            <w:r>
              <w:rPr>
                <w:sz w:val="20"/>
                <w:szCs w:val="20"/>
              </w:rPr>
              <w:t>90</w:t>
            </w:r>
          </w:p>
        </w:tc>
      </w:tr>
      <w:tr w:rsidR="008E5C65" w:rsidRPr="00442B03" w:rsidTr="000D7011">
        <w:tc>
          <w:tcPr>
            <w:tcW w:w="7763" w:type="dxa"/>
            <w:shd w:val="clear" w:color="auto" w:fill="auto"/>
          </w:tcPr>
          <w:p w:rsidR="008E5C65" w:rsidRPr="00442B03" w:rsidRDefault="008E5C65" w:rsidP="00A76CE7">
            <w:pPr>
              <w:pStyle w:val="BodyText"/>
              <w:spacing w:before="60" w:after="60"/>
              <w:rPr>
                <w:sz w:val="20"/>
                <w:szCs w:val="20"/>
              </w:rPr>
            </w:pPr>
            <w:r w:rsidRPr="00C511C2">
              <w:rPr>
                <w:sz w:val="20"/>
                <w:szCs w:val="20"/>
              </w:rPr>
              <w:t>Construction apprentices/trainees employed by head contractors; and the</w:t>
            </w:r>
            <w:r>
              <w:rPr>
                <w:sz w:val="20"/>
                <w:szCs w:val="20"/>
              </w:rPr>
              <w:t xml:space="preserve"> </w:t>
            </w:r>
            <w:r w:rsidRPr="00C511C2">
              <w:rPr>
                <w:sz w:val="20"/>
                <w:szCs w:val="20"/>
              </w:rPr>
              <w:t>subcontractors they are using for the contracts</w:t>
            </w:r>
          </w:p>
        </w:tc>
        <w:tc>
          <w:tcPr>
            <w:tcW w:w="1417" w:type="dxa"/>
            <w:shd w:val="clear" w:color="auto" w:fill="auto"/>
          </w:tcPr>
          <w:p w:rsidR="008E5C65" w:rsidRPr="00442B03" w:rsidRDefault="008E5C65" w:rsidP="00A76CE7">
            <w:pPr>
              <w:pStyle w:val="BodyText"/>
              <w:spacing w:before="60" w:after="60"/>
              <w:jc w:val="right"/>
              <w:rPr>
                <w:sz w:val="20"/>
                <w:szCs w:val="20"/>
              </w:rPr>
            </w:pPr>
            <w:r>
              <w:rPr>
                <w:sz w:val="20"/>
                <w:szCs w:val="20"/>
              </w:rPr>
              <w:t>109</w:t>
            </w:r>
          </w:p>
        </w:tc>
      </w:tr>
      <w:tr w:rsidR="008E5C65" w:rsidRPr="00442B03" w:rsidTr="000D7011">
        <w:tc>
          <w:tcPr>
            <w:tcW w:w="7763" w:type="dxa"/>
            <w:shd w:val="clear" w:color="auto" w:fill="auto"/>
          </w:tcPr>
          <w:p w:rsidR="008E5C65" w:rsidRPr="00442B03" w:rsidRDefault="008E5C65" w:rsidP="00A76CE7">
            <w:pPr>
              <w:pStyle w:val="BodyText"/>
              <w:spacing w:before="60" w:after="60"/>
              <w:rPr>
                <w:sz w:val="20"/>
                <w:szCs w:val="20"/>
              </w:rPr>
            </w:pPr>
            <w:r w:rsidRPr="00C511C2">
              <w:rPr>
                <w:sz w:val="20"/>
                <w:szCs w:val="20"/>
              </w:rPr>
              <w:t>Contracts which met or exceeded the target training rate</w:t>
            </w:r>
          </w:p>
        </w:tc>
        <w:tc>
          <w:tcPr>
            <w:tcW w:w="1417" w:type="dxa"/>
            <w:shd w:val="clear" w:color="auto" w:fill="auto"/>
          </w:tcPr>
          <w:p w:rsidR="008E5C65" w:rsidRDefault="008E5C65" w:rsidP="00A76CE7">
            <w:pPr>
              <w:pStyle w:val="BodyText"/>
              <w:spacing w:before="60" w:after="60"/>
              <w:jc w:val="right"/>
              <w:rPr>
                <w:sz w:val="20"/>
                <w:szCs w:val="20"/>
              </w:rPr>
            </w:pPr>
            <w:r>
              <w:rPr>
                <w:sz w:val="20"/>
                <w:szCs w:val="20"/>
              </w:rPr>
              <w:t>5</w:t>
            </w:r>
          </w:p>
        </w:tc>
      </w:tr>
    </w:tbl>
    <w:p w:rsidR="008E5C65" w:rsidRDefault="008E5C65" w:rsidP="008E5C65">
      <w:pPr>
        <w:pStyle w:val="Heading3"/>
      </w:pPr>
      <w:r>
        <w:t>Substantive equality</w:t>
      </w:r>
    </w:p>
    <w:p w:rsidR="008E5C65" w:rsidRDefault="008E5C65" w:rsidP="008E5C65">
      <w:pPr>
        <w:pStyle w:val="BodyText"/>
        <w:keepLines/>
      </w:pPr>
      <w:r>
        <w:t>The Department of Finance supports the provision of services that address the different needs of Western Australia’s diverse community and supports the Equal Opportunity Commission to eliminate systemic racism by creating a community based on equality for everyone. This year, the Department continued to make available 10 State Revenue related publications in Chinese and Malay, regarding duties and land tax, which are available in hard copy as well as on the Department of Finance website.</w:t>
      </w:r>
    </w:p>
    <w:p w:rsidR="008E5C65" w:rsidRDefault="008E5C65" w:rsidP="008E5C65">
      <w:pPr>
        <w:pStyle w:val="Heading3"/>
      </w:pPr>
      <w:r>
        <w:t>Occupational safety, health and injury management</w:t>
      </w:r>
    </w:p>
    <w:p w:rsidR="008E5C65" w:rsidRDefault="008E5C65" w:rsidP="008E5C65">
      <w:pPr>
        <w:pStyle w:val="BodyText"/>
      </w:pPr>
      <w:r>
        <w:t>The Department provides a safe and healthy workplace in accordance with the requirements of the Public Sector Commissioner’s Circular 2012-05: Code of Practice: Occupational Safety and Health (OSH) in the Western Australian Public Sector, and in support of the State Government’s commitment to achieving the goals of the Australian Work Health and Safety Strategy 2012-2022.</w:t>
      </w:r>
    </w:p>
    <w:p w:rsidR="008E5C65" w:rsidRDefault="008E5C65" w:rsidP="008E5C65">
      <w:pPr>
        <w:pStyle w:val="BodyText"/>
      </w:pPr>
      <w:r>
        <w:t>The Department’s Corporate Executive leads a safety culture through:</w:t>
      </w:r>
    </w:p>
    <w:p w:rsidR="008E5C65" w:rsidRDefault="008E5C65" w:rsidP="000D7011">
      <w:pPr>
        <w:pStyle w:val="BodyText"/>
        <w:numPr>
          <w:ilvl w:val="0"/>
          <w:numId w:val="49"/>
        </w:numPr>
      </w:pPr>
      <w:r>
        <w:t>Active consultation about OSH matters with managers and employees.</w:t>
      </w:r>
    </w:p>
    <w:p w:rsidR="008E5C65" w:rsidRDefault="008E5C65" w:rsidP="000D7011">
      <w:pPr>
        <w:pStyle w:val="BodyText"/>
        <w:numPr>
          <w:ilvl w:val="0"/>
          <w:numId w:val="49"/>
        </w:numPr>
      </w:pPr>
      <w:r>
        <w:t>Strong support for OSH related training to all managers and employees.</w:t>
      </w:r>
    </w:p>
    <w:p w:rsidR="008E5C65" w:rsidRDefault="008E5C65" w:rsidP="000D7011">
      <w:pPr>
        <w:pStyle w:val="BodyText"/>
        <w:numPr>
          <w:ilvl w:val="0"/>
          <w:numId w:val="49"/>
        </w:numPr>
      </w:pPr>
      <w:r>
        <w:t>Monitoring of OSH performance through quarterly and annual OSH reports.</w:t>
      </w:r>
    </w:p>
    <w:p w:rsidR="008E5C65" w:rsidRDefault="008E5C65" w:rsidP="000D7011">
      <w:pPr>
        <w:pStyle w:val="BodyText"/>
        <w:numPr>
          <w:ilvl w:val="0"/>
          <w:numId w:val="49"/>
        </w:numPr>
      </w:pPr>
      <w:r>
        <w:t>Active support for OSH and wellbeing initiatives.</w:t>
      </w:r>
    </w:p>
    <w:p w:rsidR="008E5C65" w:rsidRDefault="008E5C65" w:rsidP="008E5C65">
      <w:pPr>
        <w:pStyle w:val="Heading3"/>
      </w:pPr>
      <w:r>
        <w:t>Consultation, communication and engagement</w:t>
      </w:r>
    </w:p>
    <w:p w:rsidR="008E5C65" w:rsidRPr="00902287" w:rsidRDefault="008E5C65" w:rsidP="008E5C65">
      <w:pPr>
        <w:pStyle w:val="BodyText"/>
      </w:pPr>
      <w:r w:rsidRPr="00902287">
        <w:t>The Occupational Safety and Health Committee,</w:t>
      </w:r>
      <w:r>
        <w:t xml:space="preserve"> </w:t>
      </w:r>
      <w:r w:rsidRPr="00902287">
        <w:t>which meets quarterly, comprise</w:t>
      </w:r>
      <w:r>
        <w:t xml:space="preserve"> </w:t>
      </w:r>
      <w:r w:rsidRPr="00902287">
        <w:t>Safety and</w:t>
      </w:r>
      <w:r>
        <w:t xml:space="preserve"> </w:t>
      </w:r>
      <w:r w:rsidRPr="00902287">
        <w:t>Health, and management representatives. The</w:t>
      </w:r>
      <w:r>
        <w:t xml:space="preserve"> </w:t>
      </w:r>
      <w:r w:rsidRPr="00902287">
        <w:t>Committee receives information about all reported</w:t>
      </w:r>
      <w:r>
        <w:t xml:space="preserve"> </w:t>
      </w:r>
      <w:r w:rsidRPr="00902287">
        <w:t>hazards and incidents, with a view to ensuring</w:t>
      </w:r>
      <w:r>
        <w:t xml:space="preserve"> </w:t>
      </w:r>
      <w:r w:rsidRPr="00902287">
        <w:t>relevant control actions are considered and</w:t>
      </w:r>
      <w:r>
        <w:t xml:space="preserve"> </w:t>
      </w:r>
      <w:r w:rsidRPr="00902287">
        <w:t>actioned where appropriate.</w:t>
      </w:r>
    </w:p>
    <w:p w:rsidR="008E5C65" w:rsidRDefault="008E5C65" w:rsidP="008E5C65">
      <w:pPr>
        <w:pStyle w:val="BodyText"/>
      </w:pPr>
      <w:r w:rsidRPr="00902287">
        <w:t>Safety and Health representatives are available</w:t>
      </w:r>
      <w:r>
        <w:t xml:space="preserve"> </w:t>
      </w:r>
      <w:r w:rsidRPr="00902287">
        <w:t>at all the Department's work locations and</w:t>
      </w:r>
      <w:r>
        <w:t xml:space="preserve"> </w:t>
      </w:r>
      <w:r w:rsidRPr="00902287">
        <w:t>are actively involved in undertaking quarterly</w:t>
      </w:r>
      <w:r>
        <w:t xml:space="preserve"> </w:t>
      </w:r>
      <w:r w:rsidRPr="00902287">
        <w:t>workplace safety inspections, as well as providing</w:t>
      </w:r>
      <w:r>
        <w:t xml:space="preserve"> </w:t>
      </w:r>
      <w:r w:rsidRPr="00902287">
        <w:t>an employee consulting service, complementing</w:t>
      </w:r>
      <w:r>
        <w:t xml:space="preserve"> </w:t>
      </w:r>
      <w:r w:rsidRPr="00902287">
        <w:t>regular articles published on the Department’s</w:t>
      </w:r>
      <w:r>
        <w:t xml:space="preserve"> </w:t>
      </w:r>
      <w:r w:rsidRPr="00902287">
        <w:t>intranet regarding health and safety matters.</w:t>
      </w:r>
    </w:p>
    <w:p w:rsidR="008E5C65" w:rsidRDefault="008E5C65" w:rsidP="008E5C65">
      <w:pPr>
        <w:pStyle w:val="Heading3"/>
      </w:pPr>
      <w:r>
        <w:t>Injury management</w:t>
      </w:r>
    </w:p>
    <w:p w:rsidR="008E5C65" w:rsidRDefault="008E5C65" w:rsidP="008E5C65">
      <w:pPr>
        <w:pStyle w:val="BodyText"/>
      </w:pPr>
      <w:r>
        <w:t>Early intervention regarding injury management is a continued focus for the Department. Managers and employees have this year been provided with in-house guidance and support for both work and non-work related illness/injury. Over the last year, a total of 49 employees were offered injury management assistance for both work related as well as non-work related injuries.</w:t>
      </w:r>
    </w:p>
    <w:p w:rsidR="008E5C65" w:rsidRDefault="008E5C65" w:rsidP="008E5C65">
      <w:pPr>
        <w:pStyle w:val="BodyText"/>
      </w:pPr>
      <w:r>
        <w:t>Injured employees have been provided opportunities to actively participate in rehabilitation programs in support of returning to meaningful work in a safe and sustained manner, at a pace recommended by their treating medical practitioner.</w:t>
      </w:r>
    </w:p>
    <w:p w:rsidR="008E5C65" w:rsidRDefault="008E5C65" w:rsidP="008E5C65">
      <w:pPr>
        <w:pStyle w:val="BodyText"/>
        <w:keepNext/>
      </w:pPr>
      <w:r>
        <w:t>This year, the Worksafe Plan assessment tool was applied across the Department. Its application included the:</w:t>
      </w:r>
    </w:p>
    <w:p w:rsidR="008E5C65" w:rsidRDefault="008E5C65" w:rsidP="000D7011">
      <w:pPr>
        <w:pStyle w:val="BodyText"/>
        <w:keepNext/>
        <w:numPr>
          <w:ilvl w:val="0"/>
          <w:numId w:val="49"/>
        </w:numPr>
      </w:pPr>
      <w:r>
        <w:t>Development of up-to-date emergency and evacuation, and other safety procedures for the Department's regional offices.</w:t>
      </w:r>
    </w:p>
    <w:p w:rsidR="008E5C65" w:rsidRDefault="008E5C65" w:rsidP="000D7011">
      <w:pPr>
        <w:pStyle w:val="BodyText"/>
        <w:keepNext/>
        <w:numPr>
          <w:ilvl w:val="0"/>
          <w:numId w:val="49"/>
        </w:numPr>
      </w:pPr>
      <w:r>
        <w:t>Ongoing consultation on emerging health, safety and wellbeing issues with staff across the Department.</w:t>
      </w:r>
    </w:p>
    <w:p w:rsidR="008E5C65" w:rsidRDefault="008E5C65" w:rsidP="000D7011">
      <w:pPr>
        <w:pStyle w:val="BodyText"/>
        <w:keepNext/>
        <w:numPr>
          <w:ilvl w:val="0"/>
          <w:numId w:val="49"/>
        </w:numPr>
      </w:pPr>
      <w:r>
        <w:t>Provision of up-to-date training on health and safety matters to all staff.</w:t>
      </w:r>
    </w:p>
    <w:p w:rsidR="008E5C65" w:rsidRDefault="008E5C65" w:rsidP="000D7011">
      <w:pPr>
        <w:pStyle w:val="BodyText"/>
        <w:keepNext/>
        <w:numPr>
          <w:ilvl w:val="0"/>
          <w:numId w:val="49"/>
        </w:numPr>
      </w:pPr>
      <w:r>
        <w:t>Refining of the Hazard Incident and Issue Resolution process.</w:t>
      </w:r>
    </w:p>
    <w:p w:rsidR="008E5C65" w:rsidRDefault="008E5C65" w:rsidP="008E5C65">
      <w:pPr>
        <w:pStyle w:val="BodyText"/>
        <w:ind w:left="720"/>
      </w:pPr>
    </w:p>
    <w:p w:rsidR="008E5C65" w:rsidRDefault="008E5C65" w:rsidP="008E5C65">
      <w:pPr>
        <w:pStyle w:val="BodyText"/>
      </w:pPr>
    </w:p>
    <w:p w:rsidR="008E5C65" w:rsidRDefault="008E5C65" w:rsidP="008E5C65">
      <w:pPr>
        <w:pStyle w:val="BodyText"/>
        <w:sectPr w:rsidR="008E5C65" w:rsidSect="00EC67A7">
          <w:pgSz w:w="11906" w:h="16838" w:code="9"/>
          <w:pgMar w:top="1440" w:right="1440" w:bottom="1440" w:left="1440" w:header="0" w:footer="709" w:gutter="0"/>
          <w:cols w:space="708"/>
          <w:docGrid w:linePitch="360"/>
        </w:sectPr>
      </w:pPr>
    </w:p>
    <w:p w:rsidR="008E5C65" w:rsidRDefault="008E5C65" w:rsidP="008E5C65">
      <w:pPr>
        <w:pStyle w:val="Heading3"/>
      </w:pPr>
      <w:r>
        <w:t>Public Sector Commissioner’s Occupational Safety and Health performance requirements 2015-16</w:t>
      </w:r>
    </w:p>
    <w:p w:rsidR="008E5C65" w:rsidRDefault="00196F4C" w:rsidP="008E5C65">
      <w:pPr>
        <w:pStyle w:val="Caption"/>
        <w:keepNext/>
      </w:pPr>
      <w:fldSimple w:instr=" SEQ Table \* ARABIC ">
        <w:r w:rsidR="005B0D51">
          <w:rPr>
            <w:noProof/>
          </w:rPr>
          <w:t>95</w:t>
        </w:r>
      </w:fldSimple>
      <w:r w:rsidR="008E5C65" w:rsidRPr="00FE25E6">
        <w:t xml:space="preserve"> Public Sector Commissioners OSH performance requirements 2015-16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8"/>
        <w:gridCol w:w="1213"/>
        <w:gridCol w:w="1214"/>
        <w:gridCol w:w="1214"/>
        <w:gridCol w:w="2928"/>
        <w:gridCol w:w="3791"/>
      </w:tblGrid>
      <w:tr w:rsidR="008E5C65" w:rsidRPr="00442B03" w:rsidTr="000D7011">
        <w:trPr>
          <w:trHeight w:val="504"/>
        </w:trPr>
        <w:tc>
          <w:tcPr>
            <w:tcW w:w="3652" w:type="dxa"/>
            <w:shd w:val="clear" w:color="auto" w:fill="auto"/>
          </w:tcPr>
          <w:p w:rsidR="008E5C65" w:rsidRPr="00442B03" w:rsidRDefault="008E5C65" w:rsidP="00A76CE7">
            <w:pPr>
              <w:pStyle w:val="BodyText"/>
              <w:spacing w:before="60" w:after="60"/>
              <w:rPr>
                <w:b/>
                <w:sz w:val="20"/>
                <w:szCs w:val="20"/>
              </w:rPr>
            </w:pPr>
            <w:r w:rsidRPr="00442B03">
              <w:rPr>
                <w:b/>
                <w:sz w:val="20"/>
                <w:szCs w:val="20"/>
              </w:rPr>
              <w:t>Indicator</w:t>
            </w:r>
          </w:p>
        </w:tc>
        <w:tc>
          <w:tcPr>
            <w:tcW w:w="1228" w:type="dxa"/>
            <w:shd w:val="clear" w:color="auto" w:fill="auto"/>
          </w:tcPr>
          <w:p w:rsidR="008E5C65" w:rsidRPr="00442B03" w:rsidRDefault="008E5C65" w:rsidP="00A76CE7">
            <w:pPr>
              <w:pStyle w:val="BodyText"/>
              <w:spacing w:before="60" w:after="60"/>
              <w:jc w:val="right"/>
              <w:rPr>
                <w:b/>
                <w:sz w:val="20"/>
                <w:szCs w:val="20"/>
              </w:rPr>
            </w:pPr>
            <w:r w:rsidRPr="00442B03">
              <w:rPr>
                <w:b/>
                <w:sz w:val="20"/>
                <w:szCs w:val="20"/>
              </w:rPr>
              <w:t>2013-14</w:t>
            </w:r>
          </w:p>
        </w:tc>
        <w:tc>
          <w:tcPr>
            <w:tcW w:w="1229" w:type="dxa"/>
            <w:shd w:val="clear" w:color="auto" w:fill="auto"/>
          </w:tcPr>
          <w:p w:rsidR="008E5C65" w:rsidRPr="00442B03" w:rsidRDefault="008E5C65" w:rsidP="00A76CE7">
            <w:pPr>
              <w:pStyle w:val="BodyText"/>
              <w:spacing w:before="60" w:after="60"/>
              <w:jc w:val="right"/>
              <w:rPr>
                <w:b/>
                <w:sz w:val="20"/>
                <w:szCs w:val="20"/>
              </w:rPr>
            </w:pPr>
            <w:r w:rsidRPr="00442B03">
              <w:rPr>
                <w:b/>
                <w:sz w:val="20"/>
                <w:szCs w:val="20"/>
              </w:rPr>
              <w:t>2014-15</w:t>
            </w:r>
          </w:p>
        </w:tc>
        <w:tc>
          <w:tcPr>
            <w:tcW w:w="1229" w:type="dxa"/>
            <w:shd w:val="clear" w:color="auto" w:fill="auto"/>
          </w:tcPr>
          <w:p w:rsidR="008E5C65" w:rsidRPr="00442B03" w:rsidRDefault="008E5C65" w:rsidP="00A76CE7">
            <w:pPr>
              <w:pStyle w:val="BodyText"/>
              <w:spacing w:before="60" w:after="60"/>
              <w:jc w:val="right"/>
              <w:rPr>
                <w:b/>
                <w:sz w:val="20"/>
                <w:szCs w:val="20"/>
              </w:rPr>
            </w:pPr>
            <w:r w:rsidRPr="00442B03">
              <w:rPr>
                <w:b/>
                <w:sz w:val="20"/>
                <w:szCs w:val="20"/>
              </w:rPr>
              <w:t>201</w:t>
            </w:r>
            <w:r>
              <w:rPr>
                <w:b/>
                <w:sz w:val="20"/>
                <w:szCs w:val="20"/>
              </w:rPr>
              <w:t>5</w:t>
            </w:r>
            <w:r w:rsidRPr="00442B03">
              <w:rPr>
                <w:b/>
                <w:sz w:val="20"/>
                <w:szCs w:val="20"/>
              </w:rPr>
              <w:t>-1</w:t>
            </w:r>
            <w:r>
              <w:rPr>
                <w:b/>
                <w:sz w:val="20"/>
                <w:szCs w:val="20"/>
              </w:rPr>
              <w:t>6</w:t>
            </w:r>
          </w:p>
        </w:tc>
        <w:tc>
          <w:tcPr>
            <w:tcW w:w="2976" w:type="dxa"/>
            <w:shd w:val="clear" w:color="auto" w:fill="auto"/>
          </w:tcPr>
          <w:p w:rsidR="008E5C65" w:rsidRPr="00442B03" w:rsidRDefault="008E5C65" w:rsidP="00A76CE7">
            <w:pPr>
              <w:pStyle w:val="BodyText"/>
              <w:spacing w:before="60" w:after="60"/>
              <w:rPr>
                <w:b/>
                <w:sz w:val="20"/>
                <w:szCs w:val="20"/>
              </w:rPr>
            </w:pPr>
            <w:r w:rsidRPr="00442B03">
              <w:rPr>
                <w:b/>
                <w:sz w:val="20"/>
                <w:szCs w:val="20"/>
              </w:rPr>
              <w:t>Target</w:t>
            </w:r>
          </w:p>
        </w:tc>
        <w:tc>
          <w:tcPr>
            <w:tcW w:w="3860" w:type="dxa"/>
            <w:shd w:val="clear" w:color="auto" w:fill="auto"/>
          </w:tcPr>
          <w:p w:rsidR="008E5C65" w:rsidRPr="00442B03" w:rsidRDefault="008E5C65" w:rsidP="00A76CE7">
            <w:pPr>
              <w:pStyle w:val="BodyText"/>
              <w:spacing w:before="60" w:after="60"/>
              <w:rPr>
                <w:b/>
                <w:sz w:val="20"/>
                <w:szCs w:val="20"/>
              </w:rPr>
            </w:pPr>
            <w:r w:rsidRPr="00442B03">
              <w:rPr>
                <w:b/>
                <w:sz w:val="20"/>
                <w:szCs w:val="20"/>
              </w:rPr>
              <w:t>Comment on result</w:t>
            </w:r>
          </w:p>
        </w:tc>
      </w:tr>
      <w:tr w:rsidR="008E5C65" w:rsidRPr="00442B03" w:rsidTr="00A76CE7">
        <w:trPr>
          <w:trHeight w:val="411"/>
        </w:trPr>
        <w:tc>
          <w:tcPr>
            <w:tcW w:w="3652" w:type="dxa"/>
            <w:shd w:val="clear" w:color="auto" w:fill="auto"/>
          </w:tcPr>
          <w:p w:rsidR="008E5C65" w:rsidRPr="00442B03" w:rsidRDefault="008E5C65" w:rsidP="00A76CE7">
            <w:pPr>
              <w:pStyle w:val="BodyText"/>
              <w:spacing w:before="60" w:after="60"/>
              <w:rPr>
                <w:sz w:val="20"/>
                <w:szCs w:val="20"/>
              </w:rPr>
            </w:pPr>
            <w:r w:rsidRPr="00442B03">
              <w:rPr>
                <w:sz w:val="20"/>
                <w:szCs w:val="20"/>
              </w:rPr>
              <w:t>Number of fatalities</w:t>
            </w:r>
          </w:p>
        </w:tc>
        <w:tc>
          <w:tcPr>
            <w:tcW w:w="1228" w:type="dxa"/>
            <w:shd w:val="clear" w:color="auto" w:fill="auto"/>
          </w:tcPr>
          <w:p w:rsidR="008E5C65" w:rsidRPr="00442B03" w:rsidRDefault="008E5C65" w:rsidP="00A76CE7">
            <w:pPr>
              <w:pStyle w:val="BodyText"/>
              <w:spacing w:before="60" w:after="60"/>
              <w:jc w:val="right"/>
              <w:rPr>
                <w:sz w:val="20"/>
                <w:szCs w:val="20"/>
              </w:rPr>
            </w:pPr>
            <w:r w:rsidRPr="00442B03">
              <w:rPr>
                <w:sz w:val="20"/>
                <w:szCs w:val="20"/>
              </w:rPr>
              <w:t>0</w:t>
            </w:r>
          </w:p>
        </w:tc>
        <w:tc>
          <w:tcPr>
            <w:tcW w:w="1229" w:type="dxa"/>
            <w:shd w:val="clear" w:color="auto" w:fill="auto"/>
          </w:tcPr>
          <w:p w:rsidR="008E5C65" w:rsidRPr="00442B03" w:rsidRDefault="008E5C65" w:rsidP="00A76CE7">
            <w:pPr>
              <w:pStyle w:val="BodyText"/>
              <w:spacing w:before="60" w:after="60"/>
              <w:jc w:val="right"/>
              <w:rPr>
                <w:sz w:val="20"/>
                <w:szCs w:val="20"/>
              </w:rPr>
            </w:pPr>
            <w:r w:rsidRPr="00442B03">
              <w:rPr>
                <w:sz w:val="20"/>
                <w:szCs w:val="20"/>
              </w:rPr>
              <w:t>0</w:t>
            </w:r>
          </w:p>
        </w:tc>
        <w:tc>
          <w:tcPr>
            <w:tcW w:w="1229" w:type="dxa"/>
            <w:shd w:val="clear" w:color="auto" w:fill="auto"/>
          </w:tcPr>
          <w:p w:rsidR="008E5C65" w:rsidRPr="00442B03" w:rsidRDefault="008E5C65" w:rsidP="00A76CE7">
            <w:pPr>
              <w:pStyle w:val="BodyText"/>
              <w:spacing w:before="60" w:after="60"/>
              <w:jc w:val="right"/>
              <w:rPr>
                <w:sz w:val="20"/>
                <w:szCs w:val="20"/>
              </w:rPr>
            </w:pPr>
            <w:r w:rsidRPr="00442B03">
              <w:rPr>
                <w:sz w:val="20"/>
                <w:szCs w:val="20"/>
              </w:rPr>
              <w:t>0</w:t>
            </w:r>
          </w:p>
        </w:tc>
        <w:tc>
          <w:tcPr>
            <w:tcW w:w="2976" w:type="dxa"/>
            <w:shd w:val="clear" w:color="auto" w:fill="auto"/>
          </w:tcPr>
          <w:p w:rsidR="008E5C65" w:rsidRPr="00442B03" w:rsidRDefault="008E5C65" w:rsidP="00A76CE7">
            <w:pPr>
              <w:pStyle w:val="BodyText"/>
              <w:spacing w:before="60" w:after="60"/>
              <w:rPr>
                <w:sz w:val="20"/>
                <w:szCs w:val="20"/>
              </w:rPr>
            </w:pPr>
            <w:r w:rsidRPr="00442B03">
              <w:rPr>
                <w:sz w:val="20"/>
                <w:szCs w:val="20"/>
              </w:rPr>
              <w:t>0</w:t>
            </w:r>
          </w:p>
        </w:tc>
        <w:tc>
          <w:tcPr>
            <w:tcW w:w="3860" w:type="dxa"/>
            <w:shd w:val="clear" w:color="auto" w:fill="auto"/>
          </w:tcPr>
          <w:p w:rsidR="008E5C65" w:rsidRPr="00442B03" w:rsidRDefault="008E5C65" w:rsidP="00A76CE7">
            <w:pPr>
              <w:pStyle w:val="BodyText"/>
              <w:spacing w:before="60" w:after="60"/>
              <w:rPr>
                <w:sz w:val="20"/>
                <w:szCs w:val="20"/>
              </w:rPr>
            </w:pPr>
            <w:r w:rsidRPr="00442B03">
              <w:rPr>
                <w:sz w:val="20"/>
                <w:szCs w:val="20"/>
              </w:rPr>
              <w:t>Achieved</w:t>
            </w:r>
          </w:p>
        </w:tc>
      </w:tr>
      <w:tr w:rsidR="008E5C65" w:rsidRPr="00442B03" w:rsidTr="00A76CE7">
        <w:trPr>
          <w:trHeight w:val="1439"/>
        </w:trPr>
        <w:tc>
          <w:tcPr>
            <w:tcW w:w="3652" w:type="dxa"/>
            <w:shd w:val="clear" w:color="auto" w:fill="auto"/>
          </w:tcPr>
          <w:p w:rsidR="008E5C65" w:rsidRPr="00442B03" w:rsidRDefault="008E5C65" w:rsidP="00A76CE7">
            <w:pPr>
              <w:pStyle w:val="BodyText"/>
              <w:spacing w:before="60" w:after="60"/>
              <w:rPr>
                <w:sz w:val="20"/>
                <w:szCs w:val="20"/>
              </w:rPr>
            </w:pPr>
            <w:r w:rsidRPr="00442B03">
              <w:rPr>
                <w:sz w:val="20"/>
                <w:szCs w:val="20"/>
              </w:rPr>
              <w:t>Lost time injury and/or disease incidence rate</w:t>
            </w:r>
          </w:p>
        </w:tc>
        <w:tc>
          <w:tcPr>
            <w:tcW w:w="1228" w:type="dxa"/>
            <w:shd w:val="clear" w:color="auto" w:fill="auto"/>
          </w:tcPr>
          <w:p w:rsidR="008E5C65" w:rsidRPr="00442B03" w:rsidRDefault="008E5C65" w:rsidP="00A76CE7">
            <w:pPr>
              <w:pStyle w:val="BodyText"/>
              <w:spacing w:before="60" w:after="60"/>
              <w:jc w:val="right"/>
              <w:rPr>
                <w:sz w:val="20"/>
                <w:szCs w:val="20"/>
              </w:rPr>
            </w:pPr>
            <w:r w:rsidRPr="00442B03">
              <w:rPr>
                <w:sz w:val="20"/>
                <w:szCs w:val="20"/>
              </w:rPr>
              <w:t>0.17</w:t>
            </w:r>
          </w:p>
        </w:tc>
        <w:tc>
          <w:tcPr>
            <w:tcW w:w="1229" w:type="dxa"/>
            <w:shd w:val="clear" w:color="auto" w:fill="auto"/>
          </w:tcPr>
          <w:p w:rsidR="008E5C65" w:rsidRPr="00442B03" w:rsidRDefault="008E5C65" w:rsidP="00A76CE7">
            <w:pPr>
              <w:pStyle w:val="BodyText"/>
              <w:spacing w:before="60" w:after="60"/>
              <w:jc w:val="right"/>
              <w:rPr>
                <w:sz w:val="20"/>
                <w:szCs w:val="20"/>
              </w:rPr>
            </w:pPr>
            <w:r w:rsidRPr="00442B03">
              <w:rPr>
                <w:sz w:val="20"/>
                <w:szCs w:val="20"/>
              </w:rPr>
              <w:t>0.16</w:t>
            </w:r>
          </w:p>
        </w:tc>
        <w:tc>
          <w:tcPr>
            <w:tcW w:w="1229" w:type="dxa"/>
            <w:shd w:val="clear" w:color="auto" w:fill="auto"/>
          </w:tcPr>
          <w:p w:rsidR="008E5C65" w:rsidRPr="00442B03" w:rsidRDefault="008E5C65" w:rsidP="00A76CE7">
            <w:pPr>
              <w:pStyle w:val="BodyText"/>
              <w:spacing w:before="60" w:after="60"/>
              <w:jc w:val="right"/>
              <w:rPr>
                <w:sz w:val="20"/>
                <w:szCs w:val="20"/>
              </w:rPr>
            </w:pPr>
            <w:r>
              <w:rPr>
                <w:sz w:val="20"/>
                <w:szCs w:val="20"/>
              </w:rPr>
              <w:t>0.28</w:t>
            </w:r>
          </w:p>
        </w:tc>
        <w:tc>
          <w:tcPr>
            <w:tcW w:w="2976" w:type="dxa"/>
            <w:shd w:val="clear" w:color="auto" w:fill="auto"/>
          </w:tcPr>
          <w:p w:rsidR="008E5C65" w:rsidRPr="00442B03" w:rsidRDefault="008E5C65" w:rsidP="00A76CE7">
            <w:pPr>
              <w:pStyle w:val="BodyText"/>
              <w:spacing w:before="60" w:after="60"/>
              <w:rPr>
                <w:sz w:val="20"/>
                <w:szCs w:val="20"/>
              </w:rPr>
            </w:pPr>
            <w:r w:rsidRPr="00442B03">
              <w:rPr>
                <w:sz w:val="20"/>
                <w:szCs w:val="20"/>
              </w:rPr>
              <w:t>At least 0 or 10% improvement on the previous two years.</w:t>
            </w:r>
          </w:p>
        </w:tc>
        <w:tc>
          <w:tcPr>
            <w:tcW w:w="3860" w:type="dxa"/>
            <w:shd w:val="clear" w:color="auto" w:fill="auto"/>
          </w:tcPr>
          <w:p w:rsidR="008E5C65" w:rsidRPr="00442B03" w:rsidRDefault="008E5C65" w:rsidP="00A76CE7">
            <w:pPr>
              <w:pStyle w:val="BodyText"/>
              <w:spacing w:before="60" w:after="60"/>
              <w:rPr>
                <w:sz w:val="20"/>
                <w:szCs w:val="20"/>
              </w:rPr>
            </w:pPr>
            <w:r w:rsidRPr="00E16107">
              <w:rPr>
                <w:sz w:val="20"/>
                <w:szCs w:val="20"/>
              </w:rPr>
              <w:t>There has been only one additional incident</w:t>
            </w:r>
            <w:r>
              <w:rPr>
                <w:sz w:val="20"/>
                <w:szCs w:val="20"/>
              </w:rPr>
              <w:t xml:space="preserve"> </w:t>
            </w:r>
            <w:r w:rsidRPr="00E16107">
              <w:rPr>
                <w:sz w:val="20"/>
                <w:szCs w:val="20"/>
              </w:rPr>
              <w:t>in comparison to last year. The significant</w:t>
            </w:r>
            <w:r>
              <w:rPr>
                <w:sz w:val="20"/>
                <w:szCs w:val="20"/>
              </w:rPr>
              <w:t xml:space="preserve"> </w:t>
            </w:r>
            <w:r w:rsidRPr="00E16107">
              <w:rPr>
                <w:sz w:val="20"/>
                <w:szCs w:val="20"/>
              </w:rPr>
              <w:t>rise in the lost time due to injury calculation</w:t>
            </w:r>
            <w:r>
              <w:rPr>
                <w:sz w:val="20"/>
                <w:szCs w:val="20"/>
              </w:rPr>
              <w:t xml:space="preserve"> </w:t>
            </w:r>
            <w:r w:rsidRPr="00E16107">
              <w:rPr>
                <w:sz w:val="20"/>
                <w:szCs w:val="20"/>
              </w:rPr>
              <w:t>is more reflective of the drop in the</w:t>
            </w:r>
            <w:r>
              <w:rPr>
                <w:sz w:val="20"/>
                <w:szCs w:val="20"/>
              </w:rPr>
              <w:t xml:space="preserve"> </w:t>
            </w:r>
            <w:r w:rsidRPr="00E16107">
              <w:rPr>
                <w:sz w:val="20"/>
                <w:szCs w:val="20"/>
              </w:rPr>
              <w:t>Department's full-time equivalent number.</w:t>
            </w:r>
          </w:p>
        </w:tc>
      </w:tr>
      <w:tr w:rsidR="008E5C65" w:rsidRPr="00442B03" w:rsidTr="00A76CE7">
        <w:trPr>
          <w:trHeight w:val="1249"/>
        </w:trPr>
        <w:tc>
          <w:tcPr>
            <w:tcW w:w="3652" w:type="dxa"/>
            <w:shd w:val="clear" w:color="auto" w:fill="auto"/>
          </w:tcPr>
          <w:p w:rsidR="008E5C65" w:rsidRPr="00442B03" w:rsidRDefault="008E5C65" w:rsidP="00A76CE7">
            <w:pPr>
              <w:pStyle w:val="BodyText"/>
              <w:spacing w:before="60" w:after="60"/>
              <w:rPr>
                <w:sz w:val="20"/>
                <w:szCs w:val="20"/>
              </w:rPr>
            </w:pPr>
            <w:r w:rsidRPr="00442B03">
              <w:rPr>
                <w:sz w:val="20"/>
                <w:szCs w:val="20"/>
              </w:rPr>
              <w:t>Lost time injury and/or disease severity rate</w:t>
            </w:r>
          </w:p>
        </w:tc>
        <w:tc>
          <w:tcPr>
            <w:tcW w:w="1228" w:type="dxa"/>
            <w:shd w:val="clear" w:color="auto" w:fill="auto"/>
          </w:tcPr>
          <w:p w:rsidR="008E5C65" w:rsidRPr="00442B03" w:rsidRDefault="008E5C65" w:rsidP="00A76CE7">
            <w:pPr>
              <w:pStyle w:val="BodyText"/>
              <w:spacing w:before="60" w:after="60"/>
              <w:jc w:val="right"/>
              <w:rPr>
                <w:sz w:val="20"/>
                <w:szCs w:val="20"/>
              </w:rPr>
            </w:pPr>
            <w:r w:rsidRPr="00442B03">
              <w:rPr>
                <w:sz w:val="20"/>
                <w:szCs w:val="20"/>
              </w:rPr>
              <w:t>0</w:t>
            </w:r>
          </w:p>
        </w:tc>
        <w:tc>
          <w:tcPr>
            <w:tcW w:w="1229" w:type="dxa"/>
            <w:shd w:val="clear" w:color="auto" w:fill="auto"/>
          </w:tcPr>
          <w:p w:rsidR="008E5C65" w:rsidRPr="00442B03" w:rsidRDefault="008E5C65" w:rsidP="00A76CE7">
            <w:pPr>
              <w:pStyle w:val="BodyText"/>
              <w:spacing w:before="60" w:after="60"/>
              <w:jc w:val="right"/>
              <w:rPr>
                <w:sz w:val="20"/>
                <w:szCs w:val="20"/>
              </w:rPr>
            </w:pPr>
            <w:r w:rsidRPr="00442B03">
              <w:rPr>
                <w:sz w:val="20"/>
                <w:szCs w:val="20"/>
              </w:rPr>
              <w:t>100%</w:t>
            </w:r>
          </w:p>
        </w:tc>
        <w:tc>
          <w:tcPr>
            <w:tcW w:w="1229" w:type="dxa"/>
            <w:shd w:val="clear" w:color="auto" w:fill="auto"/>
          </w:tcPr>
          <w:p w:rsidR="008E5C65" w:rsidRPr="00442B03" w:rsidRDefault="008E5C65" w:rsidP="00A76CE7">
            <w:pPr>
              <w:pStyle w:val="BodyText"/>
              <w:spacing w:before="60" w:after="60"/>
              <w:jc w:val="right"/>
              <w:rPr>
                <w:sz w:val="20"/>
                <w:szCs w:val="20"/>
              </w:rPr>
            </w:pPr>
            <w:r>
              <w:rPr>
                <w:sz w:val="20"/>
                <w:szCs w:val="20"/>
              </w:rPr>
              <w:t>33%</w:t>
            </w:r>
          </w:p>
        </w:tc>
        <w:tc>
          <w:tcPr>
            <w:tcW w:w="2976" w:type="dxa"/>
            <w:shd w:val="clear" w:color="auto" w:fill="auto"/>
          </w:tcPr>
          <w:p w:rsidR="008E5C65" w:rsidRPr="00442B03" w:rsidRDefault="008E5C65" w:rsidP="00A76CE7">
            <w:pPr>
              <w:pStyle w:val="BodyText"/>
              <w:spacing w:before="60" w:after="60"/>
              <w:rPr>
                <w:sz w:val="20"/>
                <w:szCs w:val="20"/>
              </w:rPr>
            </w:pPr>
            <w:r w:rsidRPr="00442B03">
              <w:rPr>
                <w:sz w:val="20"/>
                <w:szCs w:val="20"/>
              </w:rPr>
              <w:t>At least 0 or 10% improvement on the previous two years.</w:t>
            </w:r>
          </w:p>
        </w:tc>
        <w:tc>
          <w:tcPr>
            <w:tcW w:w="3860" w:type="dxa"/>
            <w:shd w:val="clear" w:color="auto" w:fill="auto"/>
          </w:tcPr>
          <w:p w:rsidR="008E5C65" w:rsidRPr="00442B03" w:rsidRDefault="008E5C65" w:rsidP="00A76CE7">
            <w:pPr>
              <w:pStyle w:val="BodyText"/>
              <w:spacing w:before="60" w:after="60"/>
              <w:rPr>
                <w:sz w:val="20"/>
                <w:szCs w:val="20"/>
              </w:rPr>
            </w:pPr>
            <w:r w:rsidRPr="00E16107">
              <w:rPr>
                <w:sz w:val="20"/>
                <w:szCs w:val="20"/>
              </w:rPr>
              <w:t>There has been a marked decrease in</w:t>
            </w:r>
            <w:r>
              <w:rPr>
                <w:sz w:val="20"/>
                <w:szCs w:val="20"/>
              </w:rPr>
              <w:t xml:space="preserve"> </w:t>
            </w:r>
            <w:r w:rsidRPr="00E16107">
              <w:rPr>
                <w:sz w:val="20"/>
                <w:szCs w:val="20"/>
              </w:rPr>
              <w:t>employee time lost over injury and/or</w:t>
            </w:r>
            <w:r>
              <w:rPr>
                <w:sz w:val="20"/>
                <w:szCs w:val="20"/>
              </w:rPr>
              <w:t xml:space="preserve"> </w:t>
            </w:r>
            <w:r w:rsidRPr="00E16107">
              <w:rPr>
                <w:sz w:val="20"/>
                <w:szCs w:val="20"/>
              </w:rPr>
              <w:t>disease. Early intervention in providing</w:t>
            </w:r>
            <w:r>
              <w:rPr>
                <w:sz w:val="20"/>
                <w:szCs w:val="20"/>
              </w:rPr>
              <w:t xml:space="preserve"> </w:t>
            </w:r>
            <w:r w:rsidRPr="00E16107">
              <w:rPr>
                <w:sz w:val="20"/>
                <w:szCs w:val="20"/>
              </w:rPr>
              <w:t>assistance to employees to return to work</w:t>
            </w:r>
            <w:r>
              <w:rPr>
                <w:sz w:val="20"/>
                <w:szCs w:val="20"/>
              </w:rPr>
              <w:t xml:space="preserve"> </w:t>
            </w:r>
            <w:r w:rsidRPr="00E16107">
              <w:rPr>
                <w:sz w:val="20"/>
                <w:szCs w:val="20"/>
              </w:rPr>
              <w:t>is a contributing factor.</w:t>
            </w:r>
          </w:p>
        </w:tc>
      </w:tr>
      <w:tr w:rsidR="008E5C65" w:rsidRPr="00442B03" w:rsidTr="00A76CE7">
        <w:trPr>
          <w:trHeight w:val="544"/>
        </w:trPr>
        <w:tc>
          <w:tcPr>
            <w:tcW w:w="3652" w:type="dxa"/>
            <w:shd w:val="clear" w:color="auto" w:fill="auto"/>
          </w:tcPr>
          <w:p w:rsidR="008E5C65" w:rsidRPr="00442B03" w:rsidRDefault="008E5C65" w:rsidP="00A76CE7">
            <w:pPr>
              <w:pStyle w:val="BodyText"/>
              <w:spacing w:before="60" w:after="60"/>
              <w:rPr>
                <w:sz w:val="20"/>
                <w:szCs w:val="20"/>
              </w:rPr>
            </w:pPr>
            <w:r w:rsidRPr="00442B03">
              <w:rPr>
                <w:sz w:val="20"/>
                <w:szCs w:val="20"/>
              </w:rPr>
              <w:t>Percentage of injured workers returned to work within 13 weeks</w:t>
            </w:r>
          </w:p>
        </w:tc>
        <w:tc>
          <w:tcPr>
            <w:tcW w:w="1228" w:type="dxa"/>
            <w:shd w:val="clear" w:color="auto" w:fill="auto"/>
          </w:tcPr>
          <w:p w:rsidR="008E5C65" w:rsidRPr="00442B03" w:rsidRDefault="008E5C65" w:rsidP="00A76CE7">
            <w:pPr>
              <w:pStyle w:val="BodyText"/>
              <w:spacing w:before="60" w:after="60"/>
              <w:jc w:val="right"/>
              <w:rPr>
                <w:sz w:val="20"/>
                <w:szCs w:val="20"/>
              </w:rPr>
            </w:pPr>
            <w:r w:rsidRPr="00442B03">
              <w:rPr>
                <w:sz w:val="20"/>
                <w:szCs w:val="20"/>
              </w:rPr>
              <w:t>100%</w:t>
            </w:r>
          </w:p>
        </w:tc>
        <w:tc>
          <w:tcPr>
            <w:tcW w:w="1229" w:type="dxa"/>
            <w:shd w:val="clear" w:color="auto" w:fill="auto"/>
          </w:tcPr>
          <w:p w:rsidR="008E5C65" w:rsidRPr="00442B03" w:rsidRDefault="008E5C65" w:rsidP="00A76CE7">
            <w:pPr>
              <w:pStyle w:val="BodyText"/>
              <w:spacing w:before="60" w:after="60"/>
              <w:jc w:val="right"/>
              <w:rPr>
                <w:sz w:val="20"/>
                <w:szCs w:val="20"/>
              </w:rPr>
            </w:pPr>
            <w:r w:rsidRPr="00442B03">
              <w:rPr>
                <w:sz w:val="20"/>
                <w:szCs w:val="20"/>
              </w:rPr>
              <w:t>50%</w:t>
            </w:r>
          </w:p>
        </w:tc>
        <w:tc>
          <w:tcPr>
            <w:tcW w:w="1229" w:type="dxa"/>
            <w:shd w:val="clear" w:color="auto" w:fill="auto"/>
          </w:tcPr>
          <w:p w:rsidR="008E5C65" w:rsidRPr="00442B03" w:rsidRDefault="008E5C65" w:rsidP="00A76CE7">
            <w:pPr>
              <w:pStyle w:val="BodyText"/>
              <w:spacing w:before="60" w:after="60"/>
              <w:jc w:val="right"/>
              <w:rPr>
                <w:sz w:val="20"/>
                <w:szCs w:val="20"/>
              </w:rPr>
            </w:pPr>
            <w:r>
              <w:rPr>
                <w:sz w:val="20"/>
                <w:szCs w:val="20"/>
              </w:rPr>
              <w:t>67%</w:t>
            </w:r>
          </w:p>
        </w:tc>
        <w:tc>
          <w:tcPr>
            <w:tcW w:w="2976" w:type="dxa"/>
            <w:shd w:val="clear" w:color="auto" w:fill="auto"/>
          </w:tcPr>
          <w:p w:rsidR="008E5C65" w:rsidRPr="00442B03" w:rsidRDefault="008E5C65" w:rsidP="00A76CE7">
            <w:pPr>
              <w:pStyle w:val="BodyText"/>
              <w:spacing w:before="60" w:after="60"/>
              <w:rPr>
                <w:sz w:val="20"/>
                <w:szCs w:val="20"/>
              </w:rPr>
            </w:pPr>
            <w:r w:rsidRPr="00442B03">
              <w:rPr>
                <w:sz w:val="20"/>
                <w:szCs w:val="20"/>
              </w:rPr>
              <w:t xml:space="preserve">Actual result </w:t>
            </w:r>
            <w:r>
              <w:rPr>
                <w:sz w:val="20"/>
                <w:szCs w:val="20"/>
              </w:rPr>
              <w:t>67%</w:t>
            </w:r>
          </w:p>
        </w:tc>
        <w:tc>
          <w:tcPr>
            <w:tcW w:w="3860" w:type="dxa"/>
            <w:shd w:val="clear" w:color="auto" w:fill="auto"/>
          </w:tcPr>
          <w:p w:rsidR="008E5C65" w:rsidRPr="00442B03" w:rsidRDefault="008E5C65" w:rsidP="00A76CE7">
            <w:pPr>
              <w:pStyle w:val="BodyText"/>
              <w:spacing w:before="60" w:after="60"/>
              <w:rPr>
                <w:sz w:val="20"/>
                <w:szCs w:val="20"/>
              </w:rPr>
            </w:pPr>
          </w:p>
        </w:tc>
      </w:tr>
      <w:tr w:rsidR="008E5C65" w:rsidRPr="00442B03" w:rsidTr="00A76CE7">
        <w:trPr>
          <w:trHeight w:val="794"/>
        </w:trPr>
        <w:tc>
          <w:tcPr>
            <w:tcW w:w="3652" w:type="dxa"/>
            <w:shd w:val="clear" w:color="auto" w:fill="auto"/>
          </w:tcPr>
          <w:p w:rsidR="008E5C65" w:rsidRPr="00442B03" w:rsidRDefault="008E5C65" w:rsidP="00A76CE7">
            <w:pPr>
              <w:pStyle w:val="BodyText"/>
              <w:spacing w:before="60" w:after="60"/>
              <w:rPr>
                <w:sz w:val="20"/>
                <w:szCs w:val="20"/>
              </w:rPr>
            </w:pPr>
            <w:r w:rsidRPr="00442B03">
              <w:rPr>
                <w:sz w:val="20"/>
                <w:szCs w:val="20"/>
              </w:rPr>
              <w:t>Percentage of injured workers returned to work within 26 weeks</w:t>
            </w:r>
          </w:p>
        </w:tc>
        <w:tc>
          <w:tcPr>
            <w:tcW w:w="1228" w:type="dxa"/>
            <w:shd w:val="clear" w:color="auto" w:fill="auto"/>
          </w:tcPr>
          <w:p w:rsidR="008E5C65" w:rsidRPr="00442B03" w:rsidRDefault="008E5C65" w:rsidP="00A76CE7">
            <w:pPr>
              <w:pStyle w:val="BodyText"/>
              <w:spacing w:before="60" w:after="60"/>
              <w:jc w:val="right"/>
              <w:rPr>
                <w:sz w:val="20"/>
                <w:szCs w:val="20"/>
              </w:rPr>
            </w:pPr>
            <w:r w:rsidRPr="00442B03">
              <w:rPr>
                <w:sz w:val="20"/>
                <w:szCs w:val="20"/>
              </w:rPr>
              <w:t>N/A</w:t>
            </w:r>
          </w:p>
        </w:tc>
        <w:tc>
          <w:tcPr>
            <w:tcW w:w="1229" w:type="dxa"/>
            <w:shd w:val="clear" w:color="auto" w:fill="auto"/>
          </w:tcPr>
          <w:p w:rsidR="008E5C65" w:rsidRPr="00442B03" w:rsidRDefault="008E5C65" w:rsidP="00A76CE7">
            <w:pPr>
              <w:pStyle w:val="BodyText"/>
              <w:spacing w:before="60" w:after="60"/>
              <w:jc w:val="right"/>
              <w:rPr>
                <w:sz w:val="20"/>
                <w:szCs w:val="20"/>
              </w:rPr>
            </w:pPr>
            <w:r w:rsidRPr="00442B03">
              <w:rPr>
                <w:sz w:val="20"/>
                <w:szCs w:val="20"/>
              </w:rPr>
              <w:t>100%</w:t>
            </w:r>
          </w:p>
        </w:tc>
        <w:tc>
          <w:tcPr>
            <w:tcW w:w="1229" w:type="dxa"/>
            <w:shd w:val="clear" w:color="auto" w:fill="auto"/>
          </w:tcPr>
          <w:p w:rsidR="008E5C65" w:rsidRPr="00442B03" w:rsidRDefault="008E5C65" w:rsidP="00A76CE7">
            <w:pPr>
              <w:pStyle w:val="BodyText"/>
              <w:spacing w:before="60" w:after="60"/>
              <w:jc w:val="right"/>
              <w:rPr>
                <w:sz w:val="20"/>
                <w:szCs w:val="20"/>
              </w:rPr>
            </w:pPr>
            <w:r>
              <w:rPr>
                <w:sz w:val="20"/>
                <w:szCs w:val="20"/>
              </w:rPr>
              <w:t>67%</w:t>
            </w:r>
          </w:p>
        </w:tc>
        <w:tc>
          <w:tcPr>
            <w:tcW w:w="2976" w:type="dxa"/>
            <w:shd w:val="clear" w:color="auto" w:fill="auto"/>
          </w:tcPr>
          <w:p w:rsidR="008E5C65" w:rsidRPr="00442B03" w:rsidRDefault="008E5C65" w:rsidP="00A76CE7">
            <w:pPr>
              <w:pStyle w:val="BodyText"/>
              <w:spacing w:before="60" w:after="60"/>
              <w:rPr>
                <w:sz w:val="20"/>
                <w:szCs w:val="20"/>
              </w:rPr>
            </w:pPr>
            <w:r w:rsidRPr="00442B03">
              <w:rPr>
                <w:sz w:val="20"/>
                <w:szCs w:val="20"/>
              </w:rPr>
              <w:t>Greater than or equal to 80%</w:t>
            </w:r>
          </w:p>
        </w:tc>
        <w:tc>
          <w:tcPr>
            <w:tcW w:w="3860" w:type="dxa"/>
            <w:shd w:val="clear" w:color="auto" w:fill="auto"/>
          </w:tcPr>
          <w:p w:rsidR="008E5C65" w:rsidRPr="00442B03" w:rsidRDefault="008E5C65" w:rsidP="00A76CE7">
            <w:pPr>
              <w:pStyle w:val="BodyText"/>
              <w:spacing w:before="60" w:after="60"/>
              <w:rPr>
                <w:sz w:val="20"/>
                <w:szCs w:val="20"/>
              </w:rPr>
            </w:pPr>
            <w:r w:rsidRPr="00E16107">
              <w:rPr>
                <w:sz w:val="20"/>
                <w:szCs w:val="20"/>
              </w:rPr>
              <w:t>All three employees have participated</w:t>
            </w:r>
            <w:r>
              <w:rPr>
                <w:sz w:val="20"/>
                <w:szCs w:val="20"/>
              </w:rPr>
              <w:t xml:space="preserve"> </w:t>
            </w:r>
            <w:r w:rsidRPr="00E16107">
              <w:rPr>
                <w:sz w:val="20"/>
                <w:szCs w:val="20"/>
              </w:rPr>
              <w:t>in return to work programs. Only one</w:t>
            </w:r>
            <w:r>
              <w:rPr>
                <w:sz w:val="20"/>
                <w:szCs w:val="20"/>
              </w:rPr>
              <w:t xml:space="preserve"> </w:t>
            </w:r>
            <w:r w:rsidRPr="00E16107">
              <w:rPr>
                <w:sz w:val="20"/>
                <w:szCs w:val="20"/>
              </w:rPr>
              <w:t>program is still ongoing.</w:t>
            </w:r>
          </w:p>
        </w:tc>
      </w:tr>
      <w:tr w:rsidR="008E5C65" w:rsidRPr="00442B03" w:rsidTr="00A76CE7">
        <w:trPr>
          <w:trHeight w:val="1327"/>
        </w:trPr>
        <w:tc>
          <w:tcPr>
            <w:tcW w:w="3652" w:type="dxa"/>
            <w:shd w:val="clear" w:color="auto" w:fill="auto"/>
          </w:tcPr>
          <w:p w:rsidR="008E5C65" w:rsidRPr="00442B03" w:rsidRDefault="008E5C65" w:rsidP="00A76CE7">
            <w:pPr>
              <w:pStyle w:val="BodyText"/>
              <w:spacing w:before="60" w:after="60"/>
              <w:rPr>
                <w:sz w:val="20"/>
                <w:szCs w:val="20"/>
              </w:rPr>
            </w:pPr>
            <w:r w:rsidRPr="00442B03">
              <w:rPr>
                <w:sz w:val="20"/>
                <w:szCs w:val="20"/>
              </w:rPr>
              <w:t>Percentage of managers trained in occupational safety, health and injury management responsibilities</w:t>
            </w:r>
          </w:p>
        </w:tc>
        <w:tc>
          <w:tcPr>
            <w:tcW w:w="1228" w:type="dxa"/>
            <w:shd w:val="clear" w:color="auto" w:fill="auto"/>
          </w:tcPr>
          <w:p w:rsidR="008E5C65" w:rsidRPr="00442B03" w:rsidRDefault="008E5C65" w:rsidP="00A76CE7">
            <w:pPr>
              <w:pStyle w:val="BodyText"/>
              <w:spacing w:before="60" w:after="60"/>
              <w:jc w:val="right"/>
              <w:rPr>
                <w:sz w:val="20"/>
                <w:szCs w:val="20"/>
              </w:rPr>
            </w:pPr>
            <w:r w:rsidRPr="00442B03">
              <w:rPr>
                <w:sz w:val="20"/>
                <w:szCs w:val="20"/>
              </w:rPr>
              <w:t>29%</w:t>
            </w:r>
          </w:p>
        </w:tc>
        <w:tc>
          <w:tcPr>
            <w:tcW w:w="1229" w:type="dxa"/>
            <w:shd w:val="clear" w:color="auto" w:fill="auto"/>
          </w:tcPr>
          <w:p w:rsidR="008E5C65" w:rsidRPr="00442B03" w:rsidRDefault="008E5C65" w:rsidP="00A76CE7">
            <w:pPr>
              <w:pStyle w:val="BodyText"/>
              <w:spacing w:before="60" w:after="60"/>
              <w:jc w:val="right"/>
              <w:rPr>
                <w:sz w:val="20"/>
                <w:szCs w:val="20"/>
              </w:rPr>
            </w:pPr>
            <w:r w:rsidRPr="00442B03">
              <w:rPr>
                <w:sz w:val="20"/>
                <w:szCs w:val="20"/>
              </w:rPr>
              <w:t>39%</w:t>
            </w:r>
          </w:p>
        </w:tc>
        <w:tc>
          <w:tcPr>
            <w:tcW w:w="1229" w:type="dxa"/>
            <w:shd w:val="clear" w:color="auto" w:fill="auto"/>
          </w:tcPr>
          <w:p w:rsidR="008E5C65" w:rsidRPr="00442B03" w:rsidRDefault="008E5C65" w:rsidP="00A76CE7">
            <w:pPr>
              <w:pStyle w:val="BodyText"/>
              <w:spacing w:before="60" w:after="60"/>
              <w:jc w:val="right"/>
              <w:rPr>
                <w:sz w:val="20"/>
                <w:szCs w:val="20"/>
              </w:rPr>
            </w:pPr>
            <w:r>
              <w:rPr>
                <w:sz w:val="20"/>
                <w:szCs w:val="20"/>
              </w:rPr>
              <w:t>64%</w:t>
            </w:r>
          </w:p>
        </w:tc>
        <w:tc>
          <w:tcPr>
            <w:tcW w:w="2976" w:type="dxa"/>
            <w:shd w:val="clear" w:color="auto" w:fill="auto"/>
          </w:tcPr>
          <w:p w:rsidR="008E5C65" w:rsidRPr="00442B03" w:rsidRDefault="008E5C65" w:rsidP="00A76CE7">
            <w:pPr>
              <w:pStyle w:val="BodyText"/>
              <w:spacing w:before="60" w:after="60"/>
              <w:rPr>
                <w:sz w:val="20"/>
                <w:szCs w:val="20"/>
              </w:rPr>
            </w:pPr>
            <w:r w:rsidRPr="00442B03">
              <w:rPr>
                <w:sz w:val="20"/>
                <w:szCs w:val="20"/>
              </w:rPr>
              <w:t>Greater than or equal to 80%</w:t>
            </w:r>
          </w:p>
        </w:tc>
        <w:tc>
          <w:tcPr>
            <w:tcW w:w="3860" w:type="dxa"/>
            <w:shd w:val="clear" w:color="auto" w:fill="auto"/>
          </w:tcPr>
          <w:p w:rsidR="008E5C65" w:rsidRPr="00442B03" w:rsidRDefault="008E5C65" w:rsidP="00A76CE7">
            <w:pPr>
              <w:pStyle w:val="BodyText"/>
              <w:spacing w:before="60" w:after="60"/>
              <w:rPr>
                <w:sz w:val="20"/>
                <w:szCs w:val="20"/>
              </w:rPr>
            </w:pPr>
            <w:r w:rsidRPr="00E16107">
              <w:rPr>
                <w:sz w:val="20"/>
                <w:szCs w:val="20"/>
              </w:rPr>
              <w:t>The Department has an ongoing program</w:t>
            </w:r>
            <w:r>
              <w:rPr>
                <w:sz w:val="20"/>
                <w:szCs w:val="20"/>
              </w:rPr>
              <w:t xml:space="preserve"> </w:t>
            </w:r>
            <w:r w:rsidRPr="00E16107">
              <w:rPr>
                <w:sz w:val="20"/>
                <w:szCs w:val="20"/>
              </w:rPr>
              <w:t>in place to ensure managers and</w:t>
            </w:r>
            <w:r>
              <w:rPr>
                <w:sz w:val="20"/>
                <w:szCs w:val="20"/>
              </w:rPr>
              <w:t xml:space="preserve"> </w:t>
            </w:r>
            <w:r w:rsidRPr="00E16107">
              <w:rPr>
                <w:sz w:val="20"/>
                <w:szCs w:val="20"/>
              </w:rPr>
              <w:t>supervisors are up-to-date with relevant</w:t>
            </w:r>
            <w:r>
              <w:rPr>
                <w:sz w:val="20"/>
                <w:szCs w:val="20"/>
              </w:rPr>
              <w:t xml:space="preserve"> </w:t>
            </w:r>
            <w:r w:rsidRPr="00E16107">
              <w:rPr>
                <w:sz w:val="20"/>
                <w:szCs w:val="20"/>
              </w:rPr>
              <w:t>occupational safety, health and injury</w:t>
            </w:r>
            <w:r>
              <w:rPr>
                <w:sz w:val="20"/>
                <w:szCs w:val="20"/>
              </w:rPr>
              <w:t xml:space="preserve"> </w:t>
            </w:r>
            <w:r w:rsidRPr="00E16107">
              <w:rPr>
                <w:sz w:val="20"/>
                <w:szCs w:val="20"/>
              </w:rPr>
              <w:t>management responsibilities.</w:t>
            </w:r>
          </w:p>
        </w:tc>
      </w:tr>
    </w:tbl>
    <w:p w:rsidR="008E5C65" w:rsidRDefault="008E5C65" w:rsidP="008E5C65">
      <w:pPr>
        <w:pStyle w:val="BodyText"/>
      </w:pPr>
    </w:p>
    <w:p w:rsidR="008E5C65" w:rsidRDefault="008E5C65" w:rsidP="008E5C65">
      <w:pPr>
        <w:pStyle w:val="BodyText"/>
        <w:sectPr w:rsidR="008E5C65" w:rsidSect="003D71A0">
          <w:pgSz w:w="16838" w:h="11906" w:orient="landscape" w:code="9"/>
          <w:pgMar w:top="1440" w:right="1440" w:bottom="1440" w:left="1440" w:header="0" w:footer="709" w:gutter="0"/>
          <w:cols w:space="708"/>
          <w:docGrid w:linePitch="360"/>
        </w:sectPr>
      </w:pPr>
    </w:p>
    <w:p w:rsidR="008E5C65" w:rsidRPr="007762C5" w:rsidRDefault="008E5C65" w:rsidP="008E5C65"/>
    <w:p w:rsidR="008E5C65" w:rsidRPr="00EC67A7" w:rsidRDefault="008E5C65" w:rsidP="008E5C65">
      <w:pPr>
        <w:pStyle w:val="Heading1"/>
      </w:pPr>
      <w:r w:rsidRPr="007762C5">
        <w:t>APPENDIX</w:t>
      </w:r>
      <w:r w:rsidRPr="00EC67A7">
        <w:t xml:space="preserve"> </w:t>
      </w:r>
    </w:p>
    <w:p w:rsidR="008E5C65" w:rsidRDefault="008E5C65" w:rsidP="008E5C65">
      <w:pPr>
        <w:pStyle w:val="BodyText"/>
        <w:numPr>
          <w:ilvl w:val="0"/>
          <w:numId w:val="1"/>
        </w:numPr>
        <w:ind w:left="1134"/>
        <w:rPr>
          <w:spacing w:val="1"/>
          <w:sz w:val="36"/>
          <w:szCs w:val="36"/>
        </w:rPr>
      </w:pPr>
      <w:r w:rsidRPr="007762C5">
        <w:rPr>
          <w:spacing w:val="1"/>
          <w:sz w:val="36"/>
          <w:szCs w:val="36"/>
        </w:rPr>
        <w:t>Legislation administered</w:t>
      </w:r>
    </w:p>
    <w:p w:rsidR="008E5C65" w:rsidRDefault="008E5C65" w:rsidP="008E5C65">
      <w:pPr>
        <w:pStyle w:val="BodyText"/>
        <w:numPr>
          <w:ilvl w:val="0"/>
          <w:numId w:val="1"/>
        </w:numPr>
        <w:ind w:left="1134"/>
        <w:rPr>
          <w:spacing w:val="1"/>
          <w:sz w:val="36"/>
          <w:szCs w:val="36"/>
        </w:rPr>
      </w:pPr>
      <w:r>
        <w:rPr>
          <w:spacing w:val="1"/>
          <w:sz w:val="36"/>
          <w:szCs w:val="36"/>
        </w:rPr>
        <w:t>Contacts</w:t>
      </w:r>
    </w:p>
    <w:p w:rsidR="008E5C65" w:rsidRDefault="008E5C65" w:rsidP="008E5C65">
      <w:pPr>
        <w:pStyle w:val="BodyText"/>
        <w:rPr>
          <w:spacing w:val="1"/>
          <w:sz w:val="36"/>
          <w:szCs w:val="36"/>
        </w:rPr>
      </w:pPr>
    </w:p>
    <w:p w:rsidR="008E5C65" w:rsidRPr="007762C5" w:rsidRDefault="008E5C65" w:rsidP="008E5C65">
      <w:pPr>
        <w:pStyle w:val="Heading2"/>
      </w:pPr>
      <w:r>
        <w:br w:type="page"/>
      </w:r>
      <w:r w:rsidRPr="007762C5">
        <w:t>Legislation administered</w:t>
      </w:r>
    </w:p>
    <w:p w:rsidR="008E5C65" w:rsidRPr="007762C5" w:rsidRDefault="008E5C65" w:rsidP="008E5C65">
      <w:pPr>
        <w:pStyle w:val="Heading3"/>
      </w:pPr>
      <w:r w:rsidRPr="007762C5">
        <w:t>Minister for Finance</w:t>
      </w:r>
    </w:p>
    <w:p w:rsidR="008E5C65" w:rsidRPr="007762C5" w:rsidRDefault="008E5C65" w:rsidP="008E5C65">
      <w:pPr>
        <w:pStyle w:val="Heading4"/>
      </w:pPr>
      <w:r w:rsidRPr="007762C5">
        <w:t>State Revenue</w:t>
      </w:r>
    </w:p>
    <w:p w:rsidR="008E5C65" w:rsidRPr="00C15957" w:rsidRDefault="008E5C65" w:rsidP="008E5C65">
      <w:pPr>
        <w:pStyle w:val="BodyText"/>
        <w:rPr>
          <w:i/>
        </w:rPr>
      </w:pPr>
      <w:r w:rsidRPr="00C15957">
        <w:rPr>
          <w:i/>
        </w:rPr>
        <w:t>Commonwealth Places (Mirror Taxes Administration) Act 1999</w:t>
      </w:r>
    </w:p>
    <w:p w:rsidR="008E5C65" w:rsidRPr="00C15957" w:rsidRDefault="008E5C65" w:rsidP="008E5C65">
      <w:pPr>
        <w:pStyle w:val="BodyText"/>
        <w:rPr>
          <w:i/>
        </w:rPr>
      </w:pPr>
      <w:r w:rsidRPr="00C15957">
        <w:rPr>
          <w:i/>
        </w:rPr>
        <w:t>Duties Act 2008</w:t>
      </w:r>
    </w:p>
    <w:p w:rsidR="008E5C65" w:rsidRPr="00C15957" w:rsidRDefault="008E5C65" w:rsidP="008E5C65">
      <w:pPr>
        <w:pStyle w:val="BodyText"/>
        <w:rPr>
          <w:i/>
        </w:rPr>
      </w:pPr>
      <w:r w:rsidRPr="00C15957">
        <w:rPr>
          <w:i/>
        </w:rPr>
        <w:t>First Home Owner Grant Act 2000</w:t>
      </w:r>
    </w:p>
    <w:p w:rsidR="008E5C65" w:rsidRPr="00C15957" w:rsidRDefault="008E5C65" w:rsidP="008E5C65">
      <w:pPr>
        <w:pStyle w:val="BodyText"/>
        <w:rPr>
          <w:i/>
        </w:rPr>
      </w:pPr>
      <w:r w:rsidRPr="00C15957">
        <w:rPr>
          <w:i/>
        </w:rPr>
        <w:t>First Home Owner Grant Amendment Act 2003</w:t>
      </w:r>
    </w:p>
    <w:p w:rsidR="008E5C65" w:rsidRPr="00C15957" w:rsidRDefault="008E5C65" w:rsidP="008E5C65">
      <w:pPr>
        <w:pStyle w:val="BodyText"/>
        <w:rPr>
          <w:i/>
        </w:rPr>
      </w:pPr>
      <w:r w:rsidRPr="00C15957">
        <w:rPr>
          <w:i/>
        </w:rPr>
        <w:t>Land Tax Act 2002</w:t>
      </w:r>
    </w:p>
    <w:p w:rsidR="008E5C65" w:rsidRPr="00C15957" w:rsidRDefault="008E5C65" w:rsidP="008E5C65">
      <w:pPr>
        <w:pStyle w:val="BodyText"/>
        <w:rPr>
          <w:i/>
        </w:rPr>
      </w:pPr>
      <w:r w:rsidRPr="00C15957">
        <w:rPr>
          <w:i/>
        </w:rPr>
        <w:t>Land Tax Assessment Act 2002</w:t>
      </w:r>
    </w:p>
    <w:p w:rsidR="008E5C65" w:rsidRPr="00C15957" w:rsidRDefault="008E5C65" w:rsidP="008E5C65">
      <w:pPr>
        <w:pStyle w:val="BodyText"/>
        <w:rPr>
          <w:i/>
        </w:rPr>
      </w:pPr>
      <w:r w:rsidRPr="00C15957">
        <w:rPr>
          <w:i/>
        </w:rPr>
        <w:t>Pay-roll Tax Act 2002</w:t>
      </w:r>
    </w:p>
    <w:p w:rsidR="008E5C65" w:rsidRPr="00C15957" w:rsidRDefault="008E5C65" w:rsidP="008E5C65">
      <w:pPr>
        <w:pStyle w:val="BodyText"/>
        <w:rPr>
          <w:i/>
        </w:rPr>
      </w:pPr>
      <w:r w:rsidRPr="00C15957">
        <w:rPr>
          <w:i/>
        </w:rPr>
        <w:t>Pay-roll Tax Assessment Act 2002</w:t>
      </w:r>
    </w:p>
    <w:p w:rsidR="008E5C65" w:rsidRPr="00C15957" w:rsidRDefault="008E5C65" w:rsidP="008E5C65">
      <w:pPr>
        <w:pStyle w:val="BodyText"/>
        <w:rPr>
          <w:i/>
        </w:rPr>
      </w:pPr>
      <w:r w:rsidRPr="00C15957">
        <w:rPr>
          <w:i/>
        </w:rPr>
        <w:t>Pay-roll Tax (Indigenous Wages) Rebate Act 2012</w:t>
      </w:r>
    </w:p>
    <w:p w:rsidR="008E5C65" w:rsidRPr="00C15957" w:rsidRDefault="008E5C65" w:rsidP="008E5C65">
      <w:pPr>
        <w:pStyle w:val="BodyText"/>
        <w:rPr>
          <w:i/>
        </w:rPr>
      </w:pPr>
      <w:r w:rsidRPr="00C15957">
        <w:rPr>
          <w:i/>
        </w:rPr>
        <w:t>Pay-roll Tax Rebate Act 2010</w:t>
      </w:r>
    </w:p>
    <w:p w:rsidR="008E5C65" w:rsidRPr="00C15957" w:rsidRDefault="008E5C65" w:rsidP="008E5C65">
      <w:pPr>
        <w:pStyle w:val="BodyText"/>
        <w:rPr>
          <w:i/>
        </w:rPr>
      </w:pPr>
      <w:r w:rsidRPr="00C15957">
        <w:rPr>
          <w:i/>
        </w:rPr>
        <w:t>Pay-roll Tax Rebate Act 2012</w:t>
      </w:r>
    </w:p>
    <w:p w:rsidR="008E5C65" w:rsidRPr="00C15957" w:rsidRDefault="008E5C65" w:rsidP="008E5C65">
      <w:pPr>
        <w:pStyle w:val="BodyText"/>
        <w:rPr>
          <w:i/>
        </w:rPr>
      </w:pPr>
      <w:r w:rsidRPr="00C15957">
        <w:rPr>
          <w:i/>
        </w:rPr>
        <w:t>Rates and Charges (Rebates and Deferments) Act 1992</w:t>
      </w:r>
    </w:p>
    <w:p w:rsidR="008E5C65" w:rsidRPr="00C15957" w:rsidRDefault="008E5C65" w:rsidP="008E5C65">
      <w:pPr>
        <w:pStyle w:val="BodyText"/>
        <w:rPr>
          <w:i/>
        </w:rPr>
      </w:pPr>
      <w:r w:rsidRPr="00C15957">
        <w:rPr>
          <w:i/>
        </w:rPr>
        <w:t>Stamp Act 1921</w:t>
      </w:r>
    </w:p>
    <w:p w:rsidR="008E5C65" w:rsidRPr="00C15957" w:rsidRDefault="008E5C65" w:rsidP="008E5C65">
      <w:pPr>
        <w:pStyle w:val="BodyText"/>
        <w:rPr>
          <w:i/>
        </w:rPr>
      </w:pPr>
      <w:r w:rsidRPr="00C15957">
        <w:rPr>
          <w:i/>
        </w:rPr>
        <w:t>Stamp Amendment (Assessment) Act 2005</w:t>
      </w:r>
    </w:p>
    <w:p w:rsidR="008E5C65" w:rsidRPr="00C15957" w:rsidRDefault="008E5C65" w:rsidP="008E5C65">
      <w:pPr>
        <w:pStyle w:val="BodyText"/>
        <w:rPr>
          <w:i/>
        </w:rPr>
      </w:pPr>
      <w:r w:rsidRPr="00C15957">
        <w:rPr>
          <w:i/>
        </w:rPr>
        <w:t>Stamp Amendment (Budget) Act 2002</w:t>
      </w:r>
    </w:p>
    <w:p w:rsidR="008E5C65" w:rsidRPr="00C15957" w:rsidRDefault="008E5C65" w:rsidP="008E5C65">
      <w:pPr>
        <w:pStyle w:val="BodyText"/>
        <w:rPr>
          <w:i/>
        </w:rPr>
      </w:pPr>
      <w:r w:rsidRPr="00C15957">
        <w:rPr>
          <w:i/>
        </w:rPr>
        <w:t>Taxation Administration Act 2003</w:t>
      </w:r>
    </w:p>
    <w:p w:rsidR="008E5C65" w:rsidRPr="00C15957" w:rsidRDefault="008E5C65" w:rsidP="008E5C65">
      <w:pPr>
        <w:pStyle w:val="BodyText"/>
        <w:rPr>
          <w:i/>
        </w:rPr>
      </w:pPr>
      <w:r w:rsidRPr="00C15957">
        <w:rPr>
          <w:i/>
        </w:rPr>
        <w:t>Taxation Administration (Consequential Provisions) Act 2002</w:t>
      </w:r>
    </w:p>
    <w:p w:rsidR="008E5C65" w:rsidRDefault="008E5C65" w:rsidP="008E5C65">
      <w:pPr>
        <w:pStyle w:val="Heading4"/>
      </w:pPr>
      <w:r w:rsidRPr="007762C5">
        <w:t>Government Procurement</w:t>
      </w:r>
      <w:r>
        <w:t xml:space="preserve"> </w:t>
      </w:r>
    </w:p>
    <w:p w:rsidR="008E5C65" w:rsidRPr="00C15957" w:rsidRDefault="008E5C65" w:rsidP="008E5C65">
      <w:pPr>
        <w:pStyle w:val="BodyText"/>
        <w:rPr>
          <w:i/>
        </w:rPr>
      </w:pPr>
      <w:r w:rsidRPr="00C15957">
        <w:rPr>
          <w:i/>
        </w:rPr>
        <w:t>State Supply Commission Act 1991</w:t>
      </w:r>
    </w:p>
    <w:p w:rsidR="008E5C65" w:rsidRPr="007762C5" w:rsidRDefault="008E5C65" w:rsidP="008E5C65">
      <w:pPr>
        <w:pStyle w:val="Heading4"/>
      </w:pPr>
      <w:r w:rsidRPr="007762C5">
        <w:t>Building Management and Works</w:t>
      </w:r>
    </w:p>
    <w:p w:rsidR="008E5C65" w:rsidRPr="007762C5" w:rsidRDefault="008E5C65" w:rsidP="008E5C65">
      <w:pPr>
        <w:pStyle w:val="BodyText"/>
      </w:pPr>
      <w:r w:rsidRPr="00C15957">
        <w:rPr>
          <w:i/>
        </w:rPr>
        <w:t>Public Works Act 1902</w:t>
      </w:r>
      <w:r>
        <w:t xml:space="preserve"> (all parts other than Part 1A)</w:t>
      </w:r>
    </w:p>
    <w:p w:rsidR="008E5C65" w:rsidRPr="00C15957" w:rsidRDefault="008E5C65" w:rsidP="008E5C65">
      <w:pPr>
        <w:pStyle w:val="BodyText"/>
        <w:rPr>
          <w:i/>
        </w:rPr>
      </w:pPr>
      <w:r w:rsidRPr="00C15957">
        <w:rPr>
          <w:i/>
        </w:rPr>
        <w:t>Sunset Reserve Transformation Act 2014</w:t>
      </w:r>
    </w:p>
    <w:p w:rsidR="008E5C65" w:rsidRPr="007762C5" w:rsidRDefault="008E5C65" w:rsidP="008E5C65">
      <w:pPr>
        <w:pStyle w:val="Heading3"/>
      </w:pPr>
      <w:r w:rsidRPr="007762C5">
        <w:t>Minister for Energy</w:t>
      </w:r>
    </w:p>
    <w:p w:rsidR="008E5C65" w:rsidRPr="007762C5" w:rsidRDefault="008E5C65" w:rsidP="008E5C65">
      <w:pPr>
        <w:pStyle w:val="Heading4"/>
      </w:pPr>
      <w:r w:rsidRPr="007762C5">
        <w:t>Public Utilities Office</w:t>
      </w:r>
    </w:p>
    <w:p w:rsidR="008E5C65" w:rsidRPr="00C15957" w:rsidRDefault="008E5C65" w:rsidP="008E5C65">
      <w:pPr>
        <w:pStyle w:val="BodyText"/>
        <w:rPr>
          <w:i/>
        </w:rPr>
      </w:pPr>
      <w:r w:rsidRPr="00C15957">
        <w:rPr>
          <w:i/>
        </w:rPr>
        <w:t>Dampier to Bunbury Pipeline Act 1997</w:t>
      </w:r>
    </w:p>
    <w:p w:rsidR="008E5C65" w:rsidRPr="00C15957" w:rsidRDefault="008E5C65" w:rsidP="008E5C65">
      <w:pPr>
        <w:pStyle w:val="BodyText"/>
        <w:rPr>
          <w:i/>
        </w:rPr>
      </w:pPr>
      <w:r w:rsidRPr="00C15957">
        <w:rPr>
          <w:i/>
        </w:rPr>
        <w:t>Electricity Corporations Act 2005</w:t>
      </w:r>
    </w:p>
    <w:p w:rsidR="008E5C65" w:rsidRPr="007762C5" w:rsidRDefault="008E5C65" w:rsidP="008E5C65">
      <w:pPr>
        <w:pStyle w:val="BodyText"/>
      </w:pPr>
      <w:r w:rsidRPr="00C15957">
        <w:rPr>
          <w:i/>
        </w:rPr>
        <w:t xml:space="preserve">Electricity Industry Act 2004 </w:t>
      </w:r>
      <w:r w:rsidRPr="007762C5">
        <w:t>(all parts other than</w:t>
      </w:r>
      <w:r>
        <w:t xml:space="preserve"> </w:t>
      </w:r>
      <w:r w:rsidRPr="007762C5">
        <w:t>Part 9A)</w:t>
      </w:r>
    </w:p>
    <w:p w:rsidR="008E5C65" w:rsidRPr="00C15957" w:rsidRDefault="008E5C65" w:rsidP="008E5C65">
      <w:pPr>
        <w:pStyle w:val="BodyText"/>
        <w:rPr>
          <w:i/>
        </w:rPr>
      </w:pPr>
      <w:r w:rsidRPr="00C15957">
        <w:rPr>
          <w:i/>
        </w:rPr>
        <w:t>Energy Arbitration and Review Act 1998</w:t>
      </w:r>
    </w:p>
    <w:p w:rsidR="008E5C65" w:rsidRPr="007762C5" w:rsidRDefault="008E5C65" w:rsidP="008E5C65">
      <w:pPr>
        <w:pStyle w:val="BodyText"/>
      </w:pPr>
      <w:r w:rsidRPr="00C15957">
        <w:rPr>
          <w:i/>
        </w:rPr>
        <w:t xml:space="preserve">Energy Coordination Act 1994 </w:t>
      </w:r>
      <w:r w:rsidRPr="007762C5">
        <w:t>(Act other than</w:t>
      </w:r>
      <w:r>
        <w:t xml:space="preserve"> </w:t>
      </w:r>
      <w:r w:rsidRPr="007762C5">
        <w:t>Parts 2 and 3)</w:t>
      </w:r>
    </w:p>
    <w:p w:rsidR="008E5C65" w:rsidRPr="00C15957" w:rsidRDefault="008E5C65" w:rsidP="008E5C65">
      <w:pPr>
        <w:pStyle w:val="BodyText"/>
        <w:rPr>
          <w:i/>
        </w:rPr>
      </w:pPr>
      <w:r w:rsidRPr="00C15957">
        <w:rPr>
          <w:i/>
        </w:rPr>
        <w:t>Energy Corporations (Transitional and Consequential Provisions) Act 1994</w:t>
      </w:r>
    </w:p>
    <w:p w:rsidR="008E5C65" w:rsidRPr="00C15957" w:rsidRDefault="008E5C65" w:rsidP="008E5C65">
      <w:pPr>
        <w:pStyle w:val="BodyText"/>
        <w:rPr>
          <w:i/>
        </w:rPr>
      </w:pPr>
      <w:r w:rsidRPr="00C15957">
        <w:rPr>
          <w:i/>
        </w:rPr>
        <w:t>Energy Operators (Powers) Act 1979</w:t>
      </w:r>
    </w:p>
    <w:p w:rsidR="008E5C65" w:rsidRPr="00C15957" w:rsidRDefault="008E5C65" w:rsidP="008E5C65">
      <w:pPr>
        <w:pStyle w:val="BodyText"/>
        <w:rPr>
          <w:i/>
        </w:rPr>
      </w:pPr>
      <w:r w:rsidRPr="00C15957">
        <w:rPr>
          <w:i/>
        </w:rPr>
        <w:t>Electricity Transmission and Distribution Systems (Access) Act 1994</w:t>
      </w:r>
    </w:p>
    <w:p w:rsidR="008E5C65" w:rsidRPr="00C15957" w:rsidRDefault="008E5C65" w:rsidP="008E5C65">
      <w:pPr>
        <w:pStyle w:val="BodyText"/>
        <w:rPr>
          <w:i/>
        </w:rPr>
      </w:pPr>
      <w:r w:rsidRPr="00C15957">
        <w:rPr>
          <w:i/>
        </w:rPr>
        <w:t>Fuel, Energy and Power Resources Act 1972</w:t>
      </w:r>
    </w:p>
    <w:p w:rsidR="008E5C65" w:rsidRPr="00C15957" w:rsidRDefault="008E5C65" w:rsidP="008E5C65">
      <w:pPr>
        <w:pStyle w:val="BodyText"/>
        <w:rPr>
          <w:i/>
        </w:rPr>
      </w:pPr>
      <w:r w:rsidRPr="00C15957">
        <w:rPr>
          <w:i/>
        </w:rPr>
        <w:t>Gas Corporation (Business Disposal) Act 1999</w:t>
      </w:r>
    </w:p>
    <w:p w:rsidR="008E5C65" w:rsidRPr="00C15957" w:rsidRDefault="008E5C65" w:rsidP="008E5C65">
      <w:pPr>
        <w:pStyle w:val="BodyText"/>
        <w:rPr>
          <w:i/>
        </w:rPr>
      </w:pPr>
      <w:r w:rsidRPr="00C15957">
        <w:rPr>
          <w:i/>
        </w:rPr>
        <w:t>Gas Services Information Act 2012</w:t>
      </w:r>
    </w:p>
    <w:p w:rsidR="008E5C65" w:rsidRPr="00C15957" w:rsidRDefault="008E5C65" w:rsidP="008E5C65">
      <w:pPr>
        <w:pStyle w:val="BodyText"/>
        <w:rPr>
          <w:i/>
        </w:rPr>
      </w:pPr>
      <w:r w:rsidRPr="00C15957">
        <w:rPr>
          <w:i/>
        </w:rPr>
        <w:t>Gas Supply (Gas Quality Specifications) Act 2009 (Act other than Part 5, Division 2)</w:t>
      </w:r>
    </w:p>
    <w:p w:rsidR="008E5C65" w:rsidRPr="00C15957" w:rsidRDefault="008E5C65" w:rsidP="008E5C65">
      <w:pPr>
        <w:pStyle w:val="BodyText"/>
        <w:rPr>
          <w:i/>
        </w:rPr>
      </w:pPr>
      <w:r w:rsidRPr="00C15957">
        <w:rPr>
          <w:i/>
        </w:rPr>
        <w:t>National Gas Access (WA) Act 2009</w:t>
      </w:r>
    </w:p>
    <w:p w:rsidR="008E5C65" w:rsidRPr="00C15957" w:rsidRDefault="008E5C65" w:rsidP="008E5C65">
      <w:pPr>
        <w:pStyle w:val="BodyText"/>
        <w:rPr>
          <w:i/>
        </w:rPr>
      </w:pPr>
      <w:r w:rsidRPr="00C15957">
        <w:rPr>
          <w:i/>
        </w:rPr>
        <w:t>State Energy Commission (Validation) Act 1978</w:t>
      </w:r>
    </w:p>
    <w:p w:rsidR="008E5C65" w:rsidRDefault="008E5C65" w:rsidP="008E5C65">
      <w:pPr>
        <w:pStyle w:val="Heading2"/>
        <w:rPr>
          <w:color w:val="000000"/>
        </w:rPr>
      </w:pPr>
      <w:r>
        <w:br w:type="page"/>
      </w:r>
      <w:bookmarkStart w:id="14" w:name="General_contacts"/>
      <w:bookmarkStart w:id="15" w:name="Business_units"/>
      <w:bookmarkStart w:id="16" w:name="bookmark20"/>
      <w:bookmarkEnd w:id="14"/>
      <w:bookmarkEnd w:id="15"/>
      <w:bookmarkEnd w:id="16"/>
      <w:r>
        <w:t>General contacts</w:t>
      </w:r>
    </w:p>
    <w:p w:rsidR="008E5C65" w:rsidRPr="002F3D1A" w:rsidRDefault="008E5C65" w:rsidP="008E5C65">
      <w:pPr>
        <w:pStyle w:val="BodyText"/>
        <w:rPr>
          <w:b/>
        </w:rPr>
      </w:pPr>
      <w:r w:rsidRPr="002F3D1A">
        <w:rPr>
          <w:b/>
        </w:rPr>
        <w:t>Postal address:</w:t>
      </w:r>
    </w:p>
    <w:p w:rsidR="008E5C65" w:rsidRPr="002330DD" w:rsidRDefault="008E5C65" w:rsidP="008E5C65">
      <w:pPr>
        <w:pStyle w:val="BodyText"/>
      </w:pPr>
      <w:r w:rsidRPr="002330DD">
        <w:t>Locked Bag 11</w:t>
      </w:r>
    </w:p>
    <w:p w:rsidR="008E5C65" w:rsidRPr="002330DD" w:rsidRDefault="008E5C65" w:rsidP="008E5C65">
      <w:pPr>
        <w:pStyle w:val="BodyText"/>
      </w:pPr>
      <w:r w:rsidRPr="002330DD">
        <w:t>CLOISTERS SQUARE WA 6850</w:t>
      </w:r>
    </w:p>
    <w:p w:rsidR="008E5C65" w:rsidRPr="002330DD" w:rsidRDefault="008E5C65" w:rsidP="008E5C65">
      <w:pPr>
        <w:pStyle w:val="BodyText"/>
      </w:pPr>
      <w:r w:rsidRPr="002F3D1A">
        <w:rPr>
          <w:b/>
        </w:rPr>
        <w:t>Main switchboard:</w:t>
      </w:r>
      <w:r w:rsidRPr="002330DD">
        <w:t xml:space="preserve"> 08 6551 1000</w:t>
      </w:r>
    </w:p>
    <w:p w:rsidR="008E5C65" w:rsidRDefault="008E5C65" w:rsidP="008E5C65">
      <w:pPr>
        <w:pStyle w:val="BodyText"/>
      </w:pPr>
      <w:r w:rsidRPr="002F3D1A">
        <w:rPr>
          <w:b/>
        </w:rPr>
        <w:t>Main fax:</w:t>
      </w:r>
      <w:r w:rsidRPr="002330DD">
        <w:t xml:space="preserve"> 08 6551 1111</w:t>
      </w:r>
    </w:p>
    <w:p w:rsidR="008E5C65" w:rsidRPr="002330DD" w:rsidRDefault="008E5C65" w:rsidP="008E5C65">
      <w:pPr>
        <w:pStyle w:val="BodyText"/>
      </w:pPr>
      <w:r w:rsidRPr="00BE2320">
        <w:rPr>
          <w:b/>
        </w:rPr>
        <w:t>Internet:</w:t>
      </w:r>
      <w:r>
        <w:t xml:space="preserve"> www.finance.wa.gov.au</w:t>
      </w:r>
    </w:p>
    <w:p w:rsidR="008E5C65" w:rsidRDefault="008E5C65" w:rsidP="008E5C65">
      <w:pPr>
        <w:pStyle w:val="Heading2"/>
        <w:rPr>
          <w:color w:val="000000"/>
        </w:rPr>
      </w:pPr>
      <w:r>
        <w:t>Business units</w:t>
      </w:r>
    </w:p>
    <w:p w:rsidR="008E5C65" w:rsidRDefault="008E5C65" w:rsidP="008E5C65">
      <w:pPr>
        <w:pStyle w:val="Heading3"/>
        <w:rPr>
          <w:color w:val="000000"/>
        </w:rPr>
      </w:pPr>
      <w:r>
        <w:t xml:space="preserve">Building </w:t>
      </w:r>
      <w:r>
        <w:rPr>
          <w:spacing w:val="-1"/>
        </w:rPr>
        <w:t>Management</w:t>
      </w:r>
      <w:r>
        <w:t xml:space="preserve"> and</w:t>
      </w:r>
      <w:r>
        <w:rPr>
          <w:spacing w:val="-11"/>
        </w:rPr>
        <w:t xml:space="preserve"> </w:t>
      </w:r>
      <w:r>
        <w:rPr>
          <w:spacing w:val="-3"/>
        </w:rPr>
        <w:t>Works</w:t>
      </w:r>
    </w:p>
    <w:p w:rsidR="008E5C65" w:rsidRPr="002330DD" w:rsidRDefault="008E5C65" w:rsidP="008E5C65">
      <w:pPr>
        <w:pStyle w:val="BodyText"/>
      </w:pPr>
      <w:r w:rsidRPr="002330DD">
        <w:t xml:space="preserve">Optima Centre 16 Parkland Road </w:t>
      </w:r>
    </w:p>
    <w:p w:rsidR="008E5C65" w:rsidRPr="002330DD" w:rsidRDefault="008E5C65" w:rsidP="008E5C65">
      <w:pPr>
        <w:pStyle w:val="BodyText"/>
      </w:pPr>
      <w:r w:rsidRPr="002330DD">
        <w:t>OSBORNE PARK WA 6017</w:t>
      </w:r>
    </w:p>
    <w:p w:rsidR="008E5C65" w:rsidRPr="002F3D1A" w:rsidRDefault="008E5C65" w:rsidP="008E5C65">
      <w:pPr>
        <w:pStyle w:val="BodyText"/>
        <w:rPr>
          <w:b/>
        </w:rPr>
      </w:pPr>
      <w:r w:rsidRPr="002F3D1A">
        <w:rPr>
          <w:b/>
        </w:rPr>
        <w:t>Postal address:</w:t>
      </w:r>
    </w:p>
    <w:p w:rsidR="008E5C65" w:rsidRPr="002330DD" w:rsidRDefault="008E5C65" w:rsidP="008E5C65">
      <w:pPr>
        <w:pStyle w:val="BodyText"/>
      </w:pPr>
      <w:r w:rsidRPr="002330DD">
        <w:t xml:space="preserve">Locked Bag 44 </w:t>
      </w:r>
    </w:p>
    <w:p w:rsidR="008E5C65" w:rsidRPr="002330DD" w:rsidRDefault="008E5C65" w:rsidP="008E5C65">
      <w:pPr>
        <w:pStyle w:val="BodyText"/>
      </w:pPr>
      <w:r w:rsidRPr="002330DD">
        <w:t>CLOISTERS SQUARE WA 6850</w:t>
      </w:r>
    </w:p>
    <w:p w:rsidR="008E5C65" w:rsidRPr="002330DD" w:rsidRDefault="008E5C65" w:rsidP="008E5C65">
      <w:pPr>
        <w:pStyle w:val="BodyText"/>
      </w:pPr>
      <w:r w:rsidRPr="002F3D1A">
        <w:rPr>
          <w:b/>
        </w:rPr>
        <w:t>Phone:</w:t>
      </w:r>
      <w:r w:rsidRPr="002330DD">
        <w:t xml:space="preserve"> 08 6551 1600</w:t>
      </w:r>
    </w:p>
    <w:p w:rsidR="008E5C65" w:rsidRDefault="008E5C65" w:rsidP="008E5C65">
      <w:pPr>
        <w:pStyle w:val="Heading3"/>
        <w:spacing w:before="0" w:after="0" w:line="240" w:lineRule="auto"/>
      </w:pPr>
    </w:p>
    <w:p w:rsidR="008E5C65" w:rsidRPr="002330DD" w:rsidRDefault="008E5C65" w:rsidP="008E5C65">
      <w:pPr>
        <w:pStyle w:val="Heading3"/>
      </w:pPr>
      <w:r w:rsidRPr="002330DD">
        <w:t>Government Procurement</w:t>
      </w:r>
    </w:p>
    <w:p w:rsidR="008E5C65" w:rsidRPr="002330DD" w:rsidRDefault="008E5C65" w:rsidP="008E5C65">
      <w:pPr>
        <w:pStyle w:val="BodyText"/>
      </w:pPr>
      <w:r w:rsidRPr="002330DD">
        <w:t>Optima Centre 16 Parkland Road</w:t>
      </w:r>
    </w:p>
    <w:p w:rsidR="008E5C65" w:rsidRPr="002330DD" w:rsidRDefault="008E5C65" w:rsidP="008E5C65">
      <w:pPr>
        <w:pStyle w:val="BodyText"/>
      </w:pPr>
      <w:r w:rsidRPr="002330DD">
        <w:t>OSBORNE PARK WA 6017</w:t>
      </w:r>
    </w:p>
    <w:p w:rsidR="008E5C65" w:rsidRPr="002F3D1A" w:rsidRDefault="008E5C65" w:rsidP="008E5C65">
      <w:pPr>
        <w:pStyle w:val="BodyText"/>
        <w:rPr>
          <w:b/>
        </w:rPr>
      </w:pPr>
      <w:r w:rsidRPr="002F3D1A">
        <w:rPr>
          <w:b/>
        </w:rPr>
        <w:t>Postal address:</w:t>
      </w:r>
    </w:p>
    <w:p w:rsidR="008E5C65" w:rsidRPr="002330DD" w:rsidRDefault="008E5C65" w:rsidP="008E5C65">
      <w:pPr>
        <w:pStyle w:val="BodyText"/>
      </w:pPr>
      <w:r w:rsidRPr="002330DD">
        <w:t>Locked Bag 44</w:t>
      </w:r>
    </w:p>
    <w:p w:rsidR="008E5C65" w:rsidRPr="002330DD" w:rsidRDefault="008E5C65" w:rsidP="008E5C65">
      <w:pPr>
        <w:pStyle w:val="BodyText"/>
      </w:pPr>
      <w:r w:rsidRPr="002330DD">
        <w:t>CLOISTERS SQUARE WA 6850</w:t>
      </w:r>
    </w:p>
    <w:p w:rsidR="008E5C65" w:rsidRDefault="008E5C65" w:rsidP="008E5C65">
      <w:pPr>
        <w:pStyle w:val="BodyText"/>
      </w:pPr>
      <w:r w:rsidRPr="002F3D1A">
        <w:rPr>
          <w:b/>
        </w:rPr>
        <w:t>Phone:</w:t>
      </w:r>
      <w:r w:rsidRPr="002330DD">
        <w:t xml:space="preserve"> 08 6551 1555</w:t>
      </w:r>
    </w:p>
    <w:p w:rsidR="008E5C65" w:rsidRDefault="008E5C65" w:rsidP="008E5C65">
      <w:pPr>
        <w:pStyle w:val="Heading3"/>
        <w:spacing w:before="0" w:after="0" w:line="240" w:lineRule="auto"/>
      </w:pPr>
    </w:p>
    <w:p w:rsidR="008E5C65" w:rsidRPr="002330DD" w:rsidRDefault="008E5C65" w:rsidP="008E5C65">
      <w:pPr>
        <w:pStyle w:val="Heading3"/>
      </w:pPr>
      <w:r w:rsidRPr="002330DD">
        <w:t>Economic Reform</w:t>
      </w:r>
    </w:p>
    <w:p w:rsidR="008E5C65" w:rsidRPr="002330DD" w:rsidRDefault="008E5C65" w:rsidP="008E5C65">
      <w:pPr>
        <w:pStyle w:val="BodyText"/>
      </w:pPr>
      <w:r w:rsidRPr="002330DD">
        <w:t>Albert Facey House 469 Wellington Street</w:t>
      </w:r>
    </w:p>
    <w:p w:rsidR="008E5C65" w:rsidRPr="002330DD" w:rsidRDefault="008E5C65" w:rsidP="008E5C65">
      <w:pPr>
        <w:pStyle w:val="BodyText"/>
      </w:pPr>
      <w:r w:rsidRPr="002330DD">
        <w:t>PERTH WA 6000</w:t>
      </w:r>
    </w:p>
    <w:p w:rsidR="008E5C65" w:rsidRPr="002F3D1A" w:rsidRDefault="008E5C65" w:rsidP="008E5C65">
      <w:pPr>
        <w:pStyle w:val="BodyText"/>
        <w:rPr>
          <w:b/>
        </w:rPr>
      </w:pPr>
      <w:r w:rsidRPr="002F3D1A">
        <w:rPr>
          <w:b/>
        </w:rPr>
        <w:t>Postal address:</w:t>
      </w:r>
    </w:p>
    <w:p w:rsidR="008E5C65" w:rsidRPr="002330DD" w:rsidRDefault="008E5C65" w:rsidP="008E5C65">
      <w:pPr>
        <w:pStyle w:val="BodyText"/>
      </w:pPr>
      <w:r w:rsidRPr="002330DD">
        <w:t>Locked Bag 11</w:t>
      </w:r>
    </w:p>
    <w:p w:rsidR="008E5C65" w:rsidRPr="002330DD" w:rsidRDefault="008E5C65" w:rsidP="008E5C65">
      <w:pPr>
        <w:pStyle w:val="BodyText"/>
      </w:pPr>
      <w:r w:rsidRPr="002330DD">
        <w:t>CLOISTERS SQUARE WA 6850</w:t>
      </w:r>
    </w:p>
    <w:p w:rsidR="008E5C65" w:rsidRPr="002330DD" w:rsidRDefault="008E5C65" w:rsidP="008E5C65">
      <w:pPr>
        <w:pStyle w:val="BodyText"/>
      </w:pPr>
      <w:r w:rsidRPr="002F3D1A">
        <w:rPr>
          <w:b/>
        </w:rPr>
        <w:t>Phone:</w:t>
      </w:r>
      <w:r w:rsidRPr="002330DD">
        <w:t xml:space="preserve"> 08 6551 1000</w:t>
      </w:r>
    </w:p>
    <w:p w:rsidR="008E5C65" w:rsidRPr="002330DD" w:rsidRDefault="008E5C65" w:rsidP="008E5C65">
      <w:pPr>
        <w:pStyle w:val="Heading3"/>
      </w:pPr>
      <w:r w:rsidRPr="002330DD">
        <w:t>State Revenue</w:t>
      </w:r>
    </w:p>
    <w:p w:rsidR="008E5C65" w:rsidRPr="002330DD" w:rsidRDefault="008E5C65" w:rsidP="008E5C65">
      <w:pPr>
        <w:pStyle w:val="BodyText"/>
      </w:pPr>
      <w:r w:rsidRPr="002330DD">
        <w:t>QBE House</w:t>
      </w:r>
    </w:p>
    <w:p w:rsidR="008E5C65" w:rsidRPr="002330DD" w:rsidRDefault="008E5C65" w:rsidP="008E5C65">
      <w:pPr>
        <w:pStyle w:val="BodyText"/>
      </w:pPr>
      <w:r w:rsidRPr="002330DD">
        <w:t>200 St Georges Terrace PERTH WA 6000</w:t>
      </w:r>
    </w:p>
    <w:p w:rsidR="008E5C65" w:rsidRDefault="008E5C65" w:rsidP="008E5C65">
      <w:pPr>
        <w:pStyle w:val="BodyText"/>
      </w:pPr>
      <w:r w:rsidRPr="002F3D1A">
        <w:rPr>
          <w:b/>
        </w:rPr>
        <w:t>Postal address:</w:t>
      </w:r>
      <w:r w:rsidRPr="002330DD">
        <w:t xml:space="preserve"> </w:t>
      </w:r>
    </w:p>
    <w:p w:rsidR="008E5C65" w:rsidRPr="002330DD" w:rsidRDefault="008E5C65" w:rsidP="008E5C65">
      <w:pPr>
        <w:pStyle w:val="BodyText"/>
      </w:pPr>
      <w:r w:rsidRPr="002330DD">
        <w:t>GPO Box T1600 PERTH WA 6845</w:t>
      </w:r>
    </w:p>
    <w:p w:rsidR="008E5C65" w:rsidRPr="002330DD" w:rsidRDefault="008E5C65" w:rsidP="008E5C65">
      <w:pPr>
        <w:pStyle w:val="BodyText"/>
      </w:pPr>
      <w:r w:rsidRPr="002F3D1A">
        <w:rPr>
          <w:b/>
        </w:rPr>
        <w:t>Switch:</w:t>
      </w:r>
      <w:r w:rsidRPr="002330DD">
        <w:t xml:space="preserve"> 08 9262 1400</w:t>
      </w:r>
    </w:p>
    <w:p w:rsidR="008E5C65" w:rsidRPr="002330DD" w:rsidRDefault="008E5C65" w:rsidP="008E5C65">
      <w:pPr>
        <w:pStyle w:val="BodyText"/>
      </w:pPr>
      <w:r w:rsidRPr="002F3D1A">
        <w:rPr>
          <w:b/>
        </w:rPr>
        <w:t>WA Country Callers:</w:t>
      </w:r>
      <w:r w:rsidRPr="002330DD">
        <w:t xml:space="preserve"> 1300 368 364</w:t>
      </w:r>
    </w:p>
    <w:p w:rsidR="008E5C65" w:rsidRDefault="008E5C65" w:rsidP="008E5C65">
      <w:pPr>
        <w:pStyle w:val="Heading3"/>
        <w:spacing w:before="0" w:after="0" w:line="240" w:lineRule="auto"/>
      </w:pPr>
    </w:p>
    <w:p w:rsidR="008E5C65" w:rsidRPr="002330DD" w:rsidRDefault="008E5C65" w:rsidP="008E5C65">
      <w:pPr>
        <w:pStyle w:val="Heading3"/>
      </w:pPr>
      <w:r w:rsidRPr="002330DD">
        <w:t>Public Utilities Office</w:t>
      </w:r>
    </w:p>
    <w:p w:rsidR="008E5C65" w:rsidRPr="002330DD" w:rsidRDefault="008E5C65" w:rsidP="008E5C65">
      <w:pPr>
        <w:pStyle w:val="BodyText"/>
      </w:pPr>
      <w:r w:rsidRPr="002330DD">
        <w:t>Albert Facey House 469 Wellington Street</w:t>
      </w:r>
    </w:p>
    <w:p w:rsidR="008E5C65" w:rsidRPr="002330DD" w:rsidRDefault="008E5C65" w:rsidP="008E5C65">
      <w:pPr>
        <w:pStyle w:val="BodyText"/>
      </w:pPr>
      <w:r w:rsidRPr="002330DD">
        <w:t>PERTH WA 6000</w:t>
      </w:r>
    </w:p>
    <w:p w:rsidR="008E5C65" w:rsidRPr="002F3D1A" w:rsidRDefault="008E5C65" w:rsidP="008E5C65">
      <w:pPr>
        <w:pStyle w:val="BodyText"/>
        <w:rPr>
          <w:b/>
        </w:rPr>
      </w:pPr>
      <w:r w:rsidRPr="002F3D1A">
        <w:rPr>
          <w:b/>
        </w:rPr>
        <w:t>Postal address:</w:t>
      </w:r>
    </w:p>
    <w:p w:rsidR="008E5C65" w:rsidRPr="002330DD" w:rsidRDefault="008E5C65" w:rsidP="008E5C65">
      <w:pPr>
        <w:pStyle w:val="BodyText"/>
      </w:pPr>
      <w:r w:rsidRPr="002330DD">
        <w:t>Locked Bag 11</w:t>
      </w:r>
    </w:p>
    <w:p w:rsidR="008E5C65" w:rsidRPr="002330DD" w:rsidRDefault="008E5C65" w:rsidP="008E5C65">
      <w:pPr>
        <w:pStyle w:val="BodyText"/>
      </w:pPr>
      <w:r w:rsidRPr="002330DD">
        <w:t>CLOISTERS SQUARE WA 6850</w:t>
      </w:r>
    </w:p>
    <w:p w:rsidR="008E5C65" w:rsidRPr="002330DD" w:rsidRDefault="008E5C65" w:rsidP="008E5C65">
      <w:pPr>
        <w:pStyle w:val="BodyText"/>
      </w:pPr>
      <w:r w:rsidRPr="002F3D1A">
        <w:rPr>
          <w:b/>
        </w:rPr>
        <w:t>Phone:</w:t>
      </w:r>
      <w:r w:rsidRPr="002330DD">
        <w:t xml:space="preserve"> 08 6551 1000</w:t>
      </w:r>
    </w:p>
    <w:p w:rsidR="00881F74" w:rsidRPr="00AA7C8F" w:rsidRDefault="008E5C65" w:rsidP="00F57F79">
      <w:pPr>
        <w:pStyle w:val="BodyText"/>
      </w:pPr>
      <w:r w:rsidRPr="002F3D1A">
        <w:rPr>
          <w:b/>
        </w:rPr>
        <w:t>Fax:</w:t>
      </w:r>
      <w:r w:rsidRPr="002330DD">
        <w:t xml:space="preserve"> 08 6551 4765</w:t>
      </w:r>
    </w:p>
    <w:sectPr w:rsidR="00881F74" w:rsidRPr="00AA7C8F" w:rsidSect="005F3639">
      <w:pgSz w:w="11906" w:h="16838" w:code="9"/>
      <w:pgMar w:top="1440" w:right="1440" w:bottom="1276" w:left="144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55EB" w:rsidRDefault="003A55EB" w:rsidP="00E86B8F">
      <w:pPr>
        <w:spacing w:after="0" w:line="240" w:lineRule="auto"/>
      </w:pPr>
      <w:r>
        <w:separator/>
      </w:r>
    </w:p>
  </w:endnote>
  <w:endnote w:type="continuationSeparator" w:id="0">
    <w:p w:rsidR="003A55EB" w:rsidRDefault="003A55EB" w:rsidP="00E86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HelveticaNeueLT-Medium">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HelveticaNeueLT-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LightItal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55EB" w:rsidRDefault="003A55EB" w:rsidP="00E86B8F">
      <w:pPr>
        <w:spacing w:after="0" w:line="240" w:lineRule="auto"/>
      </w:pPr>
      <w:r>
        <w:separator/>
      </w:r>
    </w:p>
  </w:footnote>
  <w:footnote w:type="continuationSeparator" w:id="0">
    <w:p w:rsidR="003A55EB" w:rsidRDefault="003A55EB" w:rsidP="00E86B8F">
      <w:pPr>
        <w:spacing w:after="0" w:line="240" w:lineRule="auto"/>
      </w:pPr>
      <w:r>
        <w:continuationSeparator/>
      </w:r>
    </w:p>
  </w:footnote>
  <w:footnote w:id="1">
    <w:p w:rsidR="009503B0" w:rsidRDefault="009503B0">
      <w:pPr>
        <w:pStyle w:val="FootnoteText"/>
      </w:pPr>
      <w:r>
        <w:rPr>
          <w:rStyle w:val="FootnoteReference"/>
        </w:rPr>
        <w:footnoteRef/>
      </w:r>
      <w:r>
        <w:t xml:space="preserve"> </w:t>
      </w:r>
      <w:r w:rsidRPr="00E86B8F">
        <w:rPr>
          <w:rFonts w:ascii="Arial" w:hAnsi="Arial" w:cs="Arial"/>
          <w:sz w:val="16"/>
          <w:szCs w:val="16"/>
        </w:rPr>
        <w:t>https://www.mediastatements.wa.gov.au/Pages/Barnett/2015/09/ ShredTheRed-to-grow-WA-businesses-and-jobs-.aspx</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426AE"/>
    <w:multiLevelType w:val="hybridMultilevel"/>
    <w:tmpl w:val="29E0F16E"/>
    <w:lvl w:ilvl="0" w:tplc="BB5A0614">
      <w:start w:val="1"/>
      <w:numFmt w:val="lowerLetter"/>
      <w:lvlText w:val="(%1)"/>
      <w:lvlJc w:val="left"/>
      <w:pPr>
        <w:ind w:left="360" w:hanging="360"/>
      </w:pPr>
      <w:rPr>
        <w:rFonts w:hint="default"/>
        <w:vertAlign w:val="superscrip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2B87332"/>
    <w:multiLevelType w:val="hybridMultilevel"/>
    <w:tmpl w:val="988A6826"/>
    <w:lvl w:ilvl="0" w:tplc="F3349C90">
      <w:start w:val="1"/>
      <w:numFmt w:val="lowerLetter"/>
      <w:lvlText w:val="(%1)"/>
      <w:lvlJc w:val="left"/>
      <w:pPr>
        <w:ind w:left="720" w:hanging="360"/>
      </w:pPr>
      <w:rPr>
        <w:rFonts w:hint="default"/>
        <w:color w:val="auto"/>
        <w:sz w:val="2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1B1304"/>
    <w:multiLevelType w:val="hybridMultilevel"/>
    <w:tmpl w:val="988A6826"/>
    <w:lvl w:ilvl="0" w:tplc="F3349C90">
      <w:start w:val="1"/>
      <w:numFmt w:val="lowerLetter"/>
      <w:lvlText w:val="(%1)"/>
      <w:lvlJc w:val="left"/>
      <w:pPr>
        <w:ind w:left="720" w:hanging="360"/>
      </w:pPr>
      <w:rPr>
        <w:rFonts w:hint="default"/>
        <w:color w:val="auto"/>
        <w:sz w:val="2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CF65E3"/>
    <w:multiLevelType w:val="hybridMultilevel"/>
    <w:tmpl w:val="17A20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D74EE6"/>
    <w:multiLevelType w:val="hybridMultilevel"/>
    <w:tmpl w:val="07F6B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A95FDC"/>
    <w:multiLevelType w:val="hybridMultilevel"/>
    <w:tmpl w:val="FBB26F46"/>
    <w:lvl w:ilvl="0" w:tplc="6C42907E">
      <w:start w:val="1"/>
      <w:numFmt w:val="lowerLetter"/>
      <w:lvlText w:val="(%1)"/>
      <w:lvlJc w:val="left"/>
      <w:pPr>
        <w:ind w:left="360" w:hanging="360"/>
      </w:pPr>
      <w:rPr>
        <w:rFonts w:hint="default"/>
        <w:vertAlign w:val="superscrip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1A758AF"/>
    <w:multiLevelType w:val="hybridMultilevel"/>
    <w:tmpl w:val="08A020F2"/>
    <w:lvl w:ilvl="0" w:tplc="2F16EF76">
      <w:start w:val="1"/>
      <w:numFmt w:val="lowerLetter"/>
      <w:lvlText w:val="(%1)"/>
      <w:lvlJc w:val="left"/>
      <w:pPr>
        <w:ind w:left="360" w:hanging="360"/>
      </w:pPr>
      <w:rPr>
        <w:rFonts w:hint="default"/>
        <w:sz w:val="24"/>
        <w:szCs w:val="24"/>
        <w:vertAlign w:val="superscrip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506316A"/>
    <w:multiLevelType w:val="hybridMultilevel"/>
    <w:tmpl w:val="8DB01C2E"/>
    <w:lvl w:ilvl="0" w:tplc="660A0B48">
      <w:start w:val="1"/>
      <w:numFmt w:val="lowerLetter"/>
      <w:lvlText w:val="(%1)"/>
      <w:lvlJc w:val="left"/>
      <w:pPr>
        <w:ind w:left="720" w:hanging="360"/>
      </w:pPr>
      <w:rPr>
        <w:rFonts w:hint="default"/>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56440E6"/>
    <w:multiLevelType w:val="hybridMultilevel"/>
    <w:tmpl w:val="F7C27580"/>
    <w:lvl w:ilvl="0" w:tplc="0C090001">
      <w:start w:val="1"/>
      <w:numFmt w:val="bullet"/>
      <w:lvlText w:val=""/>
      <w:lvlJc w:val="left"/>
      <w:pPr>
        <w:ind w:left="720" w:hanging="360"/>
      </w:pPr>
      <w:rPr>
        <w:rFonts w:ascii="Symbol" w:hAnsi="Symbol" w:hint="default"/>
      </w:rPr>
    </w:lvl>
    <w:lvl w:ilvl="1" w:tplc="3E2ECA92">
      <w:start w:val="1"/>
      <w:numFmt w:val="bullet"/>
      <w:lvlText w:val=""/>
      <w:lvlJc w:val="left"/>
      <w:pPr>
        <w:ind w:left="1440" w:hanging="360"/>
      </w:pPr>
      <w:rPr>
        <w:rFonts w:ascii="Symbol" w:hAnsi="Symbol" w:hint="default"/>
        <w:sz w:val="18"/>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687F82"/>
    <w:multiLevelType w:val="hybridMultilevel"/>
    <w:tmpl w:val="B5D68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4A727C"/>
    <w:multiLevelType w:val="hybridMultilevel"/>
    <w:tmpl w:val="8646A52C"/>
    <w:lvl w:ilvl="0" w:tplc="6A88435C">
      <w:start w:val="1"/>
      <w:numFmt w:val="lowerLetter"/>
      <w:lvlText w:val="(%1)"/>
      <w:lvlJc w:val="left"/>
      <w:pPr>
        <w:ind w:left="379" w:hanging="360"/>
      </w:pPr>
      <w:rPr>
        <w:rFonts w:hint="default"/>
      </w:rPr>
    </w:lvl>
    <w:lvl w:ilvl="1" w:tplc="0C090019" w:tentative="1">
      <w:start w:val="1"/>
      <w:numFmt w:val="lowerLetter"/>
      <w:lvlText w:val="%2."/>
      <w:lvlJc w:val="left"/>
      <w:pPr>
        <w:ind w:left="1099" w:hanging="360"/>
      </w:pPr>
    </w:lvl>
    <w:lvl w:ilvl="2" w:tplc="0C09001B" w:tentative="1">
      <w:start w:val="1"/>
      <w:numFmt w:val="lowerRoman"/>
      <w:lvlText w:val="%3."/>
      <w:lvlJc w:val="right"/>
      <w:pPr>
        <w:ind w:left="1819" w:hanging="180"/>
      </w:pPr>
    </w:lvl>
    <w:lvl w:ilvl="3" w:tplc="0C09000F" w:tentative="1">
      <w:start w:val="1"/>
      <w:numFmt w:val="decimal"/>
      <w:lvlText w:val="%4."/>
      <w:lvlJc w:val="left"/>
      <w:pPr>
        <w:ind w:left="2539" w:hanging="360"/>
      </w:pPr>
    </w:lvl>
    <w:lvl w:ilvl="4" w:tplc="0C090019" w:tentative="1">
      <w:start w:val="1"/>
      <w:numFmt w:val="lowerLetter"/>
      <w:lvlText w:val="%5."/>
      <w:lvlJc w:val="left"/>
      <w:pPr>
        <w:ind w:left="3259" w:hanging="360"/>
      </w:pPr>
    </w:lvl>
    <w:lvl w:ilvl="5" w:tplc="0C09001B" w:tentative="1">
      <w:start w:val="1"/>
      <w:numFmt w:val="lowerRoman"/>
      <w:lvlText w:val="%6."/>
      <w:lvlJc w:val="right"/>
      <w:pPr>
        <w:ind w:left="3979" w:hanging="180"/>
      </w:pPr>
    </w:lvl>
    <w:lvl w:ilvl="6" w:tplc="0C09000F" w:tentative="1">
      <w:start w:val="1"/>
      <w:numFmt w:val="decimal"/>
      <w:lvlText w:val="%7."/>
      <w:lvlJc w:val="left"/>
      <w:pPr>
        <w:ind w:left="4699" w:hanging="360"/>
      </w:pPr>
    </w:lvl>
    <w:lvl w:ilvl="7" w:tplc="0C090019" w:tentative="1">
      <w:start w:val="1"/>
      <w:numFmt w:val="lowerLetter"/>
      <w:lvlText w:val="%8."/>
      <w:lvlJc w:val="left"/>
      <w:pPr>
        <w:ind w:left="5419" w:hanging="360"/>
      </w:pPr>
    </w:lvl>
    <w:lvl w:ilvl="8" w:tplc="0C09001B" w:tentative="1">
      <w:start w:val="1"/>
      <w:numFmt w:val="lowerRoman"/>
      <w:lvlText w:val="%9."/>
      <w:lvlJc w:val="right"/>
      <w:pPr>
        <w:ind w:left="6139" w:hanging="180"/>
      </w:pPr>
    </w:lvl>
  </w:abstractNum>
  <w:abstractNum w:abstractNumId="11" w15:restartNumberingAfterBreak="0">
    <w:nsid w:val="1CC85D91"/>
    <w:multiLevelType w:val="hybridMultilevel"/>
    <w:tmpl w:val="988A6826"/>
    <w:lvl w:ilvl="0" w:tplc="F3349C90">
      <w:start w:val="1"/>
      <w:numFmt w:val="lowerLetter"/>
      <w:lvlText w:val="(%1)"/>
      <w:lvlJc w:val="left"/>
      <w:pPr>
        <w:ind w:left="720" w:hanging="360"/>
      </w:pPr>
      <w:rPr>
        <w:rFonts w:hint="default"/>
        <w:color w:val="auto"/>
        <w:sz w:val="2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EF67664"/>
    <w:multiLevelType w:val="hybridMultilevel"/>
    <w:tmpl w:val="959E702E"/>
    <w:lvl w:ilvl="0" w:tplc="3120EEC6">
      <w:start w:val="1"/>
      <w:numFmt w:val="lowerLetter"/>
      <w:lvlText w:val="(%1)"/>
      <w:lvlJc w:val="left"/>
      <w:pPr>
        <w:ind w:left="360" w:hanging="360"/>
      </w:pPr>
      <w:rPr>
        <w:rFonts w:hint="default"/>
        <w:vertAlign w:val="superscrip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F4C505E"/>
    <w:multiLevelType w:val="hybridMultilevel"/>
    <w:tmpl w:val="988A6826"/>
    <w:lvl w:ilvl="0" w:tplc="F3349C90">
      <w:start w:val="1"/>
      <w:numFmt w:val="lowerLetter"/>
      <w:lvlText w:val="(%1)"/>
      <w:lvlJc w:val="left"/>
      <w:pPr>
        <w:ind w:left="720" w:hanging="360"/>
      </w:pPr>
      <w:rPr>
        <w:rFonts w:hint="default"/>
        <w:color w:val="auto"/>
        <w:sz w:val="2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31B049E"/>
    <w:multiLevelType w:val="hybridMultilevel"/>
    <w:tmpl w:val="CDEC60E2"/>
    <w:lvl w:ilvl="0" w:tplc="529A57E8">
      <w:start w:val="1"/>
      <w:numFmt w:val="decimal"/>
      <w:lvlText w:val="%1."/>
      <w:lvlJc w:val="left"/>
      <w:pPr>
        <w:ind w:left="37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5E0D95"/>
    <w:multiLevelType w:val="hybridMultilevel"/>
    <w:tmpl w:val="074670F4"/>
    <w:lvl w:ilvl="0" w:tplc="37A2AB24">
      <w:start w:val="1"/>
      <w:numFmt w:val="lowerLetter"/>
      <w:lvlText w:val="(%1)"/>
      <w:lvlJc w:val="left"/>
      <w:pPr>
        <w:ind w:left="379" w:hanging="360"/>
      </w:pPr>
      <w:rPr>
        <w:rFonts w:hint="default"/>
      </w:rPr>
    </w:lvl>
    <w:lvl w:ilvl="1" w:tplc="0C090019" w:tentative="1">
      <w:start w:val="1"/>
      <w:numFmt w:val="lowerLetter"/>
      <w:lvlText w:val="%2."/>
      <w:lvlJc w:val="left"/>
      <w:pPr>
        <w:ind w:left="1099" w:hanging="360"/>
      </w:pPr>
    </w:lvl>
    <w:lvl w:ilvl="2" w:tplc="0C09001B" w:tentative="1">
      <w:start w:val="1"/>
      <w:numFmt w:val="lowerRoman"/>
      <w:lvlText w:val="%3."/>
      <w:lvlJc w:val="right"/>
      <w:pPr>
        <w:ind w:left="1819" w:hanging="180"/>
      </w:pPr>
    </w:lvl>
    <w:lvl w:ilvl="3" w:tplc="0C09000F" w:tentative="1">
      <w:start w:val="1"/>
      <w:numFmt w:val="decimal"/>
      <w:lvlText w:val="%4."/>
      <w:lvlJc w:val="left"/>
      <w:pPr>
        <w:ind w:left="2539" w:hanging="360"/>
      </w:pPr>
    </w:lvl>
    <w:lvl w:ilvl="4" w:tplc="0C090019" w:tentative="1">
      <w:start w:val="1"/>
      <w:numFmt w:val="lowerLetter"/>
      <w:lvlText w:val="%5."/>
      <w:lvlJc w:val="left"/>
      <w:pPr>
        <w:ind w:left="3259" w:hanging="360"/>
      </w:pPr>
    </w:lvl>
    <w:lvl w:ilvl="5" w:tplc="0C09001B" w:tentative="1">
      <w:start w:val="1"/>
      <w:numFmt w:val="lowerRoman"/>
      <w:lvlText w:val="%6."/>
      <w:lvlJc w:val="right"/>
      <w:pPr>
        <w:ind w:left="3979" w:hanging="180"/>
      </w:pPr>
    </w:lvl>
    <w:lvl w:ilvl="6" w:tplc="0C09000F" w:tentative="1">
      <w:start w:val="1"/>
      <w:numFmt w:val="decimal"/>
      <w:lvlText w:val="%7."/>
      <w:lvlJc w:val="left"/>
      <w:pPr>
        <w:ind w:left="4699" w:hanging="360"/>
      </w:pPr>
    </w:lvl>
    <w:lvl w:ilvl="7" w:tplc="0C090019" w:tentative="1">
      <w:start w:val="1"/>
      <w:numFmt w:val="lowerLetter"/>
      <w:lvlText w:val="%8."/>
      <w:lvlJc w:val="left"/>
      <w:pPr>
        <w:ind w:left="5419" w:hanging="360"/>
      </w:pPr>
    </w:lvl>
    <w:lvl w:ilvl="8" w:tplc="0C09001B" w:tentative="1">
      <w:start w:val="1"/>
      <w:numFmt w:val="lowerRoman"/>
      <w:lvlText w:val="%9."/>
      <w:lvlJc w:val="right"/>
      <w:pPr>
        <w:ind w:left="6139" w:hanging="180"/>
      </w:pPr>
    </w:lvl>
  </w:abstractNum>
  <w:abstractNum w:abstractNumId="16" w15:restartNumberingAfterBreak="0">
    <w:nsid w:val="323562D8"/>
    <w:multiLevelType w:val="hybridMultilevel"/>
    <w:tmpl w:val="9690A2F8"/>
    <w:lvl w:ilvl="0" w:tplc="40846FDA">
      <w:start w:val="1"/>
      <w:numFmt w:val="decimal"/>
      <w:lvlText w:val="%1."/>
      <w:lvlJc w:val="left"/>
      <w:pPr>
        <w:ind w:left="37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4F55F6C"/>
    <w:multiLevelType w:val="hybridMultilevel"/>
    <w:tmpl w:val="CDEC60E2"/>
    <w:lvl w:ilvl="0" w:tplc="529A57E8">
      <w:start w:val="1"/>
      <w:numFmt w:val="decimal"/>
      <w:lvlText w:val="%1."/>
      <w:lvlJc w:val="left"/>
      <w:pPr>
        <w:ind w:left="37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35031A"/>
    <w:multiLevelType w:val="hybridMultilevel"/>
    <w:tmpl w:val="988A6826"/>
    <w:lvl w:ilvl="0" w:tplc="F3349C90">
      <w:start w:val="1"/>
      <w:numFmt w:val="lowerLetter"/>
      <w:lvlText w:val="(%1)"/>
      <w:lvlJc w:val="left"/>
      <w:pPr>
        <w:ind w:left="720" w:hanging="360"/>
      </w:pPr>
      <w:rPr>
        <w:rFonts w:hint="default"/>
        <w:color w:val="auto"/>
        <w:sz w:val="2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A685AFD"/>
    <w:multiLevelType w:val="hybridMultilevel"/>
    <w:tmpl w:val="6B7A9DA8"/>
    <w:lvl w:ilvl="0" w:tplc="0110FF72">
      <w:start w:val="1"/>
      <w:numFmt w:val="lowerLetter"/>
      <w:lvlText w:val="(%1)"/>
      <w:lvlJc w:val="left"/>
      <w:pPr>
        <w:ind w:left="360" w:hanging="360"/>
      </w:pPr>
      <w:rPr>
        <w:rFonts w:hint="default"/>
        <w:vertAlign w:val="superscript"/>
      </w:rPr>
    </w:lvl>
    <w:lvl w:ilvl="1" w:tplc="B1FA65F2">
      <w:numFmt w:val="bullet"/>
      <w:lvlText w:val="•"/>
      <w:lvlJc w:val="left"/>
      <w:pPr>
        <w:ind w:left="1080" w:hanging="360"/>
      </w:pPr>
      <w:rPr>
        <w:rFonts w:ascii="Arial" w:eastAsia="Times New Roman" w:hAnsi="Arial" w:cs="Aria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BBA0E12"/>
    <w:multiLevelType w:val="hybridMultilevel"/>
    <w:tmpl w:val="FE6E7364"/>
    <w:lvl w:ilvl="0" w:tplc="B5CCF7DC">
      <w:start w:val="1"/>
      <w:numFmt w:val="bullet"/>
      <w:lvlText w:val=""/>
      <w:lvlJc w:val="left"/>
      <w:pPr>
        <w:ind w:left="4973" w:hanging="360"/>
      </w:pPr>
      <w:rPr>
        <w:rFonts w:ascii="Symbol" w:hAnsi="Symbol" w:hint="default"/>
      </w:rPr>
    </w:lvl>
    <w:lvl w:ilvl="1" w:tplc="0C090003" w:tentative="1">
      <w:start w:val="1"/>
      <w:numFmt w:val="bullet"/>
      <w:lvlText w:val="o"/>
      <w:lvlJc w:val="left"/>
      <w:pPr>
        <w:ind w:left="5693" w:hanging="360"/>
      </w:pPr>
      <w:rPr>
        <w:rFonts w:ascii="Courier New" w:hAnsi="Courier New" w:cs="Courier New" w:hint="default"/>
      </w:rPr>
    </w:lvl>
    <w:lvl w:ilvl="2" w:tplc="0C090005" w:tentative="1">
      <w:start w:val="1"/>
      <w:numFmt w:val="bullet"/>
      <w:lvlText w:val=""/>
      <w:lvlJc w:val="left"/>
      <w:pPr>
        <w:ind w:left="6413" w:hanging="360"/>
      </w:pPr>
      <w:rPr>
        <w:rFonts w:ascii="Wingdings" w:hAnsi="Wingdings" w:hint="default"/>
      </w:rPr>
    </w:lvl>
    <w:lvl w:ilvl="3" w:tplc="0C090001" w:tentative="1">
      <w:start w:val="1"/>
      <w:numFmt w:val="bullet"/>
      <w:lvlText w:val=""/>
      <w:lvlJc w:val="left"/>
      <w:pPr>
        <w:ind w:left="7133" w:hanging="360"/>
      </w:pPr>
      <w:rPr>
        <w:rFonts w:ascii="Symbol" w:hAnsi="Symbol" w:hint="default"/>
      </w:rPr>
    </w:lvl>
    <w:lvl w:ilvl="4" w:tplc="0C090003" w:tentative="1">
      <w:start w:val="1"/>
      <w:numFmt w:val="bullet"/>
      <w:lvlText w:val="o"/>
      <w:lvlJc w:val="left"/>
      <w:pPr>
        <w:ind w:left="7853" w:hanging="360"/>
      </w:pPr>
      <w:rPr>
        <w:rFonts w:ascii="Courier New" w:hAnsi="Courier New" w:cs="Courier New" w:hint="default"/>
      </w:rPr>
    </w:lvl>
    <w:lvl w:ilvl="5" w:tplc="0C090005" w:tentative="1">
      <w:start w:val="1"/>
      <w:numFmt w:val="bullet"/>
      <w:lvlText w:val=""/>
      <w:lvlJc w:val="left"/>
      <w:pPr>
        <w:ind w:left="8573" w:hanging="360"/>
      </w:pPr>
      <w:rPr>
        <w:rFonts w:ascii="Wingdings" w:hAnsi="Wingdings" w:hint="default"/>
      </w:rPr>
    </w:lvl>
    <w:lvl w:ilvl="6" w:tplc="0C090001" w:tentative="1">
      <w:start w:val="1"/>
      <w:numFmt w:val="bullet"/>
      <w:lvlText w:val=""/>
      <w:lvlJc w:val="left"/>
      <w:pPr>
        <w:ind w:left="9293" w:hanging="360"/>
      </w:pPr>
      <w:rPr>
        <w:rFonts w:ascii="Symbol" w:hAnsi="Symbol" w:hint="default"/>
      </w:rPr>
    </w:lvl>
    <w:lvl w:ilvl="7" w:tplc="0C090003" w:tentative="1">
      <w:start w:val="1"/>
      <w:numFmt w:val="bullet"/>
      <w:lvlText w:val="o"/>
      <w:lvlJc w:val="left"/>
      <w:pPr>
        <w:ind w:left="10013" w:hanging="360"/>
      </w:pPr>
      <w:rPr>
        <w:rFonts w:ascii="Courier New" w:hAnsi="Courier New" w:cs="Courier New" w:hint="default"/>
      </w:rPr>
    </w:lvl>
    <w:lvl w:ilvl="8" w:tplc="0C090005" w:tentative="1">
      <w:start w:val="1"/>
      <w:numFmt w:val="bullet"/>
      <w:lvlText w:val=""/>
      <w:lvlJc w:val="left"/>
      <w:pPr>
        <w:ind w:left="10733" w:hanging="360"/>
      </w:pPr>
      <w:rPr>
        <w:rFonts w:ascii="Wingdings" w:hAnsi="Wingdings" w:hint="default"/>
      </w:rPr>
    </w:lvl>
  </w:abstractNum>
  <w:abstractNum w:abstractNumId="21" w15:restartNumberingAfterBreak="0">
    <w:nsid w:val="3C4B4E0F"/>
    <w:multiLevelType w:val="hybridMultilevel"/>
    <w:tmpl w:val="0896A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253FD2"/>
    <w:multiLevelType w:val="hybridMultilevel"/>
    <w:tmpl w:val="63588528"/>
    <w:lvl w:ilvl="0" w:tplc="5DAACDB4">
      <w:start w:val="1"/>
      <w:numFmt w:val="decimal"/>
      <w:lvlText w:val="%1."/>
      <w:lvlJc w:val="left"/>
      <w:pPr>
        <w:ind w:left="37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E690BC3"/>
    <w:multiLevelType w:val="hybridMultilevel"/>
    <w:tmpl w:val="0CF8F20C"/>
    <w:lvl w:ilvl="0" w:tplc="687E3904">
      <w:start w:val="1"/>
      <w:numFmt w:val="lowerLetter"/>
      <w:lvlText w:val="(%1)"/>
      <w:lvlJc w:val="left"/>
      <w:pPr>
        <w:ind w:left="360" w:hanging="360"/>
      </w:pPr>
      <w:rPr>
        <w:rFonts w:hint="default"/>
        <w:vertAlign w:val="superscrip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3F0C021C"/>
    <w:multiLevelType w:val="hybridMultilevel"/>
    <w:tmpl w:val="CEC269F8"/>
    <w:lvl w:ilvl="0" w:tplc="BFE64EFC">
      <w:start w:val="1"/>
      <w:numFmt w:val="lowerLetter"/>
      <w:lvlText w:val="(%1)"/>
      <w:lvlJc w:val="left"/>
      <w:pPr>
        <w:ind w:left="720" w:hanging="360"/>
      </w:pPr>
      <w:rPr>
        <w:rFonts w:hint="default"/>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19C372C"/>
    <w:multiLevelType w:val="hybridMultilevel"/>
    <w:tmpl w:val="5AA6FA5A"/>
    <w:lvl w:ilvl="0" w:tplc="0194E894">
      <w:start w:val="1"/>
      <w:numFmt w:val="lowerLetter"/>
      <w:lvlText w:val="(%1)"/>
      <w:lvlJc w:val="left"/>
      <w:pPr>
        <w:ind w:left="360" w:hanging="360"/>
      </w:pPr>
      <w:rPr>
        <w:rFonts w:hint="default"/>
        <w:vertAlign w:val="superscrip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49C3C62"/>
    <w:multiLevelType w:val="hybridMultilevel"/>
    <w:tmpl w:val="6B32F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78D7D23"/>
    <w:multiLevelType w:val="hybridMultilevel"/>
    <w:tmpl w:val="07B880E6"/>
    <w:lvl w:ilvl="0" w:tplc="6702498C">
      <w:start w:val="1"/>
      <w:numFmt w:val="lowerLetter"/>
      <w:lvlText w:val="(%1)"/>
      <w:lvlJc w:val="left"/>
      <w:pPr>
        <w:ind w:left="360" w:hanging="360"/>
      </w:pPr>
      <w:rPr>
        <w:rFonts w:hint="default"/>
        <w:vertAlign w:val="baseline"/>
      </w:rPr>
    </w:lvl>
    <w:lvl w:ilvl="1" w:tplc="0C090019" w:tentative="1">
      <w:start w:val="1"/>
      <w:numFmt w:val="lowerLetter"/>
      <w:lvlText w:val="%2."/>
      <w:lvlJc w:val="left"/>
      <w:pPr>
        <w:ind w:left="1099" w:hanging="360"/>
      </w:pPr>
    </w:lvl>
    <w:lvl w:ilvl="2" w:tplc="0C09001B" w:tentative="1">
      <w:start w:val="1"/>
      <w:numFmt w:val="lowerRoman"/>
      <w:lvlText w:val="%3."/>
      <w:lvlJc w:val="right"/>
      <w:pPr>
        <w:ind w:left="1819" w:hanging="180"/>
      </w:pPr>
    </w:lvl>
    <w:lvl w:ilvl="3" w:tplc="0C09000F" w:tentative="1">
      <w:start w:val="1"/>
      <w:numFmt w:val="decimal"/>
      <w:lvlText w:val="%4."/>
      <w:lvlJc w:val="left"/>
      <w:pPr>
        <w:ind w:left="2539" w:hanging="360"/>
      </w:pPr>
    </w:lvl>
    <w:lvl w:ilvl="4" w:tplc="0C090019" w:tentative="1">
      <w:start w:val="1"/>
      <w:numFmt w:val="lowerLetter"/>
      <w:lvlText w:val="%5."/>
      <w:lvlJc w:val="left"/>
      <w:pPr>
        <w:ind w:left="3259" w:hanging="360"/>
      </w:pPr>
    </w:lvl>
    <w:lvl w:ilvl="5" w:tplc="0C09001B" w:tentative="1">
      <w:start w:val="1"/>
      <w:numFmt w:val="lowerRoman"/>
      <w:lvlText w:val="%6."/>
      <w:lvlJc w:val="right"/>
      <w:pPr>
        <w:ind w:left="3979" w:hanging="180"/>
      </w:pPr>
    </w:lvl>
    <w:lvl w:ilvl="6" w:tplc="0C09000F" w:tentative="1">
      <w:start w:val="1"/>
      <w:numFmt w:val="decimal"/>
      <w:lvlText w:val="%7."/>
      <w:lvlJc w:val="left"/>
      <w:pPr>
        <w:ind w:left="4699" w:hanging="360"/>
      </w:pPr>
    </w:lvl>
    <w:lvl w:ilvl="7" w:tplc="0C090019" w:tentative="1">
      <w:start w:val="1"/>
      <w:numFmt w:val="lowerLetter"/>
      <w:lvlText w:val="%8."/>
      <w:lvlJc w:val="left"/>
      <w:pPr>
        <w:ind w:left="5419" w:hanging="360"/>
      </w:pPr>
    </w:lvl>
    <w:lvl w:ilvl="8" w:tplc="0C09001B" w:tentative="1">
      <w:start w:val="1"/>
      <w:numFmt w:val="lowerRoman"/>
      <w:lvlText w:val="%9."/>
      <w:lvlJc w:val="right"/>
      <w:pPr>
        <w:ind w:left="6139" w:hanging="180"/>
      </w:pPr>
    </w:lvl>
  </w:abstractNum>
  <w:abstractNum w:abstractNumId="28" w15:restartNumberingAfterBreak="0">
    <w:nsid w:val="5B951A9B"/>
    <w:multiLevelType w:val="hybridMultilevel"/>
    <w:tmpl w:val="F10CE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E7B6202"/>
    <w:multiLevelType w:val="hybridMultilevel"/>
    <w:tmpl w:val="44FCD57E"/>
    <w:lvl w:ilvl="0" w:tplc="F072E2D6">
      <w:start w:val="1"/>
      <w:numFmt w:val="lowerLetter"/>
      <w:lvlText w:val="(%1)"/>
      <w:lvlJc w:val="left"/>
      <w:pPr>
        <w:ind w:left="379" w:hanging="360"/>
      </w:pPr>
      <w:rPr>
        <w:rFonts w:hint="default"/>
        <w:vertAlign w:val="superscript"/>
      </w:rPr>
    </w:lvl>
    <w:lvl w:ilvl="1" w:tplc="0C090019">
      <w:start w:val="1"/>
      <w:numFmt w:val="lowerLetter"/>
      <w:lvlText w:val="%2."/>
      <w:lvlJc w:val="left"/>
      <w:pPr>
        <w:ind w:left="1099" w:hanging="360"/>
      </w:pPr>
    </w:lvl>
    <w:lvl w:ilvl="2" w:tplc="0C09001B" w:tentative="1">
      <w:start w:val="1"/>
      <w:numFmt w:val="lowerRoman"/>
      <w:lvlText w:val="%3."/>
      <w:lvlJc w:val="right"/>
      <w:pPr>
        <w:ind w:left="1819" w:hanging="180"/>
      </w:pPr>
    </w:lvl>
    <w:lvl w:ilvl="3" w:tplc="0C09000F" w:tentative="1">
      <w:start w:val="1"/>
      <w:numFmt w:val="decimal"/>
      <w:lvlText w:val="%4."/>
      <w:lvlJc w:val="left"/>
      <w:pPr>
        <w:ind w:left="2539" w:hanging="360"/>
      </w:pPr>
    </w:lvl>
    <w:lvl w:ilvl="4" w:tplc="0C090019" w:tentative="1">
      <w:start w:val="1"/>
      <w:numFmt w:val="lowerLetter"/>
      <w:lvlText w:val="%5."/>
      <w:lvlJc w:val="left"/>
      <w:pPr>
        <w:ind w:left="3259" w:hanging="360"/>
      </w:pPr>
    </w:lvl>
    <w:lvl w:ilvl="5" w:tplc="0C09001B" w:tentative="1">
      <w:start w:val="1"/>
      <w:numFmt w:val="lowerRoman"/>
      <w:lvlText w:val="%6."/>
      <w:lvlJc w:val="right"/>
      <w:pPr>
        <w:ind w:left="3979" w:hanging="180"/>
      </w:pPr>
    </w:lvl>
    <w:lvl w:ilvl="6" w:tplc="0C09000F" w:tentative="1">
      <w:start w:val="1"/>
      <w:numFmt w:val="decimal"/>
      <w:lvlText w:val="%7."/>
      <w:lvlJc w:val="left"/>
      <w:pPr>
        <w:ind w:left="4699" w:hanging="360"/>
      </w:pPr>
    </w:lvl>
    <w:lvl w:ilvl="7" w:tplc="0C090019" w:tentative="1">
      <w:start w:val="1"/>
      <w:numFmt w:val="lowerLetter"/>
      <w:lvlText w:val="%8."/>
      <w:lvlJc w:val="left"/>
      <w:pPr>
        <w:ind w:left="5419" w:hanging="360"/>
      </w:pPr>
    </w:lvl>
    <w:lvl w:ilvl="8" w:tplc="0C09001B" w:tentative="1">
      <w:start w:val="1"/>
      <w:numFmt w:val="lowerRoman"/>
      <w:lvlText w:val="%9."/>
      <w:lvlJc w:val="right"/>
      <w:pPr>
        <w:ind w:left="6139" w:hanging="180"/>
      </w:pPr>
    </w:lvl>
  </w:abstractNum>
  <w:abstractNum w:abstractNumId="30" w15:restartNumberingAfterBreak="0">
    <w:nsid w:val="5FD1239E"/>
    <w:multiLevelType w:val="hybridMultilevel"/>
    <w:tmpl w:val="9A2C2A30"/>
    <w:lvl w:ilvl="0" w:tplc="DFAEB7E6">
      <w:start w:val="1"/>
      <w:numFmt w:val="lowerLetter"/>
      <w:lvlText w:val="(%1)"/>
      <w:lvlJc w:val="left"/>
      <w:pPr>
        <w:ind w:left="379" w:hanging="360"/>
      </w:pPr>
      <w:rPr>
        <w:rFonts w:hint="default"/>
        <w:vertAlign w:val="superscript"/>
      </w:rPr>
    </w:lvl>
    <w:lvl w:ilvl="1" w:tplc="0C090019" w:tentative="1">
      <w:start w:val="1"/>
      <w:numFmt w:val="lowerLetter"/>
      <w:lvlText w:val="%2."/>
      <w:lvlJc w:val="left"/>
      <w:pPr>
        <w:ind w:left="1099" w:hanging="360"/>
      </w:pPr>
    </w:lvl>
    <w:lvl w:ilvl="2" w:tplc="0C09001B" w:tentative="1">
      <w:start w:val="1"/>
      <w:numFmt w:val="lowerRoman"/>
      <w:lvlText w:val="%3."/>
      <w:lvlJc w:val="right"/>
      <w:pPr>
        <w:ind w:left="1819" w:hanging="180"/>
      </w:pPr>
    </w:lvl>
    <w:lvl w:ilvl="3" w:tplc="0C09000F" w:tentative="1">
      <w:start w:val="1"/>
      <w:numFmt w:val="decimal"/>
      <w:lvlText w:val="%4."/>
      <w:lvlJc w:val="left"/>
      <w:pPr>
        <w:ind w:left="2539" w:hanging="360"/>
      </w:pPr>
    </w:lvl>
    <w:lvl w:ilvl="4" w:tplc="0C090019" w:tentative="1">
      <w:start w:val="1"/>
      <w:numFmt w:val="lowerLetter"/>
      <w:lvlText w:val="%5."/>
      <w:lvlJc w:val="left"/>
      <w:pPr>
        <w:ind w:left="3259" w:hanging="360"/>
      </w:pPr>
    </w:lvl>
    <w:lvl w:ilvl="5" w:tplc="0C09001B" w:tentative="1">
      <w:start w:val="1"/>
      <w:numFmt w:val="lowerRoman"/>
      <w:lvlText w:val="%6."/>
      <w:lvlJc w:val="right"/>
      <w:pPr>
        <w:ind w:left="3979" w:hanging="180"/>
      </w:pPr>
    </w:lvl>
    <w:lvl w:ilvl="6" w:tplc="0C09000F" w:tentative="1">
      <w:start w:val="1"/>
      <w:numFmt w:val="decimal"/>
      <w:lvlText w:val="%7."/>
      <w:lvlJc w:val="left"/>
      <w:pPr>
        <w:ind w:left="4699" w:hanging="360"/>
      </w:pPr>
    </w:lvl>
    <w:lvl w:ilvl="7" w:tplc="0C090019" w:tentative="1">
      <w:start w:val="1"/>
      <w:numFmt w:val="lowerLetter"/>
      <w:lvlText w:val="%8."/>
      <w:lvlJc w:val="left"/>
      <w:pPr>
        <w:ind w:left="5419" w:hanging="360"/>
      </w:pPr>
    </w:lvl>
    <w:lvl w:ilvl="8" w:tplc="0C09001B" w:tentative="1">
      <w:start w:val="1"/>
      <w:numFmt w:val="lowerRoman"/>
      <w:lvlText w:val="%9."/>
      <w:lvlJc w:val="right"/>
      <w:pPr>
        <w:ind w:left="6139" w:hanging="180"/>
      </w:pPr>
    </w:lvl>
  </w:abstractNum>
  <w:abstractNum w:abstractNumId="31" w15:restartNumberingAfterBreak="0">
    <w:nsid w:val="6145554D"/>
    <w:multiLevelType w:val="hybridMultilevel"/>
    <w:tmpl w:val="0A5E1D18"/>
    <w:lvl w:ilvl="0" w:tplc="71C0529E">
      <w:start w:val="1"/>
      <w:numFmt w:val="lowerLetter"/>
      <w:lvlText w:val="(%1)"/>
      <w:lvlJc w:val="left"/>
      <w:pPr>
        <w:ind w:left="720" w:hanging="360"/>
      </w:pPr>
      <w:rPr>
        <w:rFonts w:hint="default"/>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5B87FCC"/>
    <w:multiLevelType w:val="hybridMultilevel"/>
    <w:tmpl w:val="D48A3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7851491"/>
    <w:multiLevelType w:val="hybridMultilevel"/>
    <w:tmpl w:val="A9CEE6A4"/>
    <w:lvl w:ilvl="0" w:tplc="F3349C9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F1141B4"/>
    <w:multiLevelType w:val="hybridMultilevel"/>
    <w:tmpl w:val="034848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974548"/>
    <w:multiLevelType w:val="hybridMultilevel"/>
    <w:tmpl w:val="FA345C46"/>
    <w:lvl w:ilvl="0" w:tplc="72326FE0">
      <w:start w:val="1"/>
      <w:numFmt w:val="lowerLetter"/>
      <w:lvlText w:val="(%1)"/>
      <w:lvlJc w:val="left"/>
      <w:pPr>
        <w:ind w:left="720" w:hanging="360"/>
      </w:pPr>
      <w:rPr>
        <w:rFonts w:hint="default"/>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02C1ED6"/>
    <w:multiLevelType w:val="hybridMultilevel"/>
    <w:tmpl w:val="087CE73A"/>
    <w:lvl w:ilvl="0" w:tplc="2E0E39D2">
      <w:start w:val="1"/>
      <w:numFmt w:val="lowerLetter"/>
      <w:lvlText w:val="(%1)"/>
      <w:lvlJc w:val="left"/>
      <w:pPr>
        <w:ind w:left="720" w:hanging="360"/>
      </w:pPr>
      <w:rPr>
        <w:rFonts w:hint="default"/>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2A87A07"/>
    <w:multiLevelType w:val="hybridMultilevel"/>
    <w:tmpl w:val="4B3A4308"/>
    <w:lvl w:ilvl="0" w:tplc="A3E88AA8">
      <w:start w:val="1"/>
      <w:numFmt w:val="decimal"/>
      <w:lvlText w:val="%1."/>
      <w:lvlJc w:val="left"/>
      <w:pPr>
        <w:ind w:left="37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46F1576"/>
    <w:multiLevelType w:val="hybridMultilevel"/>
    <w:tmpl w:val="A9CEE6A4"/>
    <w:lvl w:ilvl="0" w:tplc="F3349C9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5C25808"/>
    <w:multiLevelType w:val="hybridMultilevel"/>
    <w:tmpl w:val="1036507E"/>
    <w:lvl w:ilvl="0" w:tplc="0066B3B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5E10102"/>
    <w:multiLevelType w:val="hybridMultilevel"/>
    <w:tmpl w:val="D9F4110A"/>
    <w:lvl w:ilvl="0" w:tplc="07721EE8">
      <w:start w:val="1"/>
      <w:numFmt w:val="lowerLetter"/>
      <w:lvlText w:val="(%1)"/>
      <w:lvlJc w:val="left"/>
      <w:pPr>
        <w:ind w:left="720" w:hanging="360"/>
      </w:pPr>
      <w:rPr>
        <w:rFonts w:hint="default"/>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6864534"/>
    <w:multiLevelType w:val="hybridMultilevel"/>
    <w:tmpl w:val="45C28580"/>
    <w:lvl w:ilvl="0" w:tplc="FA74E84C">
      <w:start w:val="1"/>
      <w:numFmt w:val="lowerLetter"/>
      <w:lvlText w:val="(%1)"/>
      <w:lvlJc w:val="left"/>
      <w:pPr>
        <w:ind w:left="720" w:hanging="360"/>
      </w:pPr>
      <w:rPr>
        <w:rFonts w:hint="default"/>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68E6C2C"/>
    <w:multiLevelType w:val="hybridMultilevel"/>
    <w:tmpl w:val="36B4F226"/>
    <w:lvl w:ilvl="0" w:tplc="5DAACDB4">
      <w:start w:val="1"/>
      <w:numFmt w:val="decimal"/>
      <w:lvlText w:val="%1."/>
      <w:lvlJc w:val="left"/>
      <w:pPr>
        <w:ind w:left="37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7DA47E6"/>
    <w:multiLevelType w:val="hybridMultilevel"/>
    <w:tmpl w:val="6E2062B8"/>
    <w:lvl w:ilvl="0" w:tplc="A768C8BA">
      <w:start w:val="1"/>
      <w:numFmt w:val="lowerLetter"/>
      <w:lvlText w:val="(%1)"/>
      <w:lvlJc w:val="left"/>
      <w:pPr>
        <w:ind w:left="720" w:hanging="360"/>
      </w:pPr>
      <w:rPr>
        <w:rFonts w:hint="default"/>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85D5C11"/>
    <w:multiLevelType w:val="hybridMultilevel"/>
    <w:tmpl w:val="6E2C15FE"/>
    <w:lvl w:ilvl="0" w:tplc="D6924A90">
      <w:start w:val="1"/>
      <w:numFmt w:val="bullet"/>
      <w:lvlText w:val=""/>
      <w:lvlJc w:val="left"/>
      <w:pPr>
        <w:ind w:left="720" w:hanging="360"/>
      </w:pPr>
      <w:rPr>
        <w:rFonts w:ascii="Symbol" w:hAnsi="Symbol" w:hint="default"/>
        <w:b/>
        <w:i w:val="0"/>
        <w:sz w:val="24"/>
        <w:vertAlign w:val="superscript"/>
      </w:rPr>
    </w:lvl>
    <w:lvl w:ilvl="1" w:tplc="B1FA65F2">
      <w:numFmt w:val="bullet"/>
      <w:lvlText w:val="•"/>
      <w:lvlJc w:val="left"/>
      <w:pPr>
        <w:ind w:left="1440" w:hanging="360"/>
      </w:pPr>
      <w:rPr>
        <w:rFonts w:ascii="Arial" w:eastAsia="Times New Roman"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A351C09"/>
    <w:multiLevelType w:val="hybridMultilevel"/>
    <w:tmpl w:val="114A85FC"/>
    <w:lvl w:ilvl="0" w:tplc="998AF2C4">
      <w:start w:val="1"/>
      <w:numFmt w:val="lowerLetter"/>
      <w:lvlText w:val="(%1)"/>
      <w:lvlJc w:val="left"/>
      <w:pPr>
        <w:ind w:left="720" w:hanging="360"/>
      </w:pPr>
      <w:rPr>
        <w:rFonts w:hint="default"/>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A3E0264"/>
    <w:multiLevelType w:val="hybridMultilevel"/>
    <w:tmpl w:val="E96C89AC"/>
    <w:lvl w:ilvl="0" w:tplc="0C090001">
      <w:start w:val="1"/>
      <w:numFmt w:val="bullet"/>
      <w:lvlText w:val=""/>
      <w:lvlJc w:val="left"/>
      <w:pPr>
        <w:ind w:left="720" w:hanging="360"/>
      </w:pPr>
      <w:rPr>
        <w:rFonts w:ascii="Symbol" w:hAnsi="Symbol" w:hint="default"/>
      </w:rPr>
    </w:lvl>
    <w:lvl w:ilvl="1" w:tplc="3E2ECA92">
      <w:start w:val="1"/>
      <w:numFmt w:val="bullet"/>
      <w:pStyle w:val="Bullet-2"/>
      <w:lvlText w:val=""/>
      <w:lvlJc w:val="left"/>
      <w:pPr>
        <w:ind w:left="1440" w:hanging="360"/>
      </w:pPr>
      <w:rPr>
        <w:rFonts w:ascii="Symbol" w:hAnsi="Symbol" w:hint="default"/>
        <w:sz w:val="18"/>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A513C10"/>
    <w:multiLevelType w:val="hybridMultilevel"/>
    <w:tmpl w:val="68C49546"/>
    <w:lvl w:ilvl="0" w:tplc="19F060AC">
      <w:start w:val="1"/>
      <w:numFmt w:val="lowerLetter"/>
      <w:lvlText w:val="(%1)"/>
      <w:lvlJc w:val="left"/>
      <w:pPr>
        <w:ind w:left="720" w:hanging="360"/>
      </w:pPr>
      <w:rPr>
        <w:rFonts w:hint="default"/>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DF20F97"/>
    <w:multiLevelType w:val="hybridMultilevel"/>
    <w:tmpl w:val="7EA85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EF3024E"/>
    <w:multiLevelType w:val="hybridMultilevel"/>
    <w:tmpl w:val="7FF0BBDE"/>
    <w:lvl w:ilvl="0" w:tplc="769CDA9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9"/>
  </w:num>
  <w:num w:numId="3">
    <w:abstractNumId w:val="32"/>
  </w:num>
  <w:num w:numId="4">
    <w:abstractNumId w:val="21"/>
  </w:num>
  <w:num w:numId="5">
    <w:abstractNumId w:val="28"/>
  </w:num>
  <w:num w:numId="6">
    <w:abstractNumId w:val="26"/>
  </w:num>
  <w:num w:numId="7">
    <w:abstractNumId w:val="34"/>
  </w:num>
  <w:num w:numId="8">
    <w:abstractNumId w:val="27"/>
  </w:num>
  <w:num w:numId="9">
    <w:abstractNumId w:val="45"/>
  </w:num>
  <w:num w:numId="10">
    <w:abstractNumId w:val="47"/>
  </w:num>
  <w:num w:numId="11">
    <w:abstractNumId w:val="35"/>
  </w:num>
  <w:num w:numId="12">
    <w:abstractNumId w:val="31"/>
  </w:num>
  <w:num w:numId="13">
    <w:abstractNumId w:val="43"/>
  </w:num>
  <w:num w:numId="14">
    <w:abstractNumId w:val="41"/>
  </w:num>
  <w:num w:numId="15">
    <w:abstractNumId w:val="24"/>
  </w:num>
  <w:num w:numId="16">
    <w:abstractNumId w:val="36"/>
  </w:num>
  <w:num w:numId="17">
    <w:abstractNumId w:val="7"/>
  </w:num>
  <w:num w:numId="18">
    <w:abstractNumId w:val="40"/>
  </w:num>
  <w:num w:numId="19">
    <w:abstractNumId w:val="10"/>
  </w:num>
  <w:num w:numId="20">
    <w:abstractNumId w:val="46"/>
  </w:num>
  <w:num w:numId="21">
    <w:abstractNumId w:val="8"/>
  </w:num>
  <w:num w:numId="22">
    <w:abstractNumId w:val="1"/>
  </w:num>
  <w:num w:numId="23">
    <w:abstractNumId w:val="2"/>
  </w:num>
  <w:num w:numId="24">
    <w:abstractNumId w:val="13"/>
  </w:num>
  <w:num w:numId="25">
    <w:abstractNumId w:val="18"/>
  </w:num>
  <w:num w:numId="26">
    <w:abstractNumId w:val="11"/>
  </w:num>
  <w:num w:numId="27">
    <w:abstractNumId w:val="38"/>
  </w:num>
  <w:num w:numId="28">
    <w:abstractNumId w:val="49"/>
  </w:num>
  <w:num w:numId="29">
    <w:abstractNumId w:val="33"/>
  </w:num>
  <w:num w:numId="30">
    <w:abstractNumId w:val="15"/>
  </w:num>
  <w:num w:numId="31">
    <w:abstractNumId w:val="12"/>
  </w:num>
  <w:num w:numId="32">
    <w:abstractNumId w:val="16"/>
  </w:num>
  <w:num w:numId="33">
    <w:abstractNumId w:val="19"/>
  </w:num>
  <w:num w:numId="34">
    <w:abstractNumId w:val="14"/>
  </w:num>
  <w:num w:numId="35">
    <w:abstractNumId w:val="29"/>
  </w:num>
  <w:num w:numId="36">
    <w:abstractNumId w:val="42"/>
  </w:num>
  <w:num w:numId="37">
    <w:abstractNumId w:val="6"/>
  </w:num>
  <w:num w:numId="38">
    <w:abstractNumId w:val="25"/>
  </w:num>
  <w:num w:numId="39">
    <w:abstractNumId w:val="37"/>
  </w:num>
  <w:num w:numId="40">
    <w:abstractNumId w:val="5"/>
  </w:num>
  <w:num w:numId="41">
    <w:abstractNumId w:val="17"/>
  </w:num>
  <w:num w:numId="42">
    <w:abstractNumId w:val="30"/>
  </w:num>
  <w:num w:numId="43">
    <w:abstractNumId w:val="22"/>
  </w:num>
  <w:num w:numId="44">
    <w:abstractNumId w:val="0"/>
  </w:num>
  <w:num w:numId="45">
    <w:abstractNumId w:val="44"/>
  </w:num>
  <w:num w:numId="46">
    <w:abstractNumId w:val="48"/>
  </w:num>
  <w:num w:numId="47">
    <w:abstractNumId w:val="4"/>
  </w:num>
  <w:num w:numId="48">
    <w:abstractNumId w:val="23"/>
  </w:num>
  <w:num w:numId="49">
    <w:abstractNumId w:val="3"/>
  </w:num>
  <w:num w:numId="50">
    <w:abstractNumId w:val="3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B3D"/>
    <w:rsid w:val="00004793"/>
    <w:rsid w:val="00010FA0"/>
    <w:rsid w:val="000119DD"/>
    <w:rsid w:val="00014874"/>
    <w:rsid w:val="000152AC"/>
    <w:rsid w:val="000164E0"/>
    <w:rsid w:val="00017971"/>
    <w:rsid w:val="000219A9"/>
    <w:rsid w:val="00023319"/>
    <w:rsid w:val="000241F3"/>
    <w:rsid w:val="000245E7"/>
    <w:rsid w:val="00025045"/>
    <w:rsid w:val="000268B7"/>
    <w:rsid w:val="00027345"/>
    <w:rsid w:val="0002762B"/>
    <w:rsid w:val="000523BD"/>
    <w:rsid w:val="00055A92"/>
    <w:rsid w:val="00065C8A"/>
    <w:rsid w:val="000803FB"/>
    <w:rsid w:val="0008176E"/>
    <w:rsid w:val="0009390A"/>
    <w:rsid w:val="0009574D"/>
    <w:rsid w:val="00095767"/>
    <w:rsid w:val="00097AF4"/>
    <w:rsid w:val="000A683A"/>
    <w:rsid w:val="000A721E"/>
    <w:rsid w:val="000B1AEA"/>
    <w:rsid w:val="000C01C3"/>
    <w:rsid w:val="000C107E"/>
    <w:rsid w:val="000C4ED4"/>
    <w:rsid w:val="000C5877"/>
    <w:rsid w:val="000D336D"/>
    <w:rsid w:val="000D446A"/>
    <w:rsid w:val="000D7011"/>
    <w:rsid w:val="000E1586"/>
    <w:rsid w:val="000F0B1A"/>
    <w:rsid w:val="000F1682"/>
    <w:rsid w:val="000F417A"/>
    <w:rsid w:val="000F6024"/>
    <w:rsid w:val="000F76F9"/>
    <w:rsid w:val="0010599F"/>
    <w:rsid w:val="00116CB2"/>
    <w:rsid w:val="00116EDF"/>
    <w:rsid w:val="00121580"/>
    <w:rsid w:val="0012158F"/>
    <w:rsid w:val="00122588"/>
    <w:rsid w:val="00132706"/>
    <w:rsid w:val="00132853"/>
    <w:rsid w:val="001360F5"/>
    <w:rsid w:val="00140DAA"/>
    <w:rsid w:val="00142161"/>
    <w:rsid w:val="00142DD2"/>
    <w:rsid w:val="00144E1D"/>
    <w:rsid w:val="00156B91"/>
    <w:rsid w:val="00157D33"/>
    <w:rsid w:val="00160D4A"/>
    <w:rsid w:val="00161553"/>
    <w:rsid w:val="00164BC9"/>
    <w:rsid w:val="00165B9F"/>
    <w:rsid w:val="00166B42"/>
    <w:rsid w:val="001804FD"/>
    <w:rsid w:val="00184F26"/>
    <w:rsid w:val="0018606B"/>
    <w:rsid w:val="00195DED"/>
    <w:rsid w:val="00196524"/>
    <w:rsid w:val="001965C5"/>
    <w:rsid w:val="00196F4C"/>
    <w:rsid w:val="001A015B"/>
    <w:rsid w:val="001A513A"/>
    <w:rsid w:val="001A525C"/>
    <w:rsid w:val="001A647E"/>
    <w:rsid w:val="001B102A"/>
    <w:rsid w:val="001B286C"/>
    <w:rsid w:val="001C6EDE"/>
    <w:rsid w:val="001D119B"/>
    <w:rsid w:val="001E0235"/>
    <w:rsid w:val="001E4A1B"/>
    <w:rsid w:val="001E5736"/>
    <w:rsid w:val="001E6CAA"/>
    <w:rsid w:val="001F2C75"/>
    <w:rsid w:val="001F37FC"/>
    <w:rsid w:val="001F4345"/>
    <w:rsid w:val="001F561F"/>
    <w:rsid w:val="00200F04"/>
    <w:rsid w:val="00204ECD"/>
    <w:rsid w:val="002074FA"/>
    <w:rsid w:val="002101AB"/>
    <w:rsid w:val="0021105B"/>
    <w:rsid w:val="002156D0"/>
    <w:rsid w:val="0022214F"/>
    <w:rsid w:val="002330DD"/>
    <w:rsid w:val="0024599E"/>
    <w:rsid w:val="0024603E"/>
    <w:rsid w:val="00253901"/>
    <w:rsid w:val="002545F0"/>
    <w:rsid w:val="00257033"/>
    <w:rsid w:val="00257A26"/>
    <w:rsid w:val="00257C2E"/>
    <w:rsid w:val="00260359"/>
    <w:rsid w:val="002646EE"/>
    <w:rsid w:val="00271BB2"/>
    <w:rsid w:val="00273795"/>
    <w:rsid w:val="00282733"/>
    <w:rsid w:val="00283A64"/>
    <w:rsid w:val="00286415"/>
    <w:rsid w:val="0028645F"/>
    <w:rsid w:val="002969CC"/>
    <w:rsid w:val="002A2F36"/>
    <w:rsid w:val="002A55F0"/>
    <w:rsid w:val="002B0432"/>
    <w:rsid w:val="002B2770"/>
    <w:rsid w:val="002B6E2B"/>
    <w:rsid w:val="002C2561"/>
    <w:rsid w:val="002C4D8C"/>
    <w:rsid w:val="002C53EB"/>
    <w:rsid w:val="002C6F7F"/>
    <w:rsid w:val="002D0659"/>
    <w:rsid w:val="002E0FE1"/>
    <w:rsid w:val="002E3928"/>
    <w:rsid w:val="002E7CBE"/>
    <w:rsid w:val="002F1042"/>
    <w:rsid w:val="002F36B9"/>
    <w:rsid w:val="002F3D1A"/>
    <w:rsid w:val="002F7AD3"/>
    <w:rsid w:val="0030217F"/>
    <w:rsid w:val="003154CB"/>
    <w:rsid w:val="0031588F"/>
    <w:rsid w:val="0032184F"/>
    <w:rsid w:val="00322515"/>
    <w:rsid w:val="00334701"/>
    <w:rsid w:val="00344B3D"/>
    <w:rsid w:val="003517DB"/>
    <w:rsid w:val="00353C17"/>
    <w:rsid w:val="003545D6"/>
    <w:rsid w:val="00356C33"/>
    <w:rsid w:val="00362B1E"/>
    <w:rsid w:val="003703DB"/>
    <w:rsid w:val="00380D5B"/>
    <w:rsid w:val="00390ACB"/>
    <w:rsid w:val="00391BC0"/>
    <w:rsid w:val="003957BC"/>
    <w:rsid w:val="003A5077"/>
    <w:rsid w:val="003A55EB"/>
    <w:rsid w:val="003A5F9A"/>
    <w:rsid w:val="003B7588"/>
    <w:rsid w:val="003C0380"/>
    <w:rsid w:val="003C10F2"/>
    <w:rsid w:val="003D71A0"/>
    <w:rsid w:val="003D7976"/>
    <w:rsid w:val="003E1591"/>
    <w:rsid w:val="00400293"/>
    <w:rsid w:val="004002E9"/>
    <w:rsid w:val="00403403"/>
    <w:rsid w:val="00403B2D"/>
    <w:rsid w:val="004067D0"/>
    <w:rsid w:val="00410732"/>
    <w:rsid w:val="00416688"/>
    <w:rsid w:val="00420E06"/>
    <w:rsid w:val="00425671"/>
    <w:rsid w:val="0043035B"/>
    <w:rsid w:val="00430963"/>
    <w:rsid w:val="00441034"/>
    <w:rsid w:val="00442B03"/>
    <w:rsid w:val="004456B0"/>
    <w:rsid w:val="004476DA"/>
    <w:rsid w:val="00450B69"/>
    <w:rsid w:val="004510C9"/>
    <w:rsid w:val="00451CB1"/>
    <w:rsid w:val="00451F52"/>
    <w:rsid w:val="00454D74"/>
    <w:rsid w:val="00456227"/>
    <w:rsid w:val="00463622"/>
    <w:rsid w:val="004721E8"/>
    <w:rsid w:val="004816DC"/>
    <w:rsid w:val="0048277A"/>
    <w:rsid w:val="00482857"/>
    <w:rsid w:val="00482D6D"/>
    <w:rsid w:val="00483ED9"/>
    <w:rsid w:val="00491237"/>
    <w:rsid w:val="004935B9"/>
    <w:rsid w:val="0049514C"/>
    <w:rsid w:val="004951CA"/>
    <w:rsid w:val="00495923"/>
    <w:rsid w:val="004A2BC9"/>
    <w:rsid w:val="004A309F"/>
    <w:rsid w:val="004A39B4"/>
    <w:rsid w:val="004A7760"/>
    <w:rsid w:val="004B4798"/>
    <w:rsid w:val="004B73AF"/>
    <w:rsid w:val="004D6EAC"/>
    <w:rsid w:val="004D744A"/>
    <w:rsid w:val="004E2308"/>
    <w:rsid w:val="004F1227"/>
    <w:rsid w:val="004F2ADD"/>
    <w:rsid w:val="004F7E99"/>
    <w:rsid w:val="005000F1"/>
    <w:rsid w:val="00503AA0"/>
    <w:rsid w:val="00505ADD"/>
    <w:rsid w:val="00506058"/>
    <w:rsid w:val="005104BA"/>
    <w:rsid w:val="00523F1A"/>
    <w:rsid w:val="005251C2"/>
    <w:rsid w:val="0053296B"/>
    <w:rsid w:val="00533F08"/>
    <w:rsid w:val="00536FD6"/>
    <w:rsid w:val="005400F1"/>
    <w:rsid w:val="005419D2"/>
    <w:rsid w:val="005427F6"/>
    <w:rsid w:val="005448C1"/>
    <w:rsid w:val="00553C4D"/>
    <w:rsid w:val="00571A1E"/>
    <w:rsid w:val="00572910"/>
    <w:rsid w:val="0058223F"/>
    <w:rsid w:val="0058446F"/>
    <w:rsid w:val="00594587"/>
    <w:rsid w:val="00594EB9"/>
    <w:rsid w:val="00596D12"/>
    <w:rsid w:val="005A01CE"/>
    <w:rsid w:val="005A0E37"/>
    <w:rsid w:val="005A278E"/>
    <w:rsid w:val="005A3D5B"/>
    <w:rsid w:val="005A5781"/>
    <w:rsid w:val="005B0D51"/>
    <w:rsid w:val="005B2006"/>
    <w:rsid w:val="005C444E"/>
    <w:rsid w:val="005C6622"/>
    <w:rsid w:val="005D0E43"/>
    <w:rsid w:val="005D276F"/>
    <w:rsid w:val="005D4853"/>
    <w:rsid w:val="005E1078"/>
    <w:rsid w:val="005E363A"/>
    <w:rsid w:val="005E51B7"/>
    <w:rsid w:val="005E7FCF"/>
    <w:rsid w:val="005F1617"/>
    <w:rsid w:val="005F3639"/>
    <w:rsid w:val="005F7B99"/>
    <w:rsid w:val="006006C7"/>
    <w:rsid w:val="006042D9"/>
    <w:rsid w:val="00604C57"/>
    <w:rsid w:val="00617CB0"/>
    <w:rsid w:val="00621188"/>
    <w:rsid w:val="00623947"/>
    <w:rsid w:val="00627AFC"/>
    <w:rsid w:val="00644DA9"/>
    <w:rsid w:val="0065338F"/>
    <w:rsid w:val="0065429A"/>
    <w:rsid w:val="00655439"/>
    <w:rsid w:val="00666088"/>
    <w:rsid w:val="006741F8"/>
    <w:rsid w:val="0068149B"/>
    <w:rsid w:val="00682202"/>
    <w:rsid w:val="00687BC9"/>
    <w:rsid w:val="00691038"/>
    <w:rsid w:val="006A137B"/>
    <w:rsid w:val="006A2633"/>
    <w:rsid w:val="006A476C"/>
    <w:rsid w:val="006B66A7"/>
    <w:rsid w:val="006B7D2A"/>
    <w:rsid w:val="006C1989"/>
    <w:rsid w:val="006C69D5"/>
    <w:rsid w:val="006D2C03"/>
    <w:rsid w:val="006D4FC5"/>
    <w:rsid w:val="006E0171"/>
    <w:rsid w:val="006E3423"/>
    <w:rsid w:val="006F62AF"/>
    <w:rsid w:val="006F643D"/>
    <w:rsid w:val="00705517"/>
    <w:rsid w:val="00711171"/>
    <w:rsid w:val="007114E8"/>
    <w:rsid w:val="007132B5"/>
    <w:rsid w:val="007269CC"/>
    <w:rsid w:val="007357A3"/>
    <w:rsid w:val="00757D2F"/>
    <w:rsid w:val="00760100"/>
    <w:rsid w:val="007617EA"/>
    <w:rsid w:val="007624ED"/>
    <w:rsid w:val="00762A90"/>
    <w:rsid w:val="0077611B"/>
    <w:rsid w:val="007762C5"/>
    <w:rsid w:val="0077639A"/>
    <w:rsid w:val="007777B9"/>
    <w:rsid w:val="00780B04"/>
    <w:rsid w:val="007829F1"/>
    <w:rsid w:val="00785CB5"/>
    <w:rsid w:val="00790FE3"/>
    <w:rsid w:val="007937B8"/>
    <w:rsid w:val="00793FCB"/>
    <w:rsid w:val="00797973"/>
    <w:rsid w:val="007A42BC"/>
    <w:rsid w:val="007A5074"/>
    <w:rsid w:val="007A6333"/>
    <w:rsid w:val="007A6CE8"/>
    <w:rsid w:val="007A7C07"/>
    <w:rsid w:val="007B2FE0"/>
    <w:rsid w:val="007C00E4"/>
    <w:rsid w:val="007C596F"/>
    <w:rsid w:val="007C5A2C"/>
    <w:rsid w:val="007D294D"/>
    <w:rsid w:val="007D2CBD"/>
    <w:rsid w:val="007D30DC"/>
    <w:rsid w:val="007D7E44"/>
    <w:rsid w:val="007E0EE6"/>
    <w:rsid w:val="007E19B6"/>
    <w:rsid w:val="007E5F12"/>
    <w:rsid w:val="007F1D4E"/>
    <w:rsid w:val="007F2345"/>
    <w:rsid w:val="007F56AB"/>
    <w:rsid w:val="007F58C5"/>
    <w:rsid w:val="007F6B04"/>
    <w:rsid w:val="00801E1E"/>
    <w:rsid w:val="00803FA4"/>
    <w:rsid w:val="008069A0"/>
    <w:rsid w:val="008072FC"/>
    <w:rsid w:val="00807772"/>
    <w:rsid w:val="00814E94"/>
    <w:rsid w:val="008239A7"/>
    <w:rsid w:val="00834B49"/>
    <w:rsid w:val="00843AA2"/>
    <w:rsid w:val="00844F7B"/>
    <w:rsid w:val="0085360C"/>
    <w:rsid w:val="008541A2"/>
    <w:rsid w:val="00854541"/>
    <w:rsid w:val="00854D07"/>
    <w:rsid w:val="00856E75"/>
    <w:rsid w:val="0085732C"/>
    <w:rsid w:val="00865A55"/>
    <w:rsid w:val="00867313"/>
    <w:rsid w:val="00874F0C"/>
    <w:rsid w:val="0087529B"/>
    <w:rsid w:val="00880709"/>
    <w:rsid w:val="00881F74"/>
    <w:rsid w:val="00886A95"/>
    <w:rsid w:val="0089652F"/>
    <w:rsid w:val="008A4828"/>
    <w:rsid w:val="008C2E83"/>
    <w:rsid w:val="008C760B"/>
    <w:rsid w:val="008C7B2C"/>
    <w:rsid w:val="008D3106"/>
    <w:rsid w:val="008D3DBB"/>
    <w:rsid w:val="008D5946"/>
    <w:rsid w:val="008E1989"/>
    <w:rsid w:val="008E5C65"/>
    <w:rsid w:val="008F2D05"/>
    <w:rsid w:val="008F42FB"/>
    <w:rsid w:val="00905C45"/>
    <w:rsid w:val="00907D62"/>
    <w:rsid w:val="00910F2E"/>
    <w:rsid w:val="00911400"/>
    <w:rsid w:val="00912B70"/>
    <w:rsid w:val="009224C9"/>
    <w:rsid w:val="00927975"/>
    <w:rsid w:val="0093262A"/>
    <w:rsid w:val="009327C9"/>
    <w:rsid w:val="009349CD"/>
    <w:rsid w:val="00935B32"/>
    <w:rsid w:val="009503B0"/>
    <w:rsid w:val="0095195F"/>
    <w:rsid w:val="00953971"/>
    <w:rsid w:val="0096170F"/>
    <w:rsid w:val="00971017"/>
    <w:rsid w:val="0097104D"/>
    <w:rsid w:val="0097276F"/>
    <w:rsid w:val="00976543"/>
    <w:rsid w:val="009811B4"/>
    <w:rsid w:val="00981A8A"/>
    <w:rsid w:val="0098318F"/>
    <w:rsid w:val="00984B81"/>
    <w:rsid w:val="00987BE1"/>
    <w:rsid w:val="009A1119"/>
    <w:rsid w:val="009A203B"/>
    <w:rsid w:val="009B6236"/>
    <w:rsid w:val="009C46D6"/>
    <w:rsid w:val="009E012D"/>
    <w:rsid w:val="009E09F7"/>
    <w:rsid w:val="009E18EB"/>
    <w:rsid w:val="009E7D46"/>
    <w:rsid w:val="009F52E5"/>
    <w:rsid w:val="00A126D7"/>
    <w:rsid w:val="00A17B10"/>
    <w:rsid w:val="00A32307"/>
    <w:rsid w:val="00A33FB5"/>
    <w:rsid w:val="00A34D78"/>
    <w:rsid w:val="00A44726"/>
    <w:rsid w:val="00A44CDD"/>
    <w:rsid w:val="00A525B6"/>
    <w:rsid w:val="00A55282"/>
    <w:rsid w:val="00A55723"/>
    <w:rsid w:val="00A57462"/>
    <w:rsid w:val="00A6151E"/>
    <w:rsid w:val="00A65E68"/>
    <w:rsid w:val="00A73F45"/>
    <w:rsid w:val="00A746B6"/>
    <w:rsid w:val="00A76750"/>
    <w:rsid w:val="00A76CE7"/>
    <w:rsid w:val="00A87F13"/>
    <w:rsid w:val="00A92A51"/>
    <w:rsid w:val="00A92AB2"/>
    <w:rsid w:val="00AA07A4"/>
    <w:rsid w:val="00AA1097"/>
    <w:rsid w:val="00AA44B2"/>
    <w:rsid w:val="00AA6721"/>
    <w:rsid w:val="00AB1398"/>
    <w:rsid w:val="00AB77C1"/>
    <w:rsid w:val="00AB7BCD"/>
    <w:rsid w:val="00AC1F87"/>
    <w:rsid w:val="00AC5AA3"/>
    <w:rsid w:val="00AE1741"/>
    <w:rsid w:val="00AF6FCE"/>
    <w:rsid w:val="00B02282"/>
    <w:rsid w:val="00B05D82"/>
    <w:rsid w:val="00B11CBC"/>
    <w:rsid w:val="00B13FF8"/>
    <w:rsid w:val="00B1412C"/>
    <w:rsid w:val="00B16C31"/>
    <w:rsid w:val="00B17EC9"/>
    <w:rsid w:val="00B269D5"/>
    <w:rsid w:val="00B3115D"/>
    <w:rsid w:val="00B334F2"/>
    <w:rsid w:val="00B36912"/>
    <w:rsid w:val="00B403FF"/>
    <w:rsid w:val="00B46827"/>
    <w:rsid w:val="00B526ED"/>
    <w:rsid w:val="00B57D74"/>
    <w:rsid w:val="00B72CD3"/>
    <w:rsid w:val="00B73B01"/>
    <w:rsid w:val="00B815EF"/>
    <w:rsid w:val="00BA2179"/>
    <w:rsid w:val="00BB28F7"/>
    <w:rsid w:val="00BB435B"/>
    <w:rsid w:val="00BB45B7"/>
    <w:rsid w:val="00BC2A2C"/>
    <w:rsid w:val="00BD07CB"/>
    <w:rsid w:val="00BD1E25"/>
    <w:rsid w:val="00BD3126"/>
    <w:rsid w:val="00BE23F1"/>
    <w:rsid w:val="00BE265A"/>
    <w:rsid w:val="00BE3C1E"/>
    <w:rsid w:val="00BE4BA7"/>
    <w:rsid w:val="00BF058C"/>
    <w:rsid w:val="00BF1AB6"/>
    <w:rsid w:val="00C00854"/>
    <w:rsid w:val="00C06991"/>
    <w:rsid w:val="00C2694A"/>
    <w:rsid w:val="00C27048"/>
    <w:rsid w:val="00C27995"/>
    <w:rsid w:val="00C3425F"/>
    <w:rsid w:val="00C35F0B"/>
    <w:rsid w:val="00C37134"/>
    <w:rsid w:val="00C40727"/>
    <w:rsid w:val="00C41A95"/>
    <w:rsid w:val="00C4392F"/>
    <w:rsid w:val="00C5241A"/>
    <w:rsid w:val="00C532DD"/>
    <w:rsid w:val="00C5461E"/>
    <w:rsid w:val="00C54ABD"/>
    <w:rsid w:val="00C5506E"/>
    <w:rsid w:val="00C55B26"/>
    <w:rsid w:val="00C621ED"/>
    <w:rsid w:val="00C64675"/>
    <w:rsid w:val="00C72FA1"/>
    <w:rsid w:val="00C77614"/>
    <w:rsid w:val="00C84A18"/>
    <w:rsid w:val="00C92636"/>
    <w:rsid w:val="00C96A2B"/>
    <w:rsid w:val="00CA3030"/>
    <w:rsid w:val="00CA3213"/>
    <w:rsid w:val="00CA3BFB"/>
    <w:rsid w:val="00CB15C9"/>
    <w:rsid w:val="00CB1B0B"/>
    <w:rsid w:val="00CB1D17"/>
    <w:rsid w:val="00CB6593"/>
    <w:rsid w:val="00CC0C4E"/>
    <w:rsid w:val="00CC16F1"/>
    <w:rsid w:val="00CD490F"/>
    <w:rsid w:val="00D10DC1"/>
    <w:rsid w:val="00D229B1"/>
    <w:rsid w:val="00D27E29"/>
    <w:rsid w:val="00D30361"/>
    <w:rsid w:val="00D32BC6"/>
    <w:rsid w:val="00D338E5"/>
    <w:rsid w:val="00D357B0"/>
    <w:rsid w:val="00D41FD3"/>
    <w:rsid w:val="00D425CA"/>
    <w:rsid w:val="00D42728"/>
    <w:rsid w:val="00D45240"/>
    <w:rsid w:val="00D45C65"/>
    <w:rsid w:val="00D5008B"/>
    <w:rsid w:val="00D53DBF"/>
    <w:rsid w:val="00D53EC9"/>
    <w:rsid w:val="00D64CCC"/>
    <w:rsid w:val="00D7575B"/>
    <w:rsid w:val="00D778D0"/>
    <w:rsid w:val="00D820F6"/>
    <w:rsid w:val="00D8231B"/>
    <w:rsid w:val="00D8778B"/>
    <w:rsid w:val="00D90179"/>
    <w:rsid w:val="00D91E30"/>
    <w:rsid w:val="00D96C95"/>
    <w:rsid w:val="00DA4C60"/>
    <w:rsid w:val="00DA7AD7"/>
    <w:rsid w:val="00DB012D"/>
    <w:rsid w:val="00DB0C9F"/>
    <w:rsid w:val="00DC7841"/>
    <w:rsid w:val="00DC7C82"/>
    <w:rsid w:val="00DD184D"/>
    <w:rsid w:val="00DD3441"/>
    <w:rsid w:val="00DE6A82"/>
    <w:rsid w:val="00DF0535"/>
    <w:rsid w:val="00DF10FA"/>
    <w:rsid w:val="00DF6A77"/>
    <w:rsid w:val="00E001E5"/>
    <w:rsid w:val="00E01A54"/>
    <w:rsid w:val="00E137E1"/>
    <w:rsid w:val="00E144A7"/>
    <w:rsid w:val="00E144B3"/>
    <w:rsid w:val="00E209E3"/>
    <w:rsid w:val="00E24C4C"/>
    <w:rsid w:val="00E263DC"/>
    <w:rsid w:val="00E32DD8"/>
    <w:rsid w:val="00E33367"/>
    <w:rsid w:val="00E333D2"/>
    <w:rsid w:val="00E34578"/>
    <w:rsid w:val="00E368E4"/>
    <w:rsid w:val="00E51945"/>
    <w:rsid w:val="00E5262A"/>
    <w:rsid w:val="00E52E1A"/>
    <w:rsid w:val="00E53653"/>
    <w:rsid w:val="00E555FC"/>
    <w:rsid w:val="00E6163A"/>
    <w:rsid w:val="00E647C3"/>
    <w:rsid w:val="00E64817"/>
    <w:rsid w:val="00E70F44"/>
    <w:rsid w:val="00E733FB"/>
    <w:rsid w:val="00E7362C"/>
    <w:rsid w:val="00E73CAD"/>
    <w:rsid w:val="00E73E48"/>
    <w:rsid w:val="00E83970"/>
    <w:rsid w:val="00E86B8F"/>
    <w:rsid w:val="00EA4738"/>
    <w:rsid w:val="00EA56F3"/>
    <w:rsid w:val="00EA6572"/>
    <w:rsid w:val="00EB169E"/>
    <w:rsid w:val="00EB26E3"/>
    <w:rsid w:val="00EB5FAC"/>
    <w:rsid w:val="00EC31C1"/>
    <w:rsid w:val="00EC50F4"/>
    <w:rsid w:val="00EC67A7"/>
    <w:rsid w:val="00EC7E1C"/>
    <w:rsid w:val="00ED01B8"/>
    <w:rsid w:val="00ED1F6E"/>
    <w:rsid w:val="00ED38C3"/>
    <w:rsid w:val="00ED4913"/>
    <w:rsid w:val="00ED5A60"/>
    <w:rsid w:val="00EE32EC"/>
    <w:rsid w:val="00EE4605"/>
    <w:rsid w:val="00EE4F76"/>
    <w:rsid w:val="00EE7786"/>
    <w:rsid w:val="00EE7DC0"/>
    <w:rsid w:val="00EF47EA"/>
    <w:rsid w:val="00EF4998"/>
    <w:rsid w:val="00F02538"/>
    <w:rsid w:val="00F05E38"/>
    <w:rsid w:val="00F06691"/>
    <w:rsid w:val="00F176C1"/>
    <w:rsid w:val="00F20F20"/>
    <w:rsid w:val="00F2109D"/>
    <w:rsid w:val="00F254A4"/>
    <w:rsid w:val="00F27FBD"/>
    <w:rsid w:val="00F302E0"/>
    <w:rsid w:val="00F34BB4"/>
    <w:rsid w:val="00F400F2"/>
    <w:rsid w:val="00F43FFC"/>
    <w:rsid w:val="00F4428A"/>
    <w:rsid w:val="00F56EA0"/>
    <w:rsid w:val="00F57F79"/>
    <w:rsid w:val="00F6550B"/>
    <w:rsid w:val="00F66472"/>
    <w:rsid w:val="00F761B2"/>
    <w:rsid w:val="00F7644A"/>
    <w:rsid w:val="00F7789F"/>
    <w:rsid w:val="00F845EF"/>
    <w:rsid w:val="00F85D33"/>
    <w:rsid w:val="00F86A75"/>
    <w:rsid w:val="00F922EF"/>
    <w:rsid w:val="00F9334D"/>
    <w:rsid w:val="00F9621E"/>
    <w:rsid w:val="00FA4D45"/>
    <w:rsid w:val="00FA7F56"/>
    <w:rsid w:val="00FB1AB9"/>
    <w:rsid w:val="00FB300D"/>
    <w:rsid w:val="00FB44EB"/>
    <w:rsid w:val="00FB63CB"/>
    <w:rsid w:val="00FB69E7"/>
    <w:rsid w:val="00FB7030"/>
    <w:rsid w:val="00FC06D4"/>
    <w:rsid w:val="00FC6505"/>
    <w:rsid w:val="00FD063C"/>
    <w:rsid w:val="00FE0B99"/>
    <w:rsid w:val="00FE293C"/>
    <w:rsid w:val="00FF26F4"/>
    <w:rsid w:val="00FF5736"/>
    <w:rsid w:val="00FF6D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4BEEE4-DF0E-4799-A4CD-EB4B7090C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EC67A7"/>
    <w:pPr>
      <w:keepNext/>
      <w:keepLines/>
      <w:spacing w:before="480" w:after="0"/>
      <w:outlineLvl w:val="0"/>
    </w:pPr>
    <w:rPr>
      <w:rFonts w:ascii="Arial" w:eastAsia="Times New Roman" w:hAnsi="Arial"/>
      <w:b/>
      <w:bCs/>
      <w:sz w:val="70"/>
      <w:szCs w:val="28"/>
    </w:rPr>
  </w:style>
  <w:style w:type="paragraph" w:styleId="Heading2">
    <w:name w:val="heading 2"/>
    <w:basedOn w:val="Normal"/>
    <w:next w:val="Normal"/>
    <w:link w:val="Heading2Char"/>
    <w:uiPriority w:val="9"/>
    <w:unhideWhenUsed/>
    <w:qFormat/>
    <w:rsid w:val="00EC67A7"/>
    <w:pPr>
      <w:keepNext/>
      <w:keepLines/>
      <w:spacing w:before="200" w:after="0"/>
      <w:outlineLvl w:val="1"/>
    </w:pPr>
    <w:rPr>
      <w:rFonts w:ascii="Arial" w:eastAsia="Times New Roman" w:hAnsi="Arial"/>
      <w:b/>
      <w:bCs/>
      <w:sz w:val="40"/>
      <w:szCs w:val="26"/>
    </w:rPr>
  </w:style>
  <w:style w:type="paragraph" w:styleId="Heading3">
    <w:name w:val="heading 3"/>
    <w:basedOn w:val="Normal"/>
    <w:next w:val="Normal"/>
    <w:link w:val="Heading3Char"/>
    <w:uiPriority w:val="9"/>
    <w:unhideWhenUsed/>
    <w:qFormat/>
    <w:rsid w:val="007114E8"/>
    <w:pPr>
      <w:keepNext/>
      <w:spacing w:before="240" w:after="60"/>
      <w:outlineLvl w:val="2"/>
    </w:pPr>
    <w:rPr>
      <w:rFonts w:ascii="Arial" w:eastAsia="Times New Roman" w:hAnsi="Arial"/>
      <w:b/>
      <w:bCs/>
      <w:sz w:val="28"/>
      <w:szCs w:val="26"/>
    </w:rPr>
  </w:style>
  <w:style w:type="paragraph" w:styleId="Heading4">
    <w:name w:val="heading 4"/>
    <w:basedOn w:val="Normal"/>
    <w:next w:val="Normal"/>
    <w:link w:val="Heading4Char"/>
    <w:uiPriority w:val="9"/>
    <w:unhideWhenUsed/>
    <w:qFormat/>
    <w:rsid w:val="00B73B01"/>
    <w:pPr>
      <w:keepNext/>
      <w:spacing w:before="240" w:after="60"/>
      <w:outlineLvl w:val="3"/>
    </w:pPr>
    <w:rPr>
      <w:rFonts w:ascii="Arial" w:eastAsia="Times New Roman" w:hAnsi="Arial"/>
      <w:b/>
      <w:bCs/>
      <w:sz w:val="26"/>
      <w:szCs w:val="28"/>
    </w:rPr>
  </w:style>
  <w:style w:type="paragraph" w:styleId="Heading5">
    <w:name w:val="heading 5"/>
    <w:basedOn w:val="Normal"/>
    <w:next w:val="Normal"/>
    <w:link w:val="Heading5Char"/>
    <w:uiPriority w:val="9"/>
    <w:unhideWhenUsed/>
    <w:qFormat/>
    <w:rsid w:val="00B73B01"/>
    <w:pPr>
      <w:spacing w:before="240" w:after="60"/>
      <w:outlineLvl w:val="4"/>
    </w:pPr>
    <w:rPr>
      <w:rFonts w:ascii="Arial" w:eastAsia="Times New Roman" w:hAnsi="Arial"/>
      <w:b/>
      <w:bCs/>
      <w:iCs/>
      <w:sz w:val="24"/>
      <w:szCs w:val="26"/>
    </w:rPr>
  </w:style>
  <w:style w:type="paragraph" w:styleId="Heading6">
    <w:name w:val="heading 6"/>
    <w:basedOn w:val="Normal"/>
    <w:next w:val="Normal"/>
    <w:link w:val="Heading6Char"/>
    <w:uiPriority w:val="9"/>
    <w:unhideWhenUsed/>
    <w:qFormat/>
    <w:rsid w:val="00B73B01"/>
    <w:pPr>
      <w:spacing w:before="240" w:after="60"/>
      <w:outlineLvl w:val="5"/>
    </w:pPr>
    <w:rPr>
      <w:rFonts w:ascii="Arial" w:eastAsia="Times New Roman" w:hAnsi="Arial"/>
      <w:bCs/>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C67A7"/>
    <w:pPr>
      <w:widowControl w:val="0"/>
      <w:kinsoku w:val="0"/>
      <w:overflowPunct w:val="0"/>
      <w:autoSpaceDE w:val="0"/>
      <w:autoSpaceDN w:val="0"/>
      <w:adjustRightInd w:val="0"/>
      <w:spacing w:before="141" w:after="0" w:line="240" w:lineRule="auto"/>
    </w:pPr>
    <w:rPr>
      <w:rFonts w:ascii="Arial" w:eastAsia="Times New Roman" w:hAnsi="Arial" w:cs="Arial"/>
      <w:sz w:val="24"/>
      <w:szCs w:val="24"/>
      <w:lang w:eastAsia="en-AU"/>
    </w:rPr>
  </w:style>
  <w:style w:type="character" w:customStyle="1" w:styleId="BodyTextChar">
    <w:name w:val="Body Text Char"/>
    <w:link w:val="BodyText"/>
    <w:uiPriority w:val="1"/>
    <w:rsid w:val="00EC67A7"/>
    <w:rPr>
      <w:rFonts w:ascii="Arial" w:eastAsia="Times New Roman" w:hAnsi="Arial" w:cs="Arial"/>
      <w:sz w:val="24"/>
      <w:szCs w:val="24"/>
      <w:lang w:eastAsia="en-AU"/>
    </w:rPr>
  </w:style>
  <w:style w:type="paragraph" w:customStyle="1" w:styleId="Heading1-AgencyPerformance">
    <w:name w:val="Heading 1 - Agency Performance"/>
    <w:next w:val="BodyText"/>
    <w:link w:val="Heading1-AgencyPerformanceChar"/>
    <w:uiPriority w:val="1"/>
    <w:rsid w:val="00EC67A7"/>
    <w:pPr>
      <w:tabs>
        <w:tab w:val="left" w:pos="3217"/>
      </w:tabs>
      <w:kinsoku w:val="0"/>
      <w:overflowPunct w:val="0"/>
      <w:spacing w:after="200" w:line="829" w:lineRule="exact"/>
      <w:ind w:left="119"/>
      <w:outlineLvl w:val="0"/>
    </w:pPr>
    <w:rPr>
      <w:rFonts w:ascii="Myriad Pro" w:eastAsia="Times New Roman" w:hAnsi="Myriad Pro" w:cs="Myriad Pro"/>
      <w:spacing w:val="59"/>
      <w:sz w:val="70"/>
      <w:szCs w:val="70"/>
    </w:rPr>
  </w:style>
  <w:style w:type="character" w:customStyle="1" w:styleId="Heading1-AgencyPerformanceChar">
    <w:name w:val="Heading 1 - Agency Performance Char"/>
    <w:link w:val="Heading1-AgencyPerformance"/>
    <w:uiPriority w:val="1"/>
    <w:rsid w:val="00EC67A7"/>
    <w:rPr>
      <w:rFonts w:ascii="Myriad Pro" w:eastAsia="Times New Roman" w:hAnsi="Myriad Pro" w:cs="Myriad Pro"/>
      <w:spacing w:val="59"/>
      <w:sz w:val="70"/>
      <w:szCs w:val="70"/>
      <w:lang w:eastAsia="en-AU"/>
    </w:rPr>
  </w:style>
  <w:style w:type="paragraph" w:customStyle="1" w:styleId="Heading2-AgencyPerformance">
    <w:name w:val="Heading 2 - Agency Performance"/>
    <w:next w:val="BodyText"/>
    <w:link w:val="Heading2-AgencyPerformanceChar"/>
    <w:rsid w:val="00344B3D"/>
    <w:pPr>
      <w:kinsoku w:val="0"/>
      <w:overflowPunct w:val="0"/>
      <w:spacing w:after="200" w:line="439" w:lineRule="exact"/>
      <w:outlineLvl w:val="1"/>
    </w:pPr>
    <w:rPr>
      <w:rFonts w:ascii="Arial" w:eastAsia="Times New Roman" w:hAnsi="Arial" w:cs="Arial"/>
      <w:b/>
      <w:bCs/>
      <w:color w:val="5D883C"/>
      <w:spacing w:val="-1"/>
      <w:sz w:val="40"/>
      <w:szCs w:val="40"/>
    </w:rPr>
  </w:style>
  <w:style w:type="paragraph" w:customStyle="1" w:styleId="SuccessStoryheading-agencyperformance">
    <w:name w:val="Success Story heading - agency performance"/>
    <w:next w:val="BodyText"/>
    <w:link w:val="SuccessStoryheading-agencyperformanceChar"/>
    <w:rsid w:val="00EC67A7"/>
    <w:pPr>
      <w:spacing w:after="200" w:line="355" w:lineRule="exact"/>
      <w:outlineLvl w:val="2"/>
    </w:pPr>
    <w:rPr>
      <w:rFonts w:ascii="Arial" w:eastAsia="Times New Roman" w:hAnsi="Arial" w:cs="Arial"/>
      <w:b/>
      <w:bCs/>
      <w:color w:val="5D883C"/>
      <w:spacing w:val="-7"/>
      <w:sz w:val="32"/>
      <w:szCs w:val="32"/>
    </w:rPr>
  </w:style>
  <w:style w:type="character" w:customStyle="1" w:styleId="Heading2-AgencyPerformanceChar">
    <w:name w:val="Heading 2 - Agency Performance Char"/>
    <w:link w:val="Heading2-AgencyPerformance"/>
    <w:rsid w:val="00344B3D"/>
    <w:rPr>
      <w:rFonts w:ascii="Arial" w:eastAsia="Times New Roman" w:hAnsi="Arial" w:cs="Arial"/>
      <w:b/>
      <w:bCs/>
      <w:color w:val="5D883C"/>
      <w:spacing w:val="-1"/>
      <w:sz w:val="40"/>
      <w:szCs w:val="40"/>
      <w:lang w:eastAsia="en-AU"/>
    </w:rPr>
  </w:style>
  <w:style w:type="character" w:customStyle="1" w:styleId="Heading2Char">
    <w:name w:val="Heading 2 Char"/>
    <w:link w:val="Heading2"/>
    <w:uiPriority w:val="9"/>
    <w:rsid w:val="00EC67A7"/>
    <w:rPr>
      <w:rFonts w:ascii="Arial" w:eastAsia="Times New Roman" w:hAnsi="Arial" w:cs="Times New Roman"/>
      <w:b/>
      <w:bCs/>
      <w:sz w:val="40"/>
      <w:szCs w:val="26"/>
    </w:rPr>
  </w:style>
  <w:style w:type="character" w:customStyle="1" w:styleId="SuccessStoryheading-agencyperformanceChar">
    <w:name w:val="Success Story heading - agency performance Char"/>
    <w:link w:val="SuccessStoryheading-agencyperformance"/>
    <w:rsid w:val="00EC67A7"/>
    <w:rPr>
      <w:rFonts w:ascii="Arial" w:eastAsia="Times New Roman" w:hAnsi="Arial" w:cs="Arial"/>
      <w:b/>
      <w:bCs/>
      <w:color w:val="5D883C"/>
      <w:spacing w:val="-7"/>
      <w:sz w:val="32"/>
      <w:szCs w:val="32"/>
      <w:lang w:eastAsia="en-AU"/>
    </w:rPr>
  </w:style>
  <w:style w:type="character" w:customStyle="1" w:styleId="Heading1Char">
    <w:name w:val="Heading 1 Char"/>
    <w:link w:val="Heading1"/>
    <w:uiPriority w:val="9"/>
    <w:rsid w:val="00EC67A7"/>
    <w:rPr>
      <w:rFonts w:ascii="Arial" w:eastAsia="Times New Roman" w:hAnsi="Arial" w:cs="Times New Roman"/>
      <w:b/>
      <w:bCs/>
      <w:sz w:val="70"/>
      <w:szCs w:val="28"/>
    </w:rPr>
  </w:style>
  <w:style w:type="paragraph" w:customStyle="1" w:styleId="SuccessStory">
    <w:name w:val="Success Story"/>
    <w:basedOn w:val="Normal"/>
    <w:next w:val="Normal"/>
    <w:link w:val="SuccessStoryChar"/>
    <w:qFormat/>
    <w:rsid w:val="00EC67A7"/>
    <w:pPr>
      <w:outlineLvl w:val="2"/>
    </w:pPr>
    <w:rPr>
      <w:rFonts w:ascii="Arial" w:eastAsia="Times New Roman" w:hAnsi="Arial" w:cs="Arial"/>
      <w:b/>
      <w:bCs/>
      <w:spacing w:val="-7"/>
      <w:sz w:val="32"/>
      <w:szCs w:val="32"/>
      <w:lang w:eastAsia="en-AU"/>
    </w:rPr>
  </w:style>
  <w:style w:type="character" w:customStyle="1" w:styleId="Heading3Char">
    <w:name w:val="Heading 3 Char"/>
    <w:link w:val="Heading3"/>
    <w:uiPriority w:val="9"/>
    <w:rsid w:val="007114E8"/>
    <w:rPr>
      <w:rFonts w:ascii="Arial" w:eastAsia="Times New Roman" w:hAnsi="Arial" w:cs="Times New Roman"/>
      <w:b/>
      <w:bCs/>
      <w:sz w:val="28"/>
      <w:szCs w:val="26"/>
      <w:lang w:eastAsia="en-US"/>
    </w:rPr>
  </w:style>
  <w:style w:type="character" w:customStyle="1" w:styleId="SuccessStoryChar">
    <w:name w:val="Success Story Char"/>
    <w:link w:val="SuccessStory"/>
    <w:rsid w:val="00EC67A7"/>
    <w:rPr>
      <w:rFonts w:ascii="Arial" w:eastAsia="Times New Roman" w:hAnsi="Arial" w:cs="Arial"/>
      <w:b/>
      <w:bCs/>
      <w:spacing w:val="-7"/>
      <w:sz w:val="32"/>
      <w:szCs w:val="32"/>
      <w:lang w:eastAsia="en-AU"/>
    </w:rPr>
  </w:style>
  <w:style w:type="table" w:styleId="TableGrid">
    <w:name w:val="Table Grid"/>
    <w:basedOn w:val="TableNormal"/>
    <w:uiPriority w:val="59"/>
    <w:rsid w:val="007A7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tetext">
    <w:name w:val="Table note text"/>
    <w:basedOn w:val="BodyText"/>
    <w:link w:val="TablenotetextChar"/>
    <w:qFormat/>
    <w:rsid w:val="007A7C07"/>
    <w:pPr>
      <w:spacing w:before="113"/>
      <w:ind w:left="185" w:right="718" w:hanging="166"/>
    </w:pPr>
    <w:rPr>
      <w:spacing w:val="-1"/>
      <w:sz w:val="20"/>
      <w:szCs w:val="20"/>
    </w:rPr>
  </w:style>
  <w:style w:type="character" w:customStyle="1" w:styleId="Heading4Char">
    <w:name w:val="Heading 4 Char"/>
    <w:link w:val="Heading4"/>
    <w:uiPriority w:val="9"/>
    <w:rsid w:val="00B73B01"/>
    <w:rPr>
      <w:rFonts w:ascii="Arial" w:eastAsia="Times New Roman" w:hAnsi="Arial"/>
      <w:b/>
      <w:bCs/>
      <w:sz w:val="26"/>
      <w:szCs w:val="28"/>
      <w:lang w:eastAsia="en-US"/>
    </w:rPr>
  </w:style>
  <w:style w:type="character" w:customStyle="1" w:styleId="TablenotetextChar">
    <w:name w:val="Table note text Char"/>
    <w:link w:val="Tablenotetext"/>
    <w:rsid w:val="007A7C07"/>
    <w:rPr>
      <w:rFonts w:ascii="Arial" w:eastAsia="Times New Roman" w:hAnsi="Arial" w:cs="Arial"/>
      <w:spacing w:val="-1"/>
      <w:sz w:val="24"/>
      <w:szCs w:val="24"/>
      <w:lang w:eastAsia="en-AU"/>
    </w:rPr>
  </w:style>
  <w:style w:type="paragraph" w:customStyle="1" w:styleId="Tableboldedtext">
    <w:name w:val="Table bolded text"/>
    <w:next w:val="BodyText"/>
    <w:link w:val="TableboldedtextChar"/>
    <w:qFormat/>
    <w:rsid w:val="005D4853"/>
    <w:pPr>
      <w:spacing w:before="60" w:after="60"/>
    </w:pPr>
    <w:rPr>
      <w:rFonts w:ascii="Arial" w:eastAsia="Times New Roman" w:hAnsi="Arial" w:cs="Arial"/>
      <w:b/>
    </w:rPr>
  </w:style>
  <w:style w:type="paragraph" w:customStyle="1" w:styleId="Tabletext">
    <w:name w:val="Table text"/>
    <w:link w:val="TabletextChar"/>
    <w:qFormat/>
    <w:rsid w:val="005D4853"/>
    <w:pPr>
      <w:spacing w:before="60" w:after="60"/>
    </w:pPr>
    <w:rPr>
      <w:rFonts w:ascii="Arial" w:eastAsia="Times New Roman" w:hAnsi="Arial" w:cs="Arial"/>
      <w:spacing w:val="-1"/>
    </w:rPr>
  </w:style>
  <w:style w:type="character" w:customStyle="1" w:styleId="TableboldedtextChar">
    <w:name w:val="Table bolded text Char"/>
    <w:link w:val="Tableboldedtext"/>
    <w:rsid w:val="005D4853"/>
    <w:rPr>
      <w:rFonts w:ascii="Arial" w:eastAsia="Times New Roman" w:hAnsi="Arial" w:cs="Arial"/>
      <w:b/>
    </w:rPr>
  </w:style>
  <w:style w:type="character" w:customStyle="1" w:styleId="Heading5Char">
    <w:name w:val="Heading 5 Char"/>
    <w:link w:val="Heading5"/>
    <w:uiPriority w:val="9"/>
    <w:rsid w:val="00B73B01"/>
    <w:rPr>
      <w:rFonts w:ascii="Arial" w:eastAsia="Times New Roman" w:hAnsi="Arial"/>
      <w:b/>
      <w:bCs/>
      <w:iCs/>
      <w:sz w:val="24"/>
      <w:szCs w:val="26"/>
      <w:lang w:eastAsia="en-US"/>
    </w:rPr>
  </w:style>
  <w:style w:type="character" w:customStyle="1" w:styleId="TabletextChar">
    <w:name w:val="Table text Char"/>
    <w:link w:val="Tabletext"/>
    <w:rsid w:val="005D4853"/>
    <w:rPr>
      <w:rFonts w:ascii="Arial" w:eastAsia="Times New Roman" w:hAnsi="Arial" w:cs="Arial"/>
      <w:spacing w:val="-1"/>
    </w:rPr>
  </w:style>
  <w:style w:type="paragraph" w:customStyle="1" w:styleId="Tabletotal">
    <w:name w:val="Table total"/>
    <w:basedOn w:val="Tabletext"/>
    <w:link w:val="TabletotalChar"/>
    <w:rsid w:val="00D8231B"/>
    <w:rPr>
      <w:b/>
    </w:rPr>
  </w:style>
  <w:style w:type="character" w:customStyle="1" w:styleId="Heading6Char">
    <w:name w:val="Heading 6 Char"/>
    <w:link w:val="Heading6"/>
    <w:uiPriority w:val="9"/>
    <w:rsid w:val="00B73B01"/>
    <w:rPr>
      <w:rFonts w:ascii="Arial" w:eastAsia="Times New Roman" w:hAnsi="Arial" w:cs="Times New Roman"/>
      <w:bCs/>
      <w:i/>
      <w:sz w:val="24"/>
      <w:szCs w:val="22"/>
      <w:lang w:eastAsia="en-US"/>
    </w:rPr>
  </w:style>
  <w:style w:type="character" w:customStyle="1" w:styleId="TabletotalChar">
    <w:name w:val="Table total Char"/>
    <w:link w:val="Tabletotal"/>
    <w:rsid w:val="00D8231B"/>
    <w:rPr>
      <w:rFonts w:ascii="Arial" w:eastAsia="Times New Roman" w:hAnsi="Arial" w:cs="Arial"/>
      <w:b/>
      <w:spacing w:val="-1"/>
    </w:rPr>
  </w:style>
  <w:style w:type="paragraph" w:customStyle="1" w:styleId="Tableitalics">
    <w:name w:val="Table italics"/>
    <w:next w:val="Tabletext"/>
    <w:link w:val="TableitalicsChar"/>
    <w:qFormat/>
    <w:rsid w:val="00025045"/>
    <w:pPr>
      <w:spacing w:before="60" w:after="60"/>
    </w:pPr>
    <w:rPr>
      <w:rFonts w:ascii="Arial" w:eastAsia="Times New Roman" w:hAnsi="Arial" w:cs="Arial"/>
      <w:i/>
      <w:spacing w:val="-1"/>
    </w:rPr>
  </w:style>
  <w:style w:type="character" w:styleId="Hyperlink">
    <w:name w:val="Hyperlink"/>
    <w:uiPriority w:val="99"/>
    <w:unhideWhenUsed/>
    <w:rsid w:val="00C92636"/>
    <w:rPr>
      <w:color w:val="0000FF"/>
      <w:u w:val="single"/>
    </w:rPr>
  </w:style>
  <w:style w:type="character" w:customStyle="1" w:styleId="TableitalicsChar">
    <w:name w:val="Table italics Char"/>
    <w:link w:val="Tableitalics"/>
    <w:rsid w:val="00025045"/>
    <w:rPr>
      <w:rFonts w:ascii="Arial" w:eastAsia="Times New Roman" w:hAnsi="Arial" w:cs="Arial"/>
      <w:i/>
      <w:spacing w:val="-1"/>
    </w:rPr>
  </w:style>
  <w:style w:type="paragraph" w:styleId="Caption">
    <w:name w:val="caption"/>
    <w:basedOn w:val="Normal"/>
    <w:next w:val="Normal"/>
    <w:uiPriority w:val="35"/>
    <w:unhideWhenUsed/>
    <w:qFormat/>
    <w:rsid w:val="00780B04"/>
    <w:rPr>
      <w:rFonts w:ascii="Arial" w:hAnsi="Arial"/>
      <w:b/>
      <w:bCs/>
      <w:sz w:val="24"/>
      <w:szCs w:val="20"/>
    </w:rPr>
  </w:style>
  <w:style w:type="paragraph" w:customStyle="1" w:styleId="Style1">
    <w:name w:val="Style1"/>
    <w:basedOn w:val="Normal"/>
    <w:rsid w:val="0089652F"/>
    <w:pPr>
      <w:keepLines/>
      <w:pBdr>
        <w:top w:val="double" w:sz="6" w:space="6" w:color="auto" w:shadow="1"/>
        <w:left w:val="double" w:sz="6" w:space="6" w:color="auto" w:shadow="1"/>
        <w:bottom w:val="double" w:sz="6" w:space="6" w:color="auto" w:shadow="1"/>
        <w:right w:val="double" w:sz="6" w:space="6" w:color="auto" w:shadow="1"/>
      </w:pBdr>
      <w:spacing w:before="120" w:after="120" w:line="240" w:lineRule="auto"/>
      <w:ind w:right="288"/>
      <w:jc w:val="center"/>
    </w:pPr>
    <w:rPr>
      <w:rFonts w:ascii="Arial" w:eastAsia="Times New Roman" w:hAnsi="Arial"/>
      <w:b/>
      <w:smallCaps/>
      <w:sz w:val="36"/>
      <w:szCs w:val="20"/>
    </w:rPr>
  </w:style>
  <w:style w:type="paragraph" w:styleId="FootnoteText">
    <w:name w:val="footnote text"/>
    <w:basedOn w:val="Normal"/>
    <w:link w:val="FootnoteTextChar"/>
    <w:uiPriority w:val="99"/>
    <w:semiHidden/>
    <w:unhideWhenUsed/>
    <w:rsid w:val="00E86B8F"/>
    <w:rPr>
      <w:sz w:val="20"/>
      <w:szCs w:val="20"/>
    </w:rPr>
  </w:style>
  <w:style w:type="character" w:customStyle="1" w:styleId="FootnoteTextChar">
    <w:name w:val="Footnote Text Char"/>
    <w:link w:val="FootnoteText"/>
    <w:uiPriority w:val="99"/>
    <w:semiHidden/>
    <w:rsid w:val="00E86B8F"/>
    <w:rPr>
      <w:lang w:eastAsia="en-US"/>
    </w:rPr>
  </w:style>
  <w:style w:type="character" w:styleId="FootnoteReference">
    <w:name w:val="footnote reference"/>
    <w:uiPriority w:val="99"/>
    <w:semiHidden/>
    <w:unhideWhenUsed/>
    <w:rsid w:val="00E86B8F"/>
    <w:rPr>
      <w:vertAlign w:val="superscript"/>
    </w:rPr>
  </w:style>
  <w:style w:type="paragraph" w:styleId="ListParagraph">
    <w:name w:val="List Paragraph"/>
    <w:basedOn w:val="Normal"/>
    <w:uiPriority w:val="34"/>
    <w:qFormat/>
    <w:rsid w:val="00334701"/>
    <w:pPr>
      <w:spacing w:after="120" w:line="240" w:lineRule="auto"/>
      <w:ind w:left="720"/>
      <w:contextualSpacing/>
      <w:jc w:val="both"/>
    </w:pPr>
    <w:rPr>
      <w:rFonts w:ascii="Arial" w:hAnsi="Arial" w:cs="Arial"/>
    </w:rPr>
  </w:style>
  <w:style w:type="paragraph" w:customStyle="1" w:styleId="BasicParagraph">
    <w:name w:val="[Basic Paragraph]"/>
    <w:basedOn w:val="Normal"/>
    <w:uiPriority w:val="99"/>
    <w:rsid w:val="005251C2"/>
    <w:pPr>
      <w:widowControl w:val="0"/>
      <w:autoSpaceDE w:val="0"/>
      <w:autoSpaceDN w:val="0"/>
      <w:adjustRightInd w:val="0"/>
      <w:spacing w:after="0" w:line="288" w:lineRule="auto"/>
      <w:textAlignment w:val="center"/>
    </w:pPr>
    <w:rPr>
      <w:rFonts w:ascii="HelveticaNeueLT-Medium" w:eastAsia="Times New Roman" w:hAnsi="HelveticaNeueLT-Medium"/>
      <w:color w:val="000000"/>
      <w:sz w:val="24"/>
      <w:szCs w:val="24"/>
      <w:lang w:val="en-US" w:eastAsia="ja-JP"/>
    </w:rPr>
  </w:style>
  <w:style w:type="paragraph" w:customStyle="1" w:styleId="NoParagraphStyle">
    <w:name w:val="[No Paragraph Style]"/>
    <w:rsid w:val="005251C2"/>
    <w:pPr>
      <w:widowControl w:val="0"/>
      <w:autoSpaceDE w:val="0"/>
      <w:autoSpaceDN w:val="0"/>
      <w:adjustRightInd w:val="0"/>
      <w:spacing w:line="288" w:lineRule="auto"/>
      <w:textAlignment w:val="center"/>
    </w:pPr>
    <w:rPr>
      <w:rFonts w:ascii="HelveticaNeueLT-Medium" w:eastAsia="Times New Roman" w:hAnsi="HelveticaNeueLT-Medium"/>
      <w:color w:val="000000"/>
      <w:sz w:val="24"/>
      <w:szCs w:val="24"/>
      <w:lang w:val="en-US" w:eastAsia="ja-JP"/>
    </w:rPr>
  </w:style>
  <w:style w:type="paragraph" w:customStyle="1" w:styleId="Bullet-2">
    <w:name w:val="Bullet-2"/>
    <w:basedOn w:val="Normal"/>
    <w:rsid w:val="00CB6593"/>
    <w:pPr>
      <w:numPr>
        <w:ilvl w:val="1"/>
        <w:numId w:val="20"/>
      </w:numPr>
    </w:pPr>
  </w:style>
  <w:style w:type="paragraph" w:styleId="BalloonText">
    <w:name w:val="Balloon Text"/>
    <w:basedOn w:val="Normal"/>
    <w:link w:val="BalloonTextChar"/>
    <w:uiPriority w:val="99"/>
    <w:semiHidden/>
    <w:unhideWhenUsed/>
    <w:rsid w:val="00CB6593"/>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CB6593"/>
    <w:rPr>
      <w:rFonts w:ascii="Tahoma" w:hAnsi="Tahoma"/>
      <w:sz w:val="16"/>
      <w:szCs w:val="16"/>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7084">
      <w:bodyDiv w:val="1"/>
      <w:marLeft w:val="0"/>
      <w:marRight w:val="0"/>
      <w:marTop w:val="0"/>
      <w:marBottom w:val="0"/>
      <w:divBdr>
        <w:top w:val="none" w:sz="0" w:space="0" w:color="auto"/>
        <w:left w:val="none" w:sz="0" w:space="0" w:color="auto"/>
        <w:bottom w:val="none" w:sz="0" w:space="0" w:color="auto"/>
        <w:right w:val="none" w:sz="0" w:space="0" w:color="auto"/>
      </w:divBdr>
    </w:div>
    <w:div w:id="8723610">
      <w:bodyDiv w:val="1"/>
      <w:marLeft w:val="0"/>
      <w:marRight w:val="0"/>
      <w:marTop w:val="0"/>
      <w:marBottom w:val="0"/>
      <w:divBdr>
        <w:top w:val="none" w:sz="0" w:space="0" w:color="auto"/>
        <w:left w:val="none" w:sz="0" w:space="0" w:color="auto"/>
        <w:bottom w:val="none" w:sz="0" w:space="0" w:color="auto"/>
        <w:right w:val="none" w:sz="0" w:space="0" w:color="auto"/>
      </w:divBdr>
    </w:div>
    <w:div w:id="20523137">
      <w:bodyDiv w:val="1"/>
      <w:marLeft w:val="0"/>
      <w:marRight w:val="0"/>
      <w:marTop w:val="0"/>
      <w:marBottom w:val="0"/>
      <w:divBdr>
        <w:top w:val="none" w:sz="0" w:space="0" w:color="auto"/>
        <w:left w:val="none" w:sz="0" w:space="0" w:color="auto"/>
        <w:bottom w:val="none" w:sz="0" w:space="0" w:color="auto"/>
        <w:right w:val="none" w:sz="0" w:space="0" w:color="auto"/>
      </w:divBdr>
    </w:div>
    <w:div w:id="23215824">
      <w:bodyDiv w:val="1"/>
      <w:marLeft w:val="0"/>
      <w:marRight w:val="0"/>
      <w:marTop w:val="0"/>
      <w:marBottom w:val="0"/>
      <w:divBdr>
        <w:top w:val="none" w:sz="0" w:space="0" w:color="auto"/>
        <w:left w:val="none" w:sz="0" w:space="0" w:color="auto"/>
        <w:bottom w:val="none" w:sz="0" w:space="0" w:color="auto"/>
        <w:right w:val="none" w:sz="0" w:space="0" w:color="auto"/>
      </w:divBdr>
    </w:div>
    <w:div w:id="23944870">
      <w:bodyDiv w:val="1"/>
      <w:marLeft w:val="0"/>
      <w:marRight w:val="0"/>
      <w:marTop w:val="0"/>
      <w:marBottom w:val="0"/>
      <w:divBdr>
        <w:top w:val="none" w:sz="0" w:space="0" w:color="auto"/>
        <w:left w:val="none" w:sz="0" w:space="0" w:color="auto"/>
        <w:bottom w:val="none" w:sz="0" w:space="0" w:color="auto"/>
        <w:right w:val="none" w:sz="0" w:space="0" w:color="auto"/>
      </w:divBdr>
    </w:div>
    <w:div w:id="25759179">
      <w:bodyDiv w:val="1"/>
      <w:marLeft w:val="0"/>
      <w:marRight w:val="0"/>
      <w:marTop w:val="0"/>
      <w:marBottom w:val="0"/>
      <w:divBdr>
        <w:top w:val="none" w:sz="0" w:space="0" w:color="auto"/>
        <w:left w:val="none" w:sz="0" w:space="0" w:color="auto"/>
        <w:bottom w:val="none" w:sz="0" w:space="0" w:color="auto"/>
        <w:right w:val="none" w:sz="0" w:space="0" w:color="auto"/>
      </w:divBdr>
    </w:div>
    <w:div w:id="29695767">
      <w:bodyDiv w:val="1"/>
      <w:marLeft w:val="0"/>
      <w:marRight w:val="0"/>
      <w:marTop w:val="0"/>
      <w:marBottom w:val="0"/>
      <w:divBdr>
        <w:top w:val="none" w:sz="0" w:space="0" w:color="auto"/>
        <w:left w:val="none" w:sz="0" w:space="0" w:color="auto"/>
        <w:bottom w:val="none" w:sz="0" w:space="0" w:color="auto"/>
        <w:right w:val="none" w:sz="0" w:space="0" w:color="auto"/>
      </w:divBdr>
    </w:div>
    <w:div w:id="37553972">
      <w:bodyDiv w:val="1"/>
      <w:marLeft w:val="0"/>
      <w:marRight w:val="0"/>
      <w:marTop w:val="0"/>
      <w:marBottom w:val="0"/>
      <w:divBdr>
        <w:top w:val="none" w:sz="0" w:space="0" w:color="auto"/>
        <w:left w:val="none" w:sz="0" w:space="0" w:color="auto"/>
        <w:bottom w:val="none" w:sz="0" w:space="0" w:color="auto"/>
        <w:right w:val="none" w:sz="0" w:space="0" w:color="auto"/>
      </w:divBdr>
    </w:div>
    <w:div w:id="42606256">
      <w:bodyDiv w:val="1"/>
      <w:marLeft w:val="0"/>
      <w:marRight w:val="0"/>
      <w:marTop w:val="0"/>
      <w:marBottom w:val="0"/>
      <w:divBdr>
        <w:top w:val="none" w:sz="0" w:space="0" w:color="auto"/>
        <w:left w:val="none" w:sz="0" w:space="0" w:color="auto"/>
        <w:bottom w:val="none" w:sz="0" w:space="0" w:color="auto"/>
        <w:right w:val="none" w:sz="0" w:space="0" w:color="auto"/>
      </w:divBdr>
    </w:div>
    <w:div w:id="53699597">
      <w:bodyDiv w:val="1"/>
      <w:marLeft w:val="0"/>
      <w:marRight w:val="0"/>
      <w:marTop w:val="0"/>
      <w:marBottom w:val="0"/>
      <w:divBdr>
        <w:top w:val="none" w:sz="0" w:space="0" w:color="auto"/>
        <w:left w:val="none" w:sz="0" w:space="0" w:color="auto"/>
        <w:bottom w:val="none" w:sz="0" w:space="0" w:color="auto"/>
        <w:right w:val="none" w:sz="0" w:space="0" w:color="auto"/>
      </w:divBdr>
    </w:div>
    <w:div w:id="62870671">
      <w:bodyDiv w:val="1"/>
      <w:marLeft w:val="0"/>
      <w:marRight w:val="0"/>
      <w:marTop w:val="0"/>
      <w:marBottom w:val="0"/>
      <w:divBdr>
        <w:top w:val="none" w:sz="0" w:space="0" w:color="auto"/>
        <w:left w:val="none" w:sz="0" w:space="0" w:color="auto"/>
        <w:bottom w:val="none" w:sz="0" w:space="0" w:color="auto"/>
        <w:right w:val="none" w:sz="0" w:space="0" w:color="auto"/>
      </w:divBdr>
    </w:div>
    <w:div w:id="69885937">
      <w:bodyDiv w:val="1"/>
      <w:marLeft w:val="0"/>
      <w:marRight w:val="0"/>
      <w:marTop w:val="0"/>
      <w:marBottom w:val="0"/>
      <w:divBdr>
        <w:top w:val="none" w:sz="0" w:space="0" w:color="auto"/>
        <w:left w:val="none" w:sz="0" w:space="0" w:color="auto"/>
        <w:bottom w:val="none" w:sz="0" w:space="0" w:color="auto"/>
        <w:right w:val="none" w:sz="0" w:space="0" w:color="auto"/>
      </w:divBdr>
    </w:div>
    <w:div w:id="75322358">
      <w:bodyDiv w:val="1"/>
      <w:marLeft w:val="0"/>
      <w:marRight w:val="0"/>
      <w:marTop w:val="0"/>
      <w:marBottom w:val="0"/>
      <w:divBdr>
        <w:top w:val="none" w:sz="0" w:space="0" w:color="auto"/>
        <w:left w:val="none" w:sz="0" w:space="0" w:color="auto"/>
        <w:bottom w:val="none" w:sz="0" w:space="0" w:color="auto"/>
        <w:right w:val="none" w:sz="0" w:space="0" w:color="auto"/>
      </w:divBdr>
    </w:div>
    <w:div w:id="78332059">
      <w:bodyDiv w:val="1"/>
      <w:marLeft w:val="0"/>
      <w:marRight w:val="0"/>
      <w:marTop w:val="0"/>
      <w:marBottom w:val="0"/>
      <w:divBdr>
        <w:top w:val="none" w:sz="0" w:space="0" w:color="auto"/>
        <w:left w:val="none" w:sz="0" w:space="0" w:color="auto"/>
        <w:bottom w:val="none" w:sz="0" w:space="0" w:color="auto"/>
        <w:right w:val="none" w:sz="0" w:space="0" w:color="auto"/>
      </w:divBdr>
    </w:div>
    <w:div w:id="79329037">
      <w:bodyDiv w:val="1"/>
      <w:marLeft w:val="0"/>
      <w:marRight w:val="0"/>
      <w:marTop w:val="0"/>
      <w:marBottom w:val="0"/>
      <w:divBdr>
        <w:top w:val="none" w:sz="0" w:space="0" w:color="auto"/>
        <w:left w:val="none" w:sz="0" w:space="0" w:color="auto"/>
        <w:bottom w:val="none" w:sz="0" w:space="0" w:color="auto"/>
        <w:right w:val="none" w:sz="0" w:space="0" w:color="auto"/>
      </w:divBdr>
    </w:div>
    <w:div w:id="83964587">
      <w:bodyDiv w:val="1"/>
      <w:marLeft w:val="0"/>
      <w:marRight w:val="0"/>
      <w:marTop w:val="0"/>
      <w:marBottom w:val="0"/>
      <w:divBdr>
        <w:top w:val="none" w:sz="0" w:space="0" w:color="auto"/>
        <w:left w:val="none" w:sz="0" w:space="0" w:color="auto"/>
        <w:bottom w:val="none" w:sz="0" w:space="0" w:color="auto"/>
        <w:right w:val="none" w:sz="0" w:space="0" w:color="auto"/>
      </w:divBdr>
    </w:div>
    <w:div w:id="86509972">
      <w:bodyDiv w:val="1"/>
      <w:marLeft w:val="0"/>
      <w:marRight w:val="0"/>
      <w:marTop w:val="0"/>
      <w:marBottom w:val="0"/>
      <w:divBdr>
        <w:top w:val="none" w:sz="0" w:space="0" w:color="auto"/>
        <w:left w:val="none" w:sz="0" w:space="0" w:color="auto"/>
        <w:bottom w:val="none" w:sz="0" w:space="0" w:color="auto"/>
        <w:right w:val="none" w:sz="0" w:space="0" w:color="auto"/>
      </w:divBdr>
    </w:div>
    <w:div w:id="90510679">
      <w:bodyDiv w:val="1"/>
      <w:marLeft w:val="0"/>
      <w:marRight w:val="0"/>
      <w:marTop w:val="0"/>
      <w:marBottom w:val="0"/>
      <w:divBdr>
        <w:top w:val="none" w:sz="0" w:space="0" w:color="auto"/>
        <w:left w:val="none" w:sz="0" w:space="0" w:color="auto"/>
        <w:bottom w:val="none" w:sz="0" w:space="0" w:color="auto"/>
        <w:right w:val="none" w:sz="0" w:space="0" w:color="auto"/>
      </w:divBdr>
    </w:div>
    <w:div w:id="91971171">
      <w:bodyDiv w:val="1"/>
      <w:marLeft w:val="0"/>
      <w:marRight w:val="0"/>
      <w:marTop w:val="0"/>
      <w:marBottom w:val="0"/>
      <w:divBdr>
        <w:top w:val="none" w:sz="0" w:space="0" w:color="auto"/>
        <w:left w:val="none" w:sz="0" w:space="0" w:color="auto"/>
        <w:bottom w:val="none" w:sz="0" w:space="0" w:color="auto"/>
        <w:right w:val="none" w:sz="0" w:space="0" w:color="auto"/>
      </w:divBdr>
    </w:div>
    <w:div w:id="108202943">
      <w:bodyDiv w:val="1"/>
      <w:marLeft w:val="0"/>
      <w:marRight w:val="0"/>
      <w:marTop w:val="0"/>
      <w:marBottom w:val="0"/>
      <w:divBdr>
        <w:top w:val="none" w:sz="0" w:space="0" w:color="auto"/>
        <w:left w:val="none" w:sz="0" w:space="0" w:color="auto"/>
        <w:bottom w:val="none" w:sz="0" w:space="0" w:color="auto"/>
        <w:right w:val="none" w:sz="0" w:space="0" w:color="auto"/>
      </w:divBdr>
    </w:div>
    <w:div w:id="109710139">
      <w:bodyDiv w:val="1"/>
      <w:marLeft w:val="0"/>
      <w:marRight w:val="0"/>
      <w:marTop w:val="0"/>
      <w:marBottom w:val="0"/>
      <w:divBdr>
        <w:top w:val="none" w:sz="0" w:space="0" w:color="auto"/>
        <w:left w:val="none" w:sz="0" w:space="0" w:color="auto"/>
        <w:bottom w:val="none" w:sz="0" w:space="0" w:color="auto"/>
        <w:right w:val="none" w:sz="0" w:space="0" w:color="auto"/>
      </w:divBdr>
    </w:div>
    <w:div w:id="127089459">
      <w:bodyDiv w:val="1"/>
      <w:marLeft w:val="0"/>
      <w:marRight w:val="0"/>
      <w:marTop w:val="0"/>
      <w:marBottom w:val="0"/>
      <w:divBdr>
        <w:top w:val="none" w:sz="0" w:space="0" w:color="auto"/>
        <w:left w:val="none" w:sz="0" w:space="0" w:color="auto"/>
        <w:bottom w:val="none" w:sz="0" w:space="0" w:color="auto"/>
        <w:right w:val="none" w:sz="0" w:space="0" w:color="auto"/>
      </w:divBdr>
    </w:div>
    <w:div w:id="153180196">
      <w:bodyDiv w:val="1"/>
      <w:marLeft w:val="0"/>
      <w:marRight w:val="0"/>
      <w:marTop w:val="0"/>
      <w:marBottom w:val="0"/>
      <w:divBdr>
        <w:top w:val="none" w:sz="0" w:space="0" w:color="auto"/>
        <w:left w:val="none" w:sz="0" w:space="0" w:color="auto"/>
        <w:bottom w:val="none" w:sz="0" w:space="0" w:color="auto"/>
        <w:right w:val="none" w:sz="0" w:space="0" w:color="auto"/>
      </w:divBdr>
    </w:div>
    <w:div w:id="180903554">
      <w:bodyDiv w:val="1"/>
      <w:marLeft w:val="0"/>
      <w:marRight w:val="0"/>
      <w:marTop w:val="0"/>
      <w:marBottom w:val="0"/>
      <w:divBdr>
        <w:top w:val="none" w:sz="0" w:space="0" w:color="auto"/>
        <w:left w:val="none" w:sz="0" w:space="0" w:color="auto"/>
        <w:bottom w:val="none" w:sz="0" w:space="0" w:color="auto"/>
        <w:right w:val="none" w:sz="0" w:space="0" w:color="auto"/>
      </w:divBdr>
    </w:div>
    <w:div w:id="197088671">
      <w:bodyDiv w:val="1"/>
      <w:marLeft w:val="0"/>
      <w:marRight w:val="0"/>
      <w:marTop w:val="0"/>
      <w:marBottom w:val="0"/>
      <w:divBdr>
        <w:top w:val="none" w:sz="0" w:space="0" w:color="auto"/>
        <w:left w:val="none" w:sz="0" w:space="0" w:color="auto"/>
        <w:bottom w:val="none" w:sz="0" w:space="0" w:color="auto"/>
        <w:right w:val="none" w:sz="0" w:space="0" w:color="auto"/>
      </w:divBdr>
    </w:div>
    <w:div w:id="198326202">
      <w:bodyDiv w:val="1"/>
      <w:marLeft w:val="0"/>
      <w:marRight w:val="0"/>
      <w:marTop w:val="0"/>
      <w:marBottom w:val="0"/>
      <w:divBdr>
        <w:top w:val="none" w:sz="0" w:space="0" w:color="auto"/>
        <w:left w:val="none" w:sz="0" w:space="0" w:color="auto"/>
        <w:bottom w:val="none" w:sz="0" w:space="0" w:color="auto"/>
        <w:right w:val="none" w:sz="0" w:space="0" w:color="auto"/>
      </w:divBdr>
    </w:div>
    <w:div w:id="202713751">
      <w:bodyDiv w:val="1"/>
      <w:marLeft w:val="0"/>
      <w:marRight w:val="0"/>
      <w:marTop w:val="0"/>
      <w:marBottom w:val="0"/>
      <w:divBdr>
        <w:top w:val="none" w:sz="0" w:space="0" w:color="auto"/>
        <w:left w:val="none" w:sz="0" w:space="0" w:color="auto"/>
        <w:bottom w:val="none" w:sz="0" w:space="0" w:color="auto"/>
        <w:right w:val="none" w:sz="0" w:space="0" w:color="auto"/>
      </w:divBdr>
    </w:div>
    <w:div w:id="208421395">
      <w:bodyDiv w:val="1"/>
      <w:marLeft w:val="0"/>
      <w:marRight w:val="0"/>
      <w:marTop w:val="0"/>
      <w:marBottom w:val="0"/>
      <w:divBdr>
        <w:top w:val="none" w:sz="0" w:space="0" w:color="auto"/>
        <w:left w:val="none" w:sz="0" w:space="0" w:color="auto"/>
        <w:bottom w:val="none" w:sz="0" w:space="0" w:color="auto"/>
        <w:right w:val="none" w:sz="0" w:space="0" w:color="auto"/>
      </w:divBdr>
    </w:div>
    <w:div w:id="216940828">
      <w:bodyDiv w:val="1"/>
      <w:marLeft w:val="0"/>
      <w:marRight w:val="0"/>
      <w:marTop w:val="0"/>
      <w:marBottom w:val="0"/>
      <w:divBdr>
        <w:top w:val="none" w:sz="0" w:space="0" w:color="auto"/>
        <w:left w:val="none" w:sz="0" w:space="0" w:color="auto"/>
        <w:bottom w:val="none" w:sz="0" w:space="0" w:color="auto"/>
        <w:right w:val="none" w:sz="0" w:space="0" w:color="auto"/>
      </w:divBdr>
    </w:div>
    <w:div w:id="220943262">
      <w:bodyDiv w:val="1"/>
      <w:marLeft w:val="0"/>
      <w:marRight w:val="0"/>
      <w:marTop w:val="0"/>
      <w:marBottom w:val="0"/>
      <w:divBdr>
        <w:top w:val="none" w:sz="0" w:space="0" w:color="auto"/>
        <w:left w:val="none" w:sz="0" w:space="0" w:color="auto"/>
        <w:bottom w:val="none" w:sz="0" w:space="0" w:color="auto"/>
        <w:right w:val="none" w:sz="0" w:space="0" w:color="auto"/>
      </w:divBdr>
    </w:div>
    <w:div w:id="229116961">
      <w:bodyDiv w:val="1"/>
      <w:marLeft w:val="0"/>
      <w:marRight w:val="0"/>
      <w:marTop w:val="0"/>
      <w:marBottom w:val="0"/>
      <w:divBdr>
        <w:top w:val="none" w:sz="0" w:space="0" w:color="auto"/>
        <w:left w:val="none" w:sz="0" w:space="0" w:color="auto"/>
        <w:bottom w:val="none" w:sz="0" w:space="0" w:color="auto"/>
        <w:right w:val="none" w:sz="0" w:space="0" w:color="auto"/>
      </w:divBdr>
    </w:div>
    <w:div w:id="229770601">
      <w:bodyDiv w:val="1"/>
      <w:marLeft w:val="0"/>
      <w:marRight w:val="0"/>
      <w:marTop w:val="0"/>
      <w:marBottom w:val="0"/>
      <w:divBdr>
        <w:top w:val="none" w:sz="0" w:space="0" w:color="auto"/>
        <w:left w:val="none" w:sz="0" w:space="0" w:color="auto"/>
        <w:bottom w:val="none" w:sz="0" w:space="0" w:color="auto"/>
        <w:right w:val="none" w:sz="0" w:space="0" w:color="auto"/>
      </w:divBdr>
    </w:div>
    <w:div w:id="237174879">
      <w:bodyDiv w:val="1"/>
      <w:marLeft w:val="0"/>
      <w:marRight w:val="0"/>
      <w:marTop w:val="0"/>
      <w:marBottom w:val="0"/>
      <w:divBdr>
        <w:top w:val="none" w:sz="0" w:space="0" w:color="auto"/>
        <w:left w:val="none" w:sz="0" w:space="0" w:color="auto"/>
        <w:bottom w:val="none" w:sz="0" w:space="0" w:color="auto"/>
        <w:right w:val="none" w:sz="0" w:space="0" w:color="auto"/>
      </w:divBdr>
    </w:div>
    <w:div w:id="240912173">
      <w:bodyDiv w:val="1"/>
      <w:marLeft w:val="0"/>
      <w:marRight w:val="0"/>
      <w:marTop w:val="0"/>
      <w:marBottom w:val="0"/>
      <w:divBdr>
        <w:top w:val="none" w:sz="0" w:space="0" w:color="auto"/>
        <w:left w:val="none" w:sz="0" w:space="0" w:color="auto"/>
        <w:bottom w:val="none" w:sz="0" w:space="0" w:color="auto"/>
        <w:right w:val="none" w:sz="0" w:space="0" w:color="auto"/>
      </w:divBdr>
    </w:div>
    <w:div w:id="241448069">
      <w:bodyDiv w:val="1"/>
      <w:marLeft w:val="0"/>
      <w:marRight w:val="0"/>
      <w:marTop w:val="0"/>
      <w:marBottom w:val="0"/>
      <w:divBdr>
        <w:top w:val="none" w:sz="0" w:space="0" w:color="auto"/>
        <w:left w:val="none" w:sz="0" w:space="0" w:color="auto"/>
        <w:bottom w:val="none" w:sz="0" w:space="0" w:color="auto"/>
        <w:right w:val="none" w:sz="0" w:space="0" w:color="auto"/>
      </w:divBdr>
    </w:div>
    <w:div w:id="249312818">
      <w:bodyDiv w:val="1"/>
      <w:marLeft w:val="0"/>
      <w:marRight w:val="0"/>
      <w:marTop w:val="0"/>
      <w:marBottom w:val="0"/>
      <w:divBdr>
        <w:top w:val="none" w:sz="0" w:space="0" w:color="auto"/>
        <w:left w:val="none" w:sz="0" w:space="0" w:color="auto"/>
        <w:bottom w:val="none" w:sz="0" w:space="0" w:color="auto"/>
        <w:right w:val="none" w:sz="0" w:space="0" w:color="auto"/>
      </w:divBdr>
    </w:div>
    <w:div w:id="251160854">
      <w:bodyDiv w:val="1"/>
      <w:marLeft w:val="0"/>
      <w:marRight w:val="0"/>
      <w:marTop w:val="0"/>
      <w:marBottom w:val="0"/>
      <w:divBdr>
        <w:top w:val="none" w:sz="0" w:space="0" w:color="auto"/>
        <w:left w:val="none" w:sz="0" w:space="0" w:color="auto"/>
        <w:bottom w:val="none" w:sz="0" w:space="0" w:color="auto"/>
        <w:right w:val="none" w:sz="0" w:space="0" w:color="auto"/>
      </w:divBdr>
    </w:div>
    <w:div w:id="269047330">
      <w:bodyDiv w:val="1"/>
      <w:marLeft w:val="0"/>
      <w:marRight w:val="0"/>
      <w:marTop w:val="0"/>
      <w:marBottom w:val="0"/>
      <w:divBdr>
        <w:top w:val="none" w:sz="0" w:space="0" w:color="auto"/>
        <w:left w:val="none" w:sz="0" w:space="0" w:color="auto"/>
        <w:bottom w:val="none" w:sz="0" w:space="0" w:color="auto"/>
        <w:right w:val="none" w:sz="0" w:space="0" w:color="auto"/>
      </w:divBdr>
    </w:div>
    <w:div w:id="270821219">
      <w:bodyDiv w:val="1"/>
      <w:marLeft w:val="0"/>
      <w:marRight w:val="0"/>
      <w:marTop w:val="0"/>
      <w:marBottom w:val="0"/>
      <w:divBdr>
        <w:top w:val="none" w:sz="0" w:space="0" w:color="auto"/>
        <w:left w:val="none" w:sz="0" w:space="0" w:color="auto"/>
        <w:bottom w:val="none" w:sz="0" w:space="0" w:color="auto"/>
        <w:right w:val="none" w:sz="0" w:space="0" w:color="auto"/>
      </w:divBdr>
    </w:div>
    <w:div w:id="278489606">
      <w:bodyDiv w:val="1"/>
      <w:marLeft w:val="0"/>
      <w:marRight w:val="0"/>
      <w:marTop w:val="0"/>
      <w:marBottom w:val="0"/>
      <w:divBdr>
        <w:top w:val="none" w:sz="0" w:space="0" w:color="auto"/>
        <w:left w:val="none" w:sz="0" w:space="0" w:color="auto"/>
        <w:bottom w:val="none" w:sz="0" w:space="0" w:color="auto"/>
        <w:right w:val="none" w:sz="0" w:space="0" w:color="auto"/>
      </w:divBdr>
    </w:div>
    <w:div w:id="288900734">
      <w:bodyDiv w:val="1"/>
      <w:marLeft w:val="0"/>
      <w:marRight w:val="0"/>
      <w:marTop w:val="0"/>
      <w:marBottom w:val="0"/>
      <w:divBdr>
        <w:top w:val="none" w:sz="0" w:space="0" w:color="auto"/>
        <w:left w:val="none" w:sz="0" w:space="0" w:color="auto"/>
        <w:bottom w:val="none" w:sz="0" w:space="0" w:color="auto"/>
        <w:right w:val="none" w:sz="0" w:space="0" w:color="auto"/>
      </w:divBdr>
    </w:div>
    <w:div w:id="292029596">
      <w:bodyDiv w:val="1"/>
      <w:marLeft w:val="0"/>
      <w:marRight w:val="0"/>
      <w:marTop w:val="0"/>
      <w:marBottom w:val="0"/>
      <w:divBdr>
        <w:top w:val="none" w:sz="0" w:space="0" w:color="auto"/>
        <w:left w:val="none" w:sz="0" w:space="0" w:color="auto"/>
        <w:bottom w:val="none" w:sz="0" w:space="0" w:color="auto"/>
        <w:right w:val="none" w:sz="0" w:space="0" w:color="auto"/>
      </w:divBdr>
    </w:div>
    <w:div w:id="300503546">
      <w:bodyDiv w:val="1"/>
      <w:marLeft w:val="0"/>
      <w:marRight w:val="0"/>
      <w:marTop w:val="0"/>
      <w:marBottom w:val="0"/>
      <w:divBdr>
        <w:top w:val="none" w:sz="0" w:space="0" w:color="auto"/>
        <w:left w:val="none" w:sz="0" w:space="0" w:color="auto"/>
        <w:bottom w:val="none" w:sz="0" w:space="0" w:color="auto"/>
        <w:right w:val="none" w:sz="0" w:space="0" w:color="auto"/>
      </w:divBdr>
    </w:div>
    <w:div w:id="304505538">
      <w:bodyDiv w:val="1"/>
      <w:marLeft w:val="0"/>
      <w:marRight w:val="0"/>
      <w:marTop w:val="0"/>
      <w:marBottom w:val="0"/>
      <w:divBdr>
        <w:top w:val="none" w:sz="0" w:space="0" w:color="auto"/>
        <w:left w:val="none" w:sz="0" w:space="0" w:color="auto"/>
        <w:bottom w:val="none" w:sz="0" w:space="0" w:color="auto"/>
        <w:right w:val="none" w:sz="0" w:space="0" w:color="auto"/>
      </w:divBdr>
    </w:div>
    <w:div w:id="304942025">
      <w:bodyDiv w:val="1"/>
      <w:marLeft w:val="0"/>
      <w:marRight w:val="0"/>
      <w:marTop w:val="0"/>
      <w:marBottom w:val="0"/>
      <w:divBdr>
        <w:top w:val="none" w:sz="0" w:space="0" w:color="auto"/>
        <w:left w:val="none" w:sz="0" w:space="0" w:color="auto"/>
        <w:bottom w:val="none" w:sz="0" w:space="0" w:color="auto"/>
        <w:right w:val="none" w:sz="0" w:space="0" w:color="auto"/>
      </w:divBdr>
    </w:div>
    <w:div w:id="313264525">
      <w:bodyDiv w:val="1"/>
      <w:marLeft w:val="0"/>
      <w:marRight w:val="0"/>
      <w:marTop w:val="0"/>
      <w:marBottom w:val="0"/>
      <w:divBdr>
        <w:top w:val="none" w:sz="0" w:space="0" w:color="auto"/>
        <w:left w:val="none" w:sz="0" w:space="0" w:color="auto"/>
        <w:bottom w:val="none" w:sz="0" w:space="0" w:color="auto"/>
        <w:right w:val="none" w:sz="0" w:space="0" w:color="auto"/>
      </w:divBdr>
    </w:div>
    <w:div w:id="319236558">
      <w:bodyDiv w:val="1"/>
      <w:marLeft w:val="0"/>
      <w:marRight w:val="0"/>
      <w:marTop w:val="0"/>
      <w:marBottom w:val="0"/>
      <w:divBdr>
        <w:top w:val="none" w:sz="0" w:space="0" w:color="auto"/>
        <w:left w:val="none" w:sz="0" w:space="0" w:color="auto"/>
        <w:bottom w:val="none" w:sz="0" w:space="0" w:color="auto"/>
        <w:right w:val="none" w:sz="0" w:space="0" w:color="auto"/>
      </w:divBdr>
    </w:div>
    <w:div w:id="322200057">
      <w:bodyDiv w:val="1"/>
      <w:marLeft w:val="0"/>
      <w:marRight w:val="0"/>
      <w:marTop w:val="0"/>
      <w:marBottom w:val="0"/>
      <w:divBdr>
        <w:top w:val="none" w:sz="0" w:space="0" w:color="auto"/>
        <w:left w:val="none" w:sz="0" w:space="0" w:color="auto"/>
        <w:bottom w:val="none" w:sz="0" w:space="0" w:color="auto"/>
        <w:right w:val="none" w:sz="0" w:space="0" w:color="auto"/>
      </w:divBdr>
    </w:div>
    <w:div w:id="329870863">
      <w:bodyDiv w:val="1"/>
      <w:marLeft w:val="0"/>
      <w:marRight w:val="0"/>
      <w:marTop w:val="0"/>
      <w:marBottom w:val="0"/>
      <w:divBdr>
        <w:top w:val="none" w:sz="0" w:space="0" w:color="auto"/>
        <w:left w:val="none" w:sz="0" w:space="0" w:color="auto"/>
        <w:bottom w:val="none" w:sz="0" w:space="0" w:color="auto"/>
        <w:right w:val="none" w:sz="0" w:space="0" w:color="auto"/>
      </w:divBdr>
    </w:div>
    <w:div w:id="331761399">
      <w:bodyDiv w:val="1"/>
      <w:marLeft w:val="0"/>
      <w:marRight w:val="0"/>
      <w:marTop w:val="0"/>
      <w:marBottom w:val="0"/>
      <w:divBdr>
        <w:top w:val="none" w:sz="0" w:space="0" w:color="auto"/>
        <w:left w:val="none" w:sz="0" w:space="0" w:color="auto"/>
        <w:bottom w:val="none" w:sz="0" w:space="0" w:color="auto"/>
        <w:right w:val="none" w:sz="0" w:space="0" w:color="auto"/>
      </w:divBdr>
    </w:div>
    <w:div w:id="338625810">
      <w:bodyDiv w:val="1"/>
      <w:marLeft w:val="0"/>
      <w:marRight w:val="0"/>
      <w:marTop w:val="0"/>
      <w:marBottom w:val="0"/>
      <w:divBdr>
        <w:top w:val="none" w:sz="0" w:space="0" w:color="auto"/>
        <w:left w:val="none" w:sz="0" w:space="0" w:color="auto"/>
        <w:bottom w:val="none" w:sz="0" w:space="0" w:color="auto"/>
        <w:right w:val="none" w:sz="0" w:space="0" w:color="auto"/>
      </w:divBdr>
    </w:div>
    <w:div w:id="341012648">
      <w:bodyDiv w:val="1"/>
      <w:marLeft w:val="0"/>
      <w:marRight w:val="0"/>
      <w:marTop w:val="0"/>
      <w:marBottom w:val="0"/>
      <w:divBdr>
        <w:top w:val="none" w:sz="0" w:space="0" w:color="auto"/>
        <w:left w:val="none" w:sz="0" w:space="0" w:color="auto"/>
        <w:bottom w:val="none" w:sz="0" w:space="0" w:color="auto"/>
        <w:right w:val="none" w:sz="0" w:space="0" w:color="auto"/>
      </w:divBdr>
    </w:div>
    <w:div w:id="357775892">
      <w:bodyDiv w:val="1"/>
      <w:marLeft w:val="0"/>
      <w:marRight w:val="0"/>
      <w:marTop w:val="0"/>
      <w:marBottom w:val="0"/>
      <w:divBdr>
        <w:top w:val="none" w:sz="0" w:space="0" w:color="auto"/>
        <w:left w:val="none" w:sz="0" w:space="0" w:color="auto"/>
        <w:bottom w:val="none" w:sz="0" w:space="0" w:color="auto"/>
        <w:right w:val="none" w:sz="0" w:space="0" w:color="auto"/>
      </w:divBdr>
    </w:div>
    <w:div w:id="366102361">
      <w:bodyDiv w:val="1"/>
      <w:marLeft w:val="0"/>
      <w:marRight w:val="0"/>
      <w:marTop w:val="0"/>
      <w:marBottom w:val="0"/>
      <w:divBdr>
        <w:top w:val="none" w:sz="0" w:space="0" w:color="auto"/>
        <w:left w:val="none" w:sz="0" w:space="0" w:color="auto"/>
        <w:bottom w:val="none" w:sz="0" w:space="0" w:color="auto"/>
        <w:right w:val="none" w:sz="0" w:space="0" w:color="auto"/>
      </w:divBdr>
    </w:div>
    <w:div w:id="367225600">
      <w:bodyDiv w:val="1"/>
      <w:marLeft w:val="0"/>
      <w:marRight w:val="0"/>
      <w:marTop w:val="0"/>
      <w:marBottom w:val="0"/>
      <w:divBdr>
        <w:top w:val="none" w:sz="0" w:space="0" w:color="auto"/>
        <w:left w:val="none" w:sz="0" w:space="0" w:color="auto"/>
        <w:bottom w:val="none" w:sz="0" w:space="0" w:color="auto"/>
        <w:right w:val="none" w:sz="0" w:space="0" w:color="auto"/>
      </w:divBdr>
    </w:div>
    <w:div w:id="374307753">
      <w:bodyDiv w:val="1"/>
      <w:marLeft w:val="0"/>
      <w:marRight w:val="0"/>
      <w:marTop w:val="0"/>
      <w:marBottom w:val="0"/>
      <w:divBdr>
        <w:top w:val="none" w:sz="0" w:space="0" w:color="auto"/>
        <w:left w:val="none" w:sz="0" w:space="0" w:color="auto"/>
        <w:bottom w:val="none" w:sz="0" w:space="0" w:color="auto"/>
        <w:right w:val="none" w:sz="0" w:space="0" w:color="auto"/>
      </w:divBdr>
    </w:div>
    <w:div w:id="374740304">
      <w:bodyDiv w:val="1"/>
      <w:marLeft w:val="0"/>
      <w:marRight w:val="0"/>
      <w:marTop w:val="0"/>
      <w:marBottom w:val="0"/>
      <w:divBdr>
        <w:top w:val="none" w:sz="0" w:space="0" w:color="auto"/>
        <w:left w:val="none" w:sz="0" w:space="0" w:color="auto"/>
        <w:bottom w:val="none" w:sz="0" w:space="0" w:color="auto"/>
        <w:right w:val="none" w:sz="0" w:space="0" w:color="auto"/>
      </w:divBdr>
    </w:div>
    <w:div w:id="387187675">
      <w:bodyDiv w:val="1"/>
      <w:marLeft w:val="0"/>
      <w:marRight w:val="0"/>
      <w:marTop w:val="0"/>
      <w:marBottom w:val="0"/>
      <w:divBdr>
        <w:top w:val="none" w:sz="0" w:space="0" w:color="auto"/>
        <w:left w:val="none" w:sz="0" w:space="0" w:color="auto"/>
        <w:bottom w:val="none" w:sz="0" w:space="0" w:color="auto"/>
        <w:right w:val="none" w:sz="0" w:space="0" w:color="auto"/>
      </w:divBdr>
    </w:div>
    <w:div w:id="389696908">
      <w:bodyDiv w:val="1"/>
      <w:marLeft w:val="0"/>
      <w:marRight w:val="0"/>
      <w:marTop w:val="0"/>
      <w:marBottom w:val="0"/>
      <w:divBdr>
        <w:top w:val="none" w:sz="0" w:space="0" w:color="auto"/>
        <w:left w:val="none" w:sz="0" w:space="0" w:color="auto"/>
        <w:bottom w:val="none" w:sz="0" w:space="0" w:color="auto"/>
        <w:right w:val="none" w:sz="0" w:space="0" w:color="auto"/>
      </w:divBdr>
    </w:div>
    <w:div w:id="392706098">
      <w:bodyDiv w:val="1"/>
      <w:marLeft w:val="0"/>
      <w:marRight w:val="0"/>
      <w:marTop w:val="0"/>
      <w:marBottom w:val="0"/>
      <w:divBdr>
        <w:top w:val="none" w:sz="0" w:space="0" w:color="auto"/>
        <w:left w:val="none" w:sz="0" w:space="0" w:color="auto"/>
        <w:bottom w:val="none" w:sz="0" w:space="0" w:color="auto"/>
        <w:right w:val="none" w:sz="0" w:space="0" w:color="auto"/>
      </w:divBdr>
    </w:div>
    <w:div w:id="397244590">
      <w:bodyDiv w:val="1"/>
      <w:marLeft w:val="0"/>
      <w:marRight w:val="0"/>
      <w:marTop w:val="0"/>
      <w:marBottom w:val="0"/>
      <w:divBdr>
        <w:top w:val="none" w:sz="0" w:space="0" w:color="auto"/>
        <w:left w:val="none" w:sz="0" w:space="0" w:color="auto"/>
        <w:bottom w:val="none" w:sz="0" w:space="0" w:color="auto"/>
        <w:right w:val="none" w:sz="0" w:space="0" w:color="auto"/>
      </w:divBdr>
    </w:div>
    <w:div w:id="401224201">
      <w:bodyDiv w:val="1"/>
      <w:marLeft w:val="0"/>
      <w:marRight w:val="0"/>
      <w:marTop w:val="0"/>
      <w:marBottom w:val="0"/>
      <w:divBdr>
        <w:top w:val="none" w:sz="0" w:space="0" w:color="auto"/>
        <w:left w:val="none" w:sz="0" w:space="0" w:color="auto"/>
        <w:bottom w:val="none" w:sz="0" w:space="0" w:color="auto"/>
        <w:right w:val="none" w:sz="0" w:space="0" w:color="auto"/>
      </w:divBdr>
    </w:div>
    <w:div w:id="403064911">
      <w:bodyDiv w:val="1"/>
      <w:marLeft w:val="0"/>
      <w:marRight w:val="0"/>
      <w:marTop w:val="0"/>
      <w:marBottom w:val="0"/>
      <w:divBdr>
        <w:top w:val="none" w:sz="0" w:space="0" w:color="auto"/>
        <w:left w:val="none" w:sz="0" w:space="0" w:color="auto"/>
        <w:bottom w:val="none" w:sz="0" w:space="0" w:color="auto"/>
        <w:right w:val="none" w:sz="0" w:space="0" w:color="auto"/>
      </w:divBdr>
    </w:div>
    <w:div w:id="410086139">
      <w:bodyDiv w:val="1"/>
      <w:marLeft w:val="0"/>
      <w:marRight w:val="0"/>
      <w:marTop w:val="0"/>
      <w:marBottom w:val="0"/>
      <w:divBdr>
        <w:top w:val="none" w:sz="0" w:space="0" w:color="auto"/>
        <w:left w:val="none" w:sz="0" w:space="0" w:color="auto"/>
        <w:bottom w:val="none" w:sz="0" w:space="0" w:color="auto"/>
        <w:right w:val="none" w:sz="0" w:space="0" w:color="auto"/>
      </w:divBdr>
    </w:div>
    <w:div w:id="422386451">
      <w:bodyDiv w:val="1"/>
      <w:marLeft w:val="0"/>
      <w:marRight w:val="0"/>
      <w:marTop w:val="0"/>
      <w:marBottom w:val="0"/>
      <w:divBdr>
        <w:top w:val="none" w:sz="0" w:space="0" w:color="auto"/>
        <w:left w:val="none" w:sz="0" w:space="0" w:color="auto"/>
        <w:bottom w:val="none" w:sz="0" w:space="0" w:color="auto"/>
        <w:right w:val="none" w:sz="0" w:space="0" w:color="auto"/>
      </w:divBdr>
    </w:div>
    <w:div w:id="427309437">
      <w:bodyDiv w:val="1"/>
      <w:marLeft w:val="0"/>
      <w:marRight w:val="0"/>
      <w:marTop w:val="0"/>
      <w:marBottom w:val="0"/>
      <w:divBdr>
        <w:top w:val="none" w:sz="0" w:space="0" w:color="auto"/>
        <w:left w:val="none" w:sz="0" w:space="0" w:color="auto"/>
        <w:bottom w:val="none" w:sz="0" w:space="0" w:color="auto"/>
        <w:right w:val="none" w:sz="0" w:space="0" w:color="auto"/>
      </w:divBdr>
    </w:div>
    <w:div w:id="428621755">
      <w:bodyDiv w:val="1"/>
      <w:marLeft w:val="0"/>
      <w:marRight w:val="0"/>
      <w:marTop w:val="0"/>
      <w:marBottom w:val="0"/>
      <w:divBdr>
        <w:top w:val="none" w:sz="0" w:space="0" w:color="auto"/>
        <w:left w:val="none" w:sz="0" w:space="0" w:color="auto"/>
        <w:bottom w:val="none" w:sz="0" w:space="0" w:color="auto"/>
        <w:right w:val="none" w:sz="0" w:space="0" w:color="auto"/>
      </w:divBdr>
    </w:div>
    <w:div w:id="436869296">
      <w:bodyDiv w:val="1"/>
      <w:marLeft w:val="0"/>
      <w:marRight w:val="0"/>
      <w:marTop w:val="0"/>
      <w:marBottom w:val="0"/>
      <w:divBdr>
        <w:top w:val="none" w:sz="0" w:space="0" w:color="auto"/>
        <w:left w:val="none" w:sz="0" w:space="0" w:color="auto"/>
        <w:bottom w:val="none" w:sz="0" w:space="0" w:color="auto"/>
        <w:right w:val="none" w:sz="0" w:space="0" w:color="auto"/>
      </w:divBdr>
    </w:div>
    <w:div w:id="443378491">
      <w:bodyDiv w:val="1"/>
      <w:marLeft w:val="0"/>
      <w:marRight w:val="0"/>
      <w:marTop w:val="0"/>
      <w:marBottom w:val="0"/>
      <w:divBdr>
        <w:top w:val="none" w:sz="0" w:space="0" w:color="auto"/>
        <w:left w:val="none" w:sz="0" w:space="0" w:color="auto"/>
        <w:bottom w:val="none" w:sz="0" w:space="0" w:color="auto"/>
        <w:right w:val="none" w:sz="0" w:space="0" w:color="auto"/>
      </w:divBdr>
    </w:div>
    <w:div w:id="444546469">
      <w:bodyDiv w:val="1"/>
      <w:marLeft w:val="0"/>
      <w:marRight w:val="0"/>
      <w:marTop w:val="0"/>
      <w:marBottom w:val="0"/>
      <w:divBdr>
        <w:top w:val="none" w:sz="0" w:space="0" w:color="auto"/>
        <w:left w:val="none" w:sz="0" w:space="0" w:color="auto"/>
        <w:bottom w:val="none" w:sz="0" w:space="0" w:color="auto"/>
        <w:right w:val="none" w:sz="0" w:space="0" w:color="auto"/>
      </w:divBdr>
    </w:div>
    <w:div w:id="445469808">
      <w:bodyDiv w:val="1"/>
      <w:marLeft w:val="0"/>
      <w:marRight w:val="0"/>
      <w:marTop w:val="0"/>
      <w:marBottom w:val="0"/>
      <w:divBdr>
        <w:top w:val="none" w:sz="0" w:space="0" w:color="auto"/>
        <w:left w:val="none" w:sz="0" w:space="0" w:color="auto"/>
        <w:bottom w:val="none" w:sz="0" w:space="0" w:color="auto"/>
        <w:right w:val="none" w:sz="0" w:space="0" w:color="auto"/>
      </w:divBdr>
    </w:div>
    <w:div w:id="449936146">
      <w:bodyDiv w:val="1"/>
      <w:marLeft w:val="0"/>
      <w:marRight w:val="0"/>
      <w:marTop w:val="0"/>
      <w:marBottom w:val="0"/>
      <w:divBdr>
        <w:top w:val="none" w:sz="0" w:space="0" w:color="auto"/>
        <w:left w:val="none" w:sz="0" w:space="0" w:color="auto"/>
        <w:bottom w:val="none" w:sz="0" w:space="0" w:color="auto"/>
        <w:right w:val="none" w:sz="0" w:space="0" w:color="auto"/>
      </w:divBdr>
    </w:div>
    <w:div w:id="460147260">
      <w:bodyDiv w:val="1"/>
      <w:marLeft w:val="0"/>
      <w:marRight w:val="0"/>
      <w:marTop w:val="0"/>
      <w:marBottom w:val="0"/>
      <w:divBdr>
        <w:top w:val="none" w:sz="0" w:space="0" w:color="auto"/>
        <w:left w:val="none" w:sz="0" w:space="0" w:color="auto"/>
        <w:bottom w:val="none" w:sz="0" w:space="0" w:color="auto"/>
        <w:right w:val="none" w:sz="0" w:space="0" w:color="auto"/>
      </w:divBdr>
    </w:div>
    <w:div w:id="460342191">
      <w:bodyDiv w:val="1"/>
      <w:marLeft w:val="0"/>
      <w:marRight w:val="0"/>
      <w:marTop w:val="0"/>
      <w:marBottom w:val="0"/>
      <w:divBdr>
        <w:top w:val="none" w:sz="0" w:space="0" w:color="auto"/>
        <w:left w:val="none" w:sz="0" w:space="0" w:color="auto"/>
        <w:bottom w:val="none" w:sz="0" w:space="0" w:color="auto"/>
        <w:right w:val="none" w:sz="0" w:space="0" w:color="auto"/>
      </w:divBdr>
    </w:div>
    <w:div w:id="462578759">
      <w:bodyDiv w:val="1"/>
      <w:marLeft w:val="0"/>
      <w:marRight w:val="0"/>
      <w:marTop w:val="0"/>
      <w:marBottom w:val="0"/>
      <w:divBdr>
        <w:top w:val="none" w:sz="0" w:space="0" w:color="auto"/>
        <w:left w:val="none" w:sz="0" w:space="0" w:color="auto"/>
        <w:bottom w:val="none" w:sz="0" w:space="0" w:color="auto"/>
        <w:right w:val="none" w:sz="0" w:space="0" w:color="auto"/>
      </w:divBdr>
    </w:div>
    <w:div w:id="466238844">
      <w:bodyDiv w:val="1"/>
      <w:marLeft w:val="0"/>
      <w:marRight w:val="0"/>
      <w:marTop w:val="0"/>
      <w:marBottom w:val="0"/>
      <w:divBdr>
        <w:top w:val="none" w:sz="0" w:space="0" w:color="auto"/>
        <w:left w:val="none" w:sz="0" w:space="0" w:color="auto"/>
        <w:bottom w:val="none" w:sz="0" w:space="0" w:color="auto"/>
        <w:right w:val="none" w:sz="0" w:space="0" w:color="auto"/>
      </w:divBdr>
    </w:div>
    <w:div w:id="472716187">
      <w:bodyDiv w:val="1"/>
      <w:marLeft w:val="0"/>
      <w:marRight w:val="0"/>
      <w:marTop w:val="0"/>
      <w:marBottom w:val="0"/>
      <w:divBdr>
        <w:top w:val="none" w:sz="0" w:space="0" w:color="auto"/>
        <w:left w:val="none" w:sz="0" w:space="0" w:color="auto"/>
        <w:bottom w:val="none" w:sz="0" w:space="0" w:color="auto"/>
        <w:right w:val="none" w:sz="0" w:space="0" w:color="auto"/>
      </w:divBdr>
    </w:div>
    <w:div w:id="478427821">
      <w:bodyDiv w:val="1"/>
      <w:marLeft w:val="0"/>
      <w:marRight w:val="0"/>
      <w:marTop w:val="0"/>
      <w:marBottom w:val="0"/>
      <w:divBdr>
        <w:top w:val="none" w:sz="0" w:space="0" w:color="auto"/>
        <w:left w:val="none" w:sz="0" w:space="0" w:color="auto"/>
        <w:bottom w:val="none" w:sz="0" w:space="0" w:color="auto"/>
        <w:right w:val="none" w:sz="0" w:space="0" w:color="auto"/>
      </w:divBdr>
    </w:div>
    <w:div w:id="480581757">
      <w:bodyDiv w:val="1"/>
      <w:marLeft w:val="0"/>
      <w:marRight w:val="0"/>
      <w:marTop w:val="0"/>
      <w:marBottom w:val="0"/>
      <w:divBdr>
        <w:top w:val="none" w:sz="0" w:space="0" w:color="auto"/>
        <w:left w:val="none" w:sz="0" w:space="0" w:color="auto"/>
        <w:bottom w:val="none" w:sz="0" w:space="0" w:color="auto"/>
        <w:right w:val="none" w:sz="0" w:space="0" w:color="auto"/>
      </w:divBdr>
    </w:div>
    <w:div w:id="486094173">
      <w:bodyDiv w:val="1"/>
      <w:marLeft w:val="0"/>
      <w:marRight w:val="0"/>
      <w:marTop w:val="0"/>
      <w:marBottom w:val="0"/>
      <w:divBdr>
        <w:top w:val="none" w:sz="0" w:space="0" w:color="auto"/>
        <w:left w:val="none" w:sz="0" w:space="0" w:color="auto"/>
        <w:bottom w:val="none" w:sz="0" w:space="0" w:color="auto"/>
        <w:right w:val="none" w:sz="0" w:space="0" w:color="auto"/>
      </w:divBdr>
    </w:div>
    <w:div w:id="492523816">
      <w:bodyDiv w:val="1"/>
      <w:marLeft w:val="0"/>
      <w:marRight w:val="0"/>
      <w:marTop w:val="0"/>
      <w:marBottom w:val="0"/>
      <w:divBdr>
        <w:top w:val="none" w:sz="0" w:space="0" w:color="auto"/>
        <w:left w:val="none" w:sz="0" w:space="0" w:color="auto"/>
        <w:bottom w:val="none" w:sz="0" w:space="0" w:color="auto"/>
        <w:right w:val="none" w:sz="0" w:space="0" w:color="auto"/>
      </w:divBdr>
    </w:div>
    <w:div w:id="492919192">
      <w:bodyDiv w:val="1"/>
      <w:marLeft w:val="0"/>
      <w:marRight w:val="0"/>
      <w:marTop w:val="0"/>
      <w:marBottom w:val="0"/>
      <w:divBdr>
        <w:top w:val="none" w:sz="0" w:space="0" w:color="auto"/>
        <w:left w:val="none" w:sz="0" w:space="0" w:color="auto"/>
        <w:bottom w:val="none" w:sz="0" w:space="0" w:color="auto"/>
        <w:right w:val="none" w:sz="0" w:space="0" w:color="auto"/>
      </w:divBdr>
    </w:div>
    <w:div w:id="494876286">
      <w:bodyDiv w:val="1"/>
      <w:marLeft w:val="0"/>
      <w:marRight w:val="0"/>
      <w:marTop w:val="0"/>
      <w:marBottom w:val="0"/>
      <w:divBdr>
        <w:top w:val="none" w:sz="0" w:space="0" w:color="auto"/>
        <w:left w:val="none" w:sz="0" w:space="0" w:color="auto"/>
        <w:bottom w:val="none" w:sz="0" w:space="0" w:color="auto"/>
        <w:right w:val="none" w:sz="0" w:space="0" w:color="auto"/>
      </w:divBdr>
    </w:div>
    <w:div w:id="495653798">
      <w:bodyDiv w:val="1"/>
      <w:marLeft w:val="0"/>
      <w:marRight w:val="0"/>
      <w:marTop w:val="0"/>
      <w:marBottom w:val="0"/>
      <w:divBdr>
        <w:top w:val="none" w:sz="0" w:space="0" w:color="auto"/>
        <w:left w:val="none" w:sz="0" w:space="0" w:color="auto"/>
        <w:bottom w:val="none" w:sz="0" w:space="0" w:color="auto"/>
        <w:right w:val="none" w:sz="0" w:space="0" w:color="auto"/>
      </w:divBdr>
    </w:div>
    <w:div w:id="496844918">
      <w:bodyDiv w:val="1"/>
      <w:marLeft w:val="0"/>
      <w:marRight w:val="0"/>
      <w:marTop w:val="0"/>
      <w:marBottom w:val="0"/>
      <w:divBdr>
        <w:top w:val="none" w:sz="0" w:space="0" w:color="auto"/>
        <w:left w:val="none" w:sz="0" w:space="0" w:color="auto"/>
        <w:bottom w:val="none" w:sz="0" w:space="0" w:color="auto"/>
        <w:right w:val="none" w:sz="0" w:space="0" w:color="auto"/>
      </w:divBdr>
    </w:div>
    <w:div w:id="506362245">
      <w:bodyDiv w:val="1"/>
      <w:marLeft w:val="0"/>
      <w:marRight w:val="0"/>
      <w:marTop w:val="0"/>
      <w:marBottom w:val="0"/>
      <w:divBdr>
        <w:top w:val="none" w:sz="0" w:space="0" w:color="auto"/>
        <w:left w:val="none" w:sz="0" w:space="0" w:color="auto"/>
        <w:bottom w:val="none" w:sz="0" w:space="0" w:color="auto"/>
        <w:right w:val="none" w:sz="0" w:space="0" w:color="auto"/>
      </w:divBdr>
    </w:div>
    <w:div w:id="509030210">
      <w:bodyDiv w:val="1"/>
      <w:marLeft w:val="0"/>
      <w:marRight w:val="0"/>
      <w:marTop w:val="0"/>
      <w:marBottom w:val="0"/>
      <w:divBdr>
        <w:top w:val="none" w:sz="0" w:space="0" w:color="auto"/>
        <w:left w:val="none" w:sz="0" w:space="0" w:color="auto"/>
        <w:bottom w:val="none" w:sz="0" w:space="0" w:color="auto"/>
        <w:right w:val="none" w:sz="0" w:space="0" w:color="auto"/>
      </w:divBdr>
    </w:div>
    <w:div w:id="509493096">
      <w:bodyDiv w:val="1"/>
      <w:marLeft w:val="0"/>
      <w:marRight w:val="0"/>
      <w:marTop w:val="0"/>
      <w:marBottom w:val="0"/>
      <w:divBdr>
        <w:top w:val="none" w:sz="0" w:space="0" w:color="auto"/>
        <w:left w:val="none" w:sz="0" w:space="0" w:color="auto"/>
        <w:bottom w:val="none" w:sz="0" w:space="0" w:color="auto"/>
        <w:right w:val="none" w:sz="0" w:space="0" w:color="auto"/>
      </w:divBdr>
    </w:div>
    <w:div w:id="514534894">
      <w:bodyDiv w:val="1"/>
      <w:marLeft w:val="0"/>
      <w:marRight w:val="0"/>
      <w:marTop w:val="0"/>
      <w:marBottom w:val="0"/>
      <w:divBdr>
        <w:top w:val="none" w:sz="0" w:space="0" w:color="auto"/>
        <w:left w:val="none" w:sz="0" w:space="0" w:color="auto"/>
        <w:bottom w:val="none" w:sz="0" w:space="0" w:color="auto"/>
        <w:right w:val="none" w:sz="0" w:space="0" w:color="auto"/>
      </w:divBdr>
    </w:div>
    <w:div w:id="515775552">
      <w:bodyDiv w:val="1"/>
      <w:marLeft w:val="0"/>
      <w:marRight w:val="0"/>
      <w:marTop w:val="0"/>
      <w:marBottom w:val="0"/>
      <w:divBdr>
        <w:top w:val="none" w:sz="0" w:space="0" w:color="auto"/>
        <w:left w:val="none" w:sz="0" w:space="0" w:color="auto"/>
        <w:bottom w:val="none" w:sz="0" w:space="0" w:color="auto"/>
        <w:right w:val="none" w:sz="0" w:space="0" w:color="auto"/>
      </w:divBdr>
    </w:div>
    <w:div w:id="515925511">
      <w:bodyDiv w:val="1"/>
      <w:marLeft w:val="0"/>
      <w:marRight w:val="0"/>
      <w:marTop w:val="0"/>
      <w:marBottom w:val="0"/>
      <w:divBdr>
        <w:top w:val="none" w:sz="0" w:space="0" w:color="auto"/>
        <w:left w:val="none" w:sz="0" w:space="0" w:color="auto"/>
        <w:bottom w:val="none" w:sz="0" w:space="0" w:color="auto"/>
        <w:right w:val="none" w:sz="0" w:space="0" w:color="auto"/>
      </w:divBdr>
    </w:div>
    <w:div w:id="524830512">
      <w:bodyDiv w:val="1"/>
      <w:marLeft w:val="0"/>
      <w:marRight w:val="0"/>
      <w:marTop w:val="0"/>
      <w:marBottom w:val="0"/>
      <w:divBdr>
        <w:top w:val="none" w:sz="0" w:space="0" w:color="auto"/>
        <w:left w:val="none" w:sz="0" w:space="0" w:color="auto"/>
        <w:bottom w:val="none" w:sz="0" w:space="0" w:color="auto"/>
        <w:right w:val="none" w:sz="0" w:space="0" w:color="auto"/>
      </w:divBdr>
    </w:div>
    <w:div w:id="526413760">
      <w:bodyDiv w:val="1"/>
      <w:marLeft w:val="0"/>
      <w:marRight w:val="0"/>
      <w:marTop w:val="0"/>
      <w:marBottom w:val="0"/>
      <w:divBdr>
        <w:top w:val="none" w:sz="0" w:space="0" w:color="auto"/>
        <w:left w:val="none" w:sz="0" w:space="0" w:color="auto"/>
        <w:bottom w:val="none" w:sz="0" w:space="0" w:color="auto"/>
        <w:right w:val="none" w:sz="0" w:space="0" w:color="auto"/>
      </w:divBdr>
    </w:div>
    <w:div w:id="529681308">
      <w:bodyDiv w:val="1"/>
      <w:marLeft w:val="0"/>
      <w:marRight w:val="0"/>
      <w:marTop w:val="0"/>
      <w:marBottom w:val="0"/>
      <w:divBdr>
        <w:top w:val="none" w:sz="0" w:space="0" w:color="auto"/>
        <w:left w:val="none" w:sz="0" w:space="0" w:color="auto"/>
        <w:bottom w:val="none" w:sz="0" w:space="0" w:color="auto"/>
        <w:right w:val="none" w:sz="0" w:space="0" w:color="auto"/>
      </w:divBdr>
    </w:div>
    <w:div w:id="541864409">
      <w:bodyDiv w:val="1"/>
      <w:marLeft w:val="0"/>
      <w:marRight w:val="0"/>
      <w:marTop w:val="0"/>
      <w:marBottom w:val="0"/>
      <w:divBdr>
        <w:top w:val="none" w:sz="0" w:space="0" w:color="auto"/>
        <w:left w:val="none" w:sz="0" w:space="0" w:color="auto"/>
        <w:bottom w:val="none" w:sz="0" w:space="0" w:color="auto"/>
        <w:right w:val="none" w:sz="0" w:space="0" w:color="auto"/>
      </w:divBdr>
    </w:div>
    <w:div w:id="544607688">
      <w:bodyDiv w:val="1"/>
      <w:marLeft w:val="0"/>
      <w:marRight w:val="0"/>
      <w:marTop w:val="0"/>
      <w:marBottom w:val="0"/>
      <w:divBdr>
        <w:top w:val="none" w:sz="0" w:space="0" w:color="auto"/>
        <w:left w:val="none" w:sz="0" w:space="0" w:color="auto"/>
        <w:bottom w:val="none" w:sz="0" w:space="0" w:color="auto"/>
        <w:right w:val="none" w:sz="0" w:space="0" w:color="auto"/>
      </w:divBdr>
    </w:div>
    <w:div w:id="553392135">
      <w:bodyDiv w:val="1"/>
      <w:marLeft w:val="0"/>
      <w:marRight w:val="0"/>
      <w:marTop w:val="0"/>
      <w:marBottom w:val="0"/>
      <w:divBdr>
        <w:top w:val="none" w:sz="0" w:space="0" w:color="auto"/>
        <w:left w:val="none" w:sz="0" w:space="0" w:color="auto"/>
        <w:bottom w:val="none" w:sz="0" w:space="0" w:color="auto"/>
        <w:right w:val="none" w:sz="0" w:space="0" w:color="auto"/>
      </w:divBdr>
    </w:div>
    <w:div w:id="578517768">
      <w:bodyDiv w:val="1"/>
      <w:marLeft w:val="0"/>
      <w:marRight w:val="0"/>
      <w:marTop w:val="0"/>
      <w:marBottom w:val="0"/>
      <w:divBdr>
        <w:top w:val="none" w:sz="0" w:space="0" w:color="auto"/>
        <w:left w:val="none" w:sz="0" w:space="0" w:color="auto"/>
        <w:bottom w:val="none" w:sz="0" w:space="0" w:color="auto"/>
        <w:right w:val="none" w:sz="0" w:space="0" w:color="auto"/>
      </w:divBdr>
    </w:div>
    <w:div w:id="584530984">
      <w:bodyDiv w:val="1"/>
      <w:marLeft w:val="0"/>
      <w:marRight w:val="0"/>
      <w:marTop w:val="0"/>
      <w:marBottom w:val="0"/>
      <w:divBdr>
        <w:top w:val="none" w:sz="0" w:space="0" w:color="auto"/>
        <w:left w:val="none" w:sz="0" w:space="0" w:color="auto"/>
        <w:bottom w:val="none" w:sz="0" w:space="0" w:color="auto"/>
        <w:right w:val="none" w:sz="0" w:space="0" w:color="auto"/>
      </w:divBdr>
    </w:div>
    <w:div w:id="593323412">
      <w:bodyDiv w:val="1"/>
      <w:marLeft w:val="0"/>
      <w:marRight w:val="0"/>
      <w:marTop w:val="0"/>
      <w:marBottom w:val="0"/>
      <w:divBdr>
        <w:top w:val="none" w:sz="0" w:space="0" w:color="auto"/>
        <w:left w:val="none" w:sz="0" w:space="0" w:color="auto"/>
        <w:bottom w:val="none" w:sz="0" w:space="0" w:color="auto"/>
        <w:right w:val="none" w:sz="0" w:space="0" w:color="auto"/>
      </w:divBdr>
    </w:div>
    <w:div w:id="598374800">
      <w:bodyDiv w:val="1"/>
      <w:marLeft w:val="0"/>
      <w:marRight w:val="0"/>
      <w:marTop w:val="0"/>
      <w:marBottom w:val="0"/>
      <w:divBdr>
        <w:top w:val="none" w:sz="0" w:space="0" w:color="auto"/>
        <w:left w:val="none" w:sz="0" w:space="0" w:color="auto"/>
        <w:bottom w:val="none" w:sz="0" w:space="0" w:color="auto"/>
        <w:right w:val="none" w:sz="0" w:space="0" w:color="auto"/>
      </w:divBdr>
    </w:div>
    <w:div w:id="607739339">
      <w:bodyDiv w:val="1"/>
      <w:marLeft w:val="0"/>
      <w:marRight w:val="0"/>
      <w:marTop w:val="0"/>
      <w:marBottom w:val="0"/>
      <w:divBdr>
        <w:top w:val="none" w:sz="0" w:space="0" w:color="auto"/>
        <w:left w:val="none" w:sz="0" w:space="0" w:color="auto"/>
        <w:bottom w:val="none" w:sz="0" w:space="0" w:color="auto"/>
        <w:right w:val="none" w:sz="0" w:space="0" w:color="auto"/>
      </w:divBdr>
    </w:div>
    <w:div w:id="620112526">
      <w:bodyDiv w:val="1"/>
      <w:marLeft w:val="0"/>
      <w:marRight w:val="0"/>
      <w:marTop w:val="0"/>
      <w:marBottom w:val="0"/>
      <w:divBdr>
        <w:top w:val="none" w:sz="0" w:space="0" w:color="auto"/>
        <w:left w:val="none" w:sz="0" w:space="0" w:color="auto"/>
        <w:bottom w:val="none" w:sz="0" w:space="0" w:color="auto"/>
        <w:right w:val="none" w:sz="0" w:space="0" w:color="auto"/>
      </w:divBdr>
    </w:div>
    <w:div w:id="623728537">
      <w:bodyDiv w:val="1"/>
      <w:marLeft w:val="0"/>
      <w:marRight w:val="0"/>
      <w:marTop w:val="0"/>
      <w:marBottom w:val="0"/>
      <w:divBdr>
        <w:top w:val="none" w:sz="0" w:space="0" w:color="auto"/>
        <w:left w:val="none" w:sz="0" w:space="0" w:color="auto"/>
        <w:bottom w:val="none" w:sz="0" w:space="0" w:color="auto"/>
        <w:right w:val="none" w:sz="0" w:space="0" w:color="auto"/>
      </w:divBdr>
    </w:div>
    <w:div w:id="631639428">
      <w:bodyDiv w:val="1"/>
      <w:marLeft w:val="0"/>
      <w:marRight w:val="0"/>
      <w:marTop w:val="0"/>
      <w:marBottom w:val="0"/>
      <w:divBdr>
        <w:top w:val="none" w:sz="0" w:space="0" w:color="auto"/>
        <w:left w:val="none" w:sz="0" w:space="0" w:color="auto"/>
        <w:bottom w:val="none" w:sz="0" w:space="0" w:color="auto"/>
        <w:right w:val="none" w:sz="0" w:space="0" w:color="auto"/>
      </w:divBdr>
    </w:div>
    <w:div w:id="645939317">
      <w:bodyDiv w:val="1"/>
      <w:marLeft w:val="0"/>
      <w:marRight w:val="0"/>
      <w:marTop w:val="0"/>
      <w:marBottom w:val="0"/>
      <w:divBdr>
        <w:top w:val="none" w:sz="0" w:space="0" w:color="auto"/>
        <w:left w:val="none" w:sz="0" w:space="0" w:color="auto"/>
        <w:bottom w:val="none" w:sz="0" w:space="0" w:color="auto"/>
        <w:right w:val="none" w:sz="0" w:space="0" w:color="auto"/>
      </w:divBdr>
    </w:div>
    <w:div w:id="648436725">
      <w:bodyDiv w:val="1"/>
      <w:marLeft w:val="0"/>
      <w:marRight w:val="0"/>
      <w:marTop w:val="0"/>
      <w:marBottom w:val="0"/>
      <w:divBdr>
        <w:top w:val="none" w:sz="0" w:space="0" w:color="auto"/>
        <w:left w:val="none" w:sz="0" w:space="0" w:color="auto"/>
        <w:bottom w:val="none" w:sz="0" w:space="0" w:color="auto"/>
        <w:right w:val="none" w:sz="0" w:space="0" w:color="auto"/>
      </w:divBdr>
    </w:div>
    <w:div w:id="652877240">
      <w:bodyDiv w:val="1"/>
      <w:marLeft w:val="0"/>
      <w:marRight w:val="0"/>
      <w:marTop w:val="0"/>
      <w:marBottom w:val="0"/>
      <w:divBdr>
        <w:top w:val="none" w:sz="0" w:space="0" w:color="auto"/>
        <w:left w:val="none" w:sz="0" w:space="0" w:color="auto"/>
        <w:bottom w:val="none" w:sz="0" w:space="0" w:color="auto"/>
        <w:right w:val="none" w:sz="0" w:space="0" w:color="auto"/>
      </w:divBdr>
    </w:div>
    <w:div w:id="663093381">
      <w:bodyDiv w:val="1"/>
      <w:marLeft w:val="0"/>
      <w:marRight w:val="0"/>
      <w:marTop w:val="0"/>
      <w:marBottom w:val="0"/>
      <w:divBdr>
        <w:top w:val="none" w:sz="0" w:space="0" w:color="auto"/>
        <w:left w:val="none" w:sz="0" w:space="0" w:color="auto"/>
        <w:bottom w:val="none" w:sz="0" w:space="0" w:color="auto"/>
        <w:right w:val="none" w:sz="0" w:space="0" w:color="auto"/>
      </w:divBdr>
    </w:div>
    <w:div w:id="673411977">
      <w:bodyDiv w:val="1"/>
      <w:marLeft w:val="0"/>
      <w:marRight w:val="0"/>
      <w:marTop w:val="0"/>
      <w:marBottom w:val="0"/>
      <w:divBdr>
        <w:top w:val="none" w:sz="0" w:space="0" w:color="auto"/>
        <w:left w:val="none" w:sz="0" w:space="0" w:color="auto"/>
        <w:bottom w:val="none" w:sz="0" w:space="0" w:color="auto"/>
        <w:right w:val="none" w:sz="0" w:space="0" w:color="auto"/>
      </w:divBdr>
    </w:div>
    <w:div w:id="676738200">
      <w:bodyDiv w:val="1"/>
      <w:marLeft w:val="0"/>
      <w:marRight w:val="0"/>
      <w:marTop w:val="0"/>
      <w:marBottom w:val="0"/>
      <w:divBdr>
        <w:top w:val="none" w:sz="0" w:space="0" w:color="auto"/>
        <w:left w:val="none" w:sz="0" w:space="0" w:color="auto"/>
        <w:bottom w:val="none" w:sz="0" w:space="0" w:color="auto"/>
        <w:right w:val="none" w:sz="0" w:space="0" w:color="auto"/>
      </w:divBdr>
    </w:div>
    <w:div w:id="681858496">
      <w:bodyDiv w:val="1"/>
      <w:marLeft w:val="0"/>
      <w:marRight w:val="0"/>
      <w:marTop w:val="0"/>
      <w:marBottom w:val="0"/>
      <w:divBdr>
        <w:top w:val="none" w:sz="0" w:space="0" w:color="auto"/>
        <w:left w:val="none" w:sz="0" w:space="0" w:color="auto"/>
        <w:bottom w:val="none" w:sz="0" w:space="0" w:color="auto"/>
        <w:right w:val="none" w:sz="0" w:space="0" w:color="auto"/>
      </w:divBdr>
    </w:div>
    <w:div w:id="691959481">
      <w:bodyDiv w:val="1"/>
      <w:marLeft w:val="0"/>
      <w:marRight w:val="0"/>
      <w:marTop w:val="0"/>
      <w:marBottom w:val="0"/>
      <w:divBdr>
        <w:top w:val="none" w:sz="0" w:space="0" w:color="auto"/>
        <w:left w:val="none" w:sz="0" w:space="0" w:color="auto"/>
        <w:bottom w:val="none" w:sz="0" w:space="0" w:color="auto"/>
        <w:right w:val="none" w:sz="0" w:space="0" w:color="auto"/>
      </w:divBdr>
    </w:div>
    <w:div w:id="704789040">
      <w:bodyDiv w:val="1"/>
      <w:marLeft w:val="0"/>
      <w:marRight w:val="0"/>
      <w:marTop w:val="0"/>
      <w:marBottom w:val="0"/>
      <w:divBdr>
        <w:top w:val="none" w:sz="0" w:space="0" w:color="auto"/>
        <w:left w:val="none" w:sz="0" w:space="0" w:color="auto"/>
        <w:bottom w:val="none" w:sz="0" w:space="0" w:color="auto"/>
        <w:right w:val="none" w:sz="0" w:space="0" w:color="auto"/>
      </w:divBdr>
    </w:div>
    <w:div w:id="704989077">
      <w:bodyDiv w:val="1"/>
      <w:marLeft w:val="0"/>
      <w:marRight w:val="0"/>
      <w:marTop w:val="0"/>
      <w:marBottom w:val="0"/>
      <w:divBdr>
        <w:top w:val="none" w:sz="0" w:space="0" w:color="auto"/>
        <w:left w:val="none" w:sz="0" w:space="0" w:color="auto"/>
        <w:bottom w:val="none" w:sz="0" w:space="0" w:color="auto"/>
        <w:right w:val="none" w:sz="0" w:space="0" w:color="auto"/>
      </w:divBdr>
    </w:div>
    <w:div w:id="723917913">
      <w:bodyDiv w:val="1"/>
      <w:marLeft w:val="0"/>
      <w:marRight w:val="0"/>
      <w:marTop w:val="0"/>
      <w:marBottom w:val="0"/>
      <w:divBdr>
        <w:top w:val="none" w:sz="0" w:space="0" w:color="auto"/>
        <w:left w:val="none" w:sz="0" w:space="0" w:color="auto"/>
        <w:bottom w:val="none" w:sz="0" w:space="0" w:color="auto"/>
        <w:right w:val="none" w:sz="0" w:space="0" w:color="auto"/>
      </w:divBdr>
    </w:div>
    <w:div w:id="725026447">
      <w:bodyDiv w:val="1"/>
      <w:marLeft w:val="0"/>
      <w:marRight w:val="0"/>
      <w:marTop w:val="0"/>
      <w:marBottom w:val="0"/>
      <w:divBdr>
        <w:top w:val="none" w:sz="0" w:space="0" w:color="auto"/>
        <w:left w:val="none" w:sz="0" w:space="0" w:color="auto"/>
        <w:bottom w:val="none" w:sz="0" w:space="0" w:color="auto"/>
        <w:right w:val="none" w:sz="0" w:space="0" w:color="auto"/>
      </w:divBdr>
    </w:div>
    <w:div w:id="728960822">
      <w:bodyDiv w:val="1"/>
      <w:marLeft w:val="0"/>
      <w:marRight w:val="0"/>
      <w:marTop w:val="0"/>
      <w:marBottom w:val="0"/>
      <w:divBdr>
        <w:top w:val="none" w:sz="0" w:space="0" w:color="auto"/>
        <w:left w:val="none" w:sz="0" w:space="0" w:color="auto"/>
        <w:bottom w:val="none" w:sz="0" w:space="0" w:color="auto"/>
        <w:right w:val="none" w:sz="0" w:space="0" w:color="auto"/>
      </w:divBdr>
    </w:div>
    <w:div w:id="750590366">
      <w:bodyDiv w:val="1"/>
      <w:marLeft w:val="0"/>
      <w:marRight w:val="0"/>
      <w:marTop w:val="0"/>
      <w:marBottom w:val="0"/>
      <w:divBdr>
        <w:top w:val="none" w:sz="0" w:space="0" w:color="auto"/>
        <w:left w:val="none" w:sz="0" w:space="0" w:color="auto"/>
        <w:bottom w:val="none" w:sz="0" w:space="0" w:color="auto"/>
        <w:right w:val="none" w:sz="0" w:space="0" w:color="auto"/>
      </w:divBdr>
    </w:div>
    <w:div w:id="753165775">
      <w:bodyDiv w:val="1"/>
      <w:marLeft w:val="0"/>
      <w:marRight w:val="0"/>
      <w:marTop w:val="0"/>
      <w:marBottom w:val="0"/>
      <w:divBdr>
        <w:top w:val="none" w:sz="0" w:space="0" w:color="auto"/>
        <w:left w:val="none" w:sz="0" w:space="0" w:color="auto"/>
        <w:bottom w:val="none" w:sz="0" w:space="0" w:color="auto"/>
        <w:right w:val="none" w:sz="0" w:space="0" w:color="auto"/>
      </w:divBdr>
    </w:div>
    <w:div w:id="764155666">
      <w:bodyDiv w:val="1"/>
      <w:marLeft w:val="0"/>
      <w:marRight w:val="0"/>
      <w:marTop w:val="0"/>
      <w:marBottom w:val="0"/>
      <w:divBdr>
        <w:top w:val="none" w:sz="0" w:space="0" w:color="auto"/>
        <w:left w:val="none" w:sz="0" w:space="0" w:color="auto"/>
        <w:bottom w:val="none" w:sz="0" w:space="0" w:color="auto"/>
        <w:right w:val="none" w:sz="0" w:space="0" w:color="auto"/>
      </w:divBdr>
    </w:div>
    <w:div w:id="767778431">
      <w:bodyDiv w:val="1"/>
      <w:marLeft w:val="0"/>
      <w:marRight w:val="0"/>
      <w:marTop w:val="0"/>
      <w:marBottom w:val="0"/>
      <w:divBdr>
        <w:top w:val="none" w:sz="0" w:space="0" w:color="auto"/>
        <w:left w:val="none" w:sz="0" w:space="0" w:color="auto"/>
        <w:bottom w:val="none" w:sz="0" w:space="0" w:color="auto"/>
        <w:right w:val="none" w:sz="0" w:space="0" w:color="auto"/>
      </w:divBdr>
    </w:div>
    <w:div w:id="771315648">
      <w:bodyDiv w:val="1"/>
      <w:marLeft w:val="0"/>
      <w:marRight w:val="0"/>
      <w:marTop w:val="0"/>
      <w:marBottom w:val="0"/>
      <w:divBdr>
        <w:top w:val="none" w:sz="0" w:space="0" w:color="auto"/>
        <w:left w:val="none" w:sz="0" w:space="0" w:color="auto"/>
        <w:bottom w:val="none" w:sz="0" w:space="0" w:color="auto"/>
        <w:right w:val="none" w:sz="0" w:space="0" w:color="auto"/>
      </w:divBdr>
    </w:div>
    <w:div w:id="783887474">
      <w:bodyDiv w:val="1"/>
      <w:marLeft w:val="0"/>
      <w:marRight w:val="0"/>
      <w:marTop w:val="0"/>
      <w:marBottom w:val="0"/>
      <w:divBdr>
        <w:top w:val="none" w:sz="0" w:space="0" w:color="auto"/>
        <w:left w:val="none" w:sz="0" w:space="0" w:color="auto"/>
        <w:bottom w:val="none" w:sz="0" w:space="0" w:color="auto"/>
        <w:right w:val="none" w:sz="0" w:space="0" w:color="auto"/>
      </w:divBdr>
    </w:div>
    <w:div w:id="784271157">
      <w:bodyDiv w:val="1"/>
      <w:marLeft w:val="0"/>
      <w:marRight w:val="0"/>
      <w:marTop w:val="0"/>
      <w:marBottom w:val="0"/>
      <w:divBdr>
        <w:top w:val="none" w:sz="0" w:space="0" w:color="auto"/>
        <w:left w:val="none" w:sz="0" w:space="0" w:color="auto"/>
        <w:bottom w:val="none" w:sz="0" w:space="0" w:color="auto"/>
        <w:right w:val="none" w:sz="0" w:space="0" w:color="auto"/>
      </w:divBdr>
    </w:div>
    <w:div w:id="793865713">
      <w:bodyDiv w:val="1"/>
      <w:marLeft w:val="0"/>
      <w:marRight w:val="0"/>
      <w:marTop w:val="0"/>
      <w:marBottom w:val="0"/>
      <w:divBdr>
        <w:top w:val="none" w:sz="0" w:space="0" w:color="auto"/>
        <w:left w:val="none" w:sz="0" w:space="0" w:color="auto"/>
        <w:bottom w:val="none" w:sz="0" w:space="0" w:color="auto"/>
        <w:right w:val="none" w:sz="0" w:space="0" w:color="auto"/>
      </w:divBdr>
    </w:div>
    <w:div w:id="794953093">
      <w:bodyDiv w:val="1"/>
      <w:marLeft w:val="0"/>
      <w:marRight w:val="0"/>
      <w:marTop w:val="0"/>
      <w:marBottom w:val="0"/>
      <w:divBdr>
        <w:top w:val="none" w:sz="0" w:space="0" w:color="auto"/>
        <w:left w:val="none" w:sz="0" w:space="0" w:color="auto"/>
        <w:bottom w:val="none" w:sz="0" w:space="0" w:color="auto"/>
        <w:right w:val="none" w:sz="0" w:space="0" w:color="auto"/>
      </w:divBdr>
    </w:div>
    <w:div w:id="806776703">
      <w:bodyDiv w:val="1"/>
      <w:marLeft w:val="0"/>
      <w:marRight w:val="0"/>
      <w:marTop w:val="0"/>
      <w:marBottom w:val="0"/>
      <w:divBdr>
        <w:top w:val="none" w:sz="0" w:space="0" w:color="auto"/>
        <w:left w:val="none" w:sz="0" w:space="0" w:color="auto"/>
        <w:bottom w:val="none" w:sz="0" w:space="0" w:color="auto"/>
        <w:right w:val="none" w:sz="0" w:space="0" w:color="auto"/>
      </w:divBdr>
    </w:div>
    <w:div w:id="814447039">
      <w:bodyDiv w:val="1"/>
      <w:marLeft w:val="0"/>
      <w:marRight w:val="0"/>
      <w:marTop w:val="0"/>
      <w:marBottom w:val="0"/>
      <w:divBdr>
        <w:top w:val="none" w:sz="0" w:space="0" w:color="auto"/>
        <w:left w:val="none" w:sz="0" w:space="0" w:color="auto"/>
        <w:bottom w:val="none" w:sz="0" w:space="0" w:color="auto"/>
        <w:right w:val="none" w:sz="0" w:space="0" w:color="auto"/>
      </w:divBdr>
    </w:div>
    <w:div w:id="816217974">
      <w:bodyDiv w:val="1"/>
      <w:marLeft w:val="0"/>
      <w:marRight w:val="0"/>
      <w:marTop w:val="0"/>
      <w:marBottom w:val="0"/>
      <w:divBdr>
        <w:top w:val="none" w:sz="0" w:space="0" w:color="auto"/>
        <w:left w:val="none" w:sz="0" w:space="0" w:color="auto"/>
        <w:bottom w:val="none" w:sz="0" w:space="0" w:color="auto"/>
        <w:right w:val="none" w:sz="0" w:space="0" w:color="auto"/>
      </w:divBdr>
    </w:div>
    <w:div w:id="822819632">
      <w:bodyDiv w:val="1"/>
      <w:marLeft w:val="0"/>
      <w:marRight w:val="0"/>
      <w:marTop w:val="0"/>
      <w:marBottom w:val="0"/>
      <w:divBdr>
        <w:top w:val="none" w:sz="0" w:space="0" w:color="auto"/>
        <w:left w:val="none" w:sz="0" w:space="0" w:color="auto"/>
        <w:bottom w:val="none" w:sz="0" w:space="0" w:color="auto"/>
        <w:right w:val="none" w:sz="0" w:space="0" w:color="auto"/>
      </w:divBdr>
    </w:div>
    <w:div w:id="825439193">
      <w:bodyDiv w:val="1"/>
      <w:marLeft w:val="0"/>
      <w:marRight w:val="0"/>
      <w:marTop w:val="0"/>
      <w:marBottom w:val="0"/>
      <w:divBdr>
        <w:top w:val="none" w:sz="0" w:space="0" w:color="auto"/>
        <w:left w:val="none" w:sz="0" w:space="0" w:color="auto"/>
        <w:bottom w:val="none" w:sz="0" w:space="0" w:color="auto"/>
        <w:right w:val="none" w:sz="0" w:space="0" w:color="auto"/>
      </w:divBdr>
    </w:div>
    <w:div w:id="841578809">
      <w:bodyDiv w:val="1"/>
      <w:marLeft w:val="0"/>
      <w:marRight w:val="0"/>
      <w:marTop w:val="0"/>
      <w:marBottom w:val="0"/>
      <w:divBdr>
        <w:top w:val="none" w:sz="0" w:space="0" w:color="auto"/>
        <w:left w:val="none" w:sz="0" w:space="0" w:color="auto"/>
        <w:bottom w:val="none" w:sz="0" w:space="0" w:color="auto"/>
        <w:right w:val="none" w:sz="0" w:space="0" w:color="auto"/>
      </w:divBdr>
    </w:div>
    <w:div w:id="842012027">
      <w:bodyDiv w:val="1"/>
      <w:marLeft w:val="0"/>
      <w:marRight w:val="0"/>
      <w:marTop w:val="0"/>
      <w:marBottom w:val="0"/>
      <w:divBdr>
        <w:top w:val="none" w:sz="0" w:space="0" w:color="auto"/>
        <w:left w:val="none" w:sz="0" w:space="0" w:color="auto"/>
        <w:bottom w:val="none" w:sz="0" w:space="0" w:color="auto"/>
        <w:right w:val="none" w:sz="0" w:space="0" w:color="auto"/>
      </w:divBdr>
    </w:div>
    <w:div w:id="845630260">
      <w:bodyDiv w:val="1"/>
      <w:marLeft w:val="0"/>
      <w:marRight w:val="0"/>
      <w:marTop w:val="0"/>
      <w:marBottom w:val="0"/>
      <w:divBdr>
        <w:top w:val="none" w:sz="0" w:space="0" w:color="auto"/>
        <w:left w:val="none" w:sz="0" w:space="0" w:color="auto"/>
        <w:bottom w:val="none" w:sz="0" w:space="0" w:color="auto"/>
        <w:right w:val="none" w:sz="0" w:space="0" w:color="auto"/>
      </w:divBdr>
    </w:div>
    <w:div w:id="858740054">
      <w:bodyDiv w:val="1"/>
      <w:marLeft w:val="0"/>
      <w:marRight w:val="0"/>
      <w:marTop w:val="0"/>
      <w:marBottom w:val="0"/>
      <w:divBdr>
        <w:top w:val="none" w:sz="0" w:space="0" w:color="auto"/>
        <w:left w:val="none" w:sz="0" w:space="0" w:color="auto"/>
        <w:bottom w:val="none" w:sz="0" w:space="0" w:color="auto"/>
        <w:right w:val="none" w:sz="0" w:space="0" w:color="auto"/>
      </w:divBdr>
    </w:div>
    <w:div w:id="873466380">
      <w:bodyDiv w:val="1"/>
      <w:marLeft w:val="0"/>
      <w:marRight w:val="0"/>
      <w:marTop w:val="0"/>
      <w:marBottom w:val="0"/>
      <w:divBdr>
        <w:top w:val="none" w:sz="0" w:space="0" w:color="auto"/>
        <w:left w:val="none" w:sz="0" w:space="0" w:color="auto"/>
        <w:bottom w:val="none" w:sz="0" w:space="0" w:color="auto"/>
        <w:right w:val="none" w:sz="0" w:space="0" w:color="auto"/>
      </w:divBdr>
    </w:div>
    <w:div w:id="877551766">
      <w:bodyDiv w:val="1"/>
      <w:marLeft w:val="0"/>
      <w:marRight w:val="0"/>
      <w:marTop w:val="0"/>
      <w:marBottom w:val="0"/>
      <w:divBdr>
        <w:top w:val="none" w:sz="0" w:space="0" w:color="auto"/>
        <w:left w:val="none" w:sz="0" w:space="0" w:color="auto"/>
        <w:bottom w:val="none" w:sz="0" w:space="0" w:color="auto"/>
        <w:right w:val="none" w:sz="0" w:space="0" w:color="auto"/>
      </w:divBdr>
    </w:div>
    <w:div w:id="887566711">
      <w:bodyDiv w:val="1"/>
      <w:marLeft w:val="0"/>
      <w:marRight w:val="0"/>
      <w:marTop w:val="0"/>
      <w:marBottom w:val="0"/>
      <w:divBdr>
        <w:top w:val="none" w:sz="0" w:space="0" w:color="auto"/>
        <w:left w:val="none" w:sz="0" w:space="0" w:color="auto"/>
        <w:bottom w:val="none" w:sz="0" w:space="0" w:color="auto"/>
        <w:right w:val="none" w:sz="0" w:space="0" w:color="auto"/>
      </w:divBdr>
    </w:div>
    <w:div w:id="891501972">
      <w:bodyDiv w:val="1"/>
      <w:marLeft w:val="0"/>
      <w:marRight w:val="0"/>
      <w:marTop w:val="0"/>
      <w:marBottom w:val="0"/>
      <w:divBdr>
        <w:top w:val="none" w:sz="0" w:space="0" w:color="auto"/>
        <w:left w:val="none" w:sz="0" w:space="0" w:color="auto"/>
        <w:bottom w:val="none" w:sz="0" w:space="0" w:color="auto"/>
        <w:right w:val="none" w:sz="0" w:space="0" w:color="auto"/>
      </w:divBdr>
    </w:div>
    <w:div w:id="892427600">
      <w:bodyDiv w:val="1"/>
      <w:marLeft w:val="0"/>
      <w:marRight w:val="0"/>
      <w:marTop w:val="0"/>
      <w:marBottom w:val="0"/>
      <w:divBdr>
        <w:top w:val="none" w:sz="0" w:space="0" w:color="auto"/>
        <w:left w:val="none" w:sz="0" w:space="0" w:color="auto"/>
        <w:bottom w:val="none" w:sz="0" w:space="0" w:color="auto"/>
        <w:right w:val="none" w:sz="0" w:space="0" w:color="auto"/>
      </w:divBdr>
    </w:div>
    <w:div w:id="893198806">
      <w:bodyDiv w:val="1"/>
      <w:marLeft w:val="0"/>
      <w:marRight w:val="0"/>
      <w:marTop w:val="0"/>
      <w:marBottom w:val="0"/>
      <w:divBdr>
        <w:top w:val="none" w:sz="0" w:space="0" w:color="auto"/>
        <w:left w:val="none" w:sz="0" w:space="0" w:color="auto"/>
        <w:bottom w:val="none" w:sz="0" w:space="0" w:color="auto"/>
        <w:right w:val="none" w:sz="0" w:space="0" w:color="auto"/>
      </w:divBdr>
    </w:div>
    <w:div w:id="908999129">
      <w:bodyDiv w:val="1"/>
      <w:marLeft w:val="0"/>
      <w:marRight w:val="0"/>
      <w:marTop w:val="0"/>
      <w:marBottom w:val="0"/>
      <w:divBdr>
        <w:top w:val="none" w:sz="0" w:space="0" w:color="auto"/>
        <w:left w:val="none" w:sz="0" w:space="0" w:color="auto"/>
        <w:bottom w:val="none" w:sz="0" w:space="0" w:color="auto"/>
        <w:right w:val="none" w:sz="0" w:space="0" w:color="auto"/>
      </w:divBdr>
    </w:div>
    <w:div w:id="915168067">
      <w:bodyDiv w:val="1"/>
      <w:marLeft w:val="0"/>
      <w:marRight w:val="0"/>
      <w:marTop w:val="0"/>
      <w:marBottom w:val="0"/>
      <w:divBdr>
        <w:top w:val="none" w:sz="0" w:space="0" w:color="auto"/>
        <w:left w:val="none" w:sz="0" w:space="0" w:color="auto"/>
        <w:bottom w:val="none" w:sz="0" w:space="0" w:color="auto"/>
        <w:right w:val="none" w:sz="0" w:space="0" w:color="auto"/>
      </w:divBdr>
    </w:div>
    <w:div w:id="920724039">
      <w:bodyDiv w:val="1"/>
      <w:marLeft w:val="0"/>
      <w:marRight w:val="0"/>
      <w:marTop w:val="0"/>
      <w:marBottom w:val="0"/>
      <w:divBdr>
        <w:top w:val="none" w:sz="0" w:space="0" w:color="auto"/>
        <w:left w:val="none" w:sz="0" w:space="0" w:color="auto"/>
        <w:bottom w:val="none" w:sz="0" w:space="0" w:color="auto"/>
        <w:right w:val="none" w:sz="0" w:space="0" w:color="auto"/>
      </w:divBdr>
    </w:div>
    <w:div w:id="927229889">
      <w:bodyDiv w:val="1"/>
      <w:marLeft w:val="0"/>
      <w:marRight w:val="0"/>
      <w:marTop w:val="0"/>
      <w:marBottom w:val="0"/>
      <w:divBdr>
        <w:top w:val="none" w:sz="0" w:space="0" w:color="auto"/>
        <w:left w:val="none" w:sz="0" w:space="0" w:color="auto"/>
        <w:bottom w:val="none" w:sz="0" w:space="0" w:color="auto"/>
        <w:right w:val="none" w:sz="0" w:space="0" w:color="auto"/>
      </w:divBdr>
    </w:div>
    <w:div w:id="927347510">
      <w:bodyDiv w:val="1"/>
      <w:marLeft w:val="0"/>
      <w:marRight w:val="0"/>
      <w:marTop w:val="0"/>
      <w:marBottom w:val="0"/>
      <w:divBdr>
        <w:top w:val="none" w:sz="0" w:space="0" w:color="auto"/>
        <w:left w:val="none" w:sz="0" w:space="0" w:color="auto"/>
        <w:bottom w:val="none" w:sz="0" w:space="0" w:color="auto"/>
        <w:right w:val="none" w:sz="0" w:space="0" w:color="auto"/>
      </w:divBdr>
    </w:div>
    <w:div w:id="927544277">
      <w:bodyDiv w:val="1"/>
      <w:marLeft w:val="0"/>
      <w:marRight w:val="0"/>
      <w:marTop w:val="0"/>
      <w:marBottom w:val="0"/>
      <w:divBdr>
        <w:top w:val="none" w:sz="0" w:space="0" w:color="auto"/>
        <w:left w:val="none" w:sz="0" w:space="0" w:color="auto"/>
        <w:bottom w:val="none" w:sz="0" w:space="0" w:color="auto"/>
        <w:right w:val="none" w:sz="0" w:space="0" w:color="auto"/>
      </w:divBdr>
    </w:div>
    <w:div w:id="928079582">
      <w:bodyDiv w:val="1"/>
      <w:marLeft w:val="0"/>
      <w:marRight w:val="0"/>
      <w:marTop w:val="0"/>
      <w:marBottom w:val="0"/>
      <w:divBdr>
        <w:top w:val="none" w:sz="0" w:space="0" w:color="auto"/>
        <w:left w:val="none" w:sz="0" w:space="0" w:color="auto"/>
        <w:bottom w:val="none" w:sz="0" w:space="0" w:color="auto"/>
        <w:right w:val="none" w:sz="0" w:space="0" w:color="auto"/>
      </w:divBdr>
    </w:div>
    <w:div w:id="935214862">
      <w:bodyDiv w:val="1"/>
      <w:marLeft w:val="0"/>
      <w:marRight w:val="0"/>
      <w:marTop w:val="0"/>
      <w:marBottom w:val="0"/>
      <w:divBdr>
        <w:top w:val="none" w:sz="0" w:space="0" w:color="auto"/>
        <w:left w:val="none" w:sz="0" w:space="0" w:color="auto"/>
        <w:bottom w:val="none" w:sz="0" w:space="0" w:color="auto"/>
        <w:right w:val="none" w:sz="0" w:space="0" w:color="auto"/>
      </w:divBdr>
    </w:div>
    <w:div w:id="939336128">
      <w:bodyDiv w:val="1"/>
      <w:marLeft w:val="0"/>
      <w:marRight w:val="0"/>
      <w:marTop w:val="0"/>
      <w:marBottom w:val="0"/>
      <w:divBdr>
        <w:top w:val="none" w:sz="0" w:space="0" w:color="auto"/>
        <w:left w:val="none" w:sz="0" w:space="0" w:color="auto"/>
        <w:bottom w:val="none" w:sz="0" w:space="0" w:color="auto"/>
        <w:right w:val="none" w:sz="0" w:space="0" w:color="auto"/>
      </w:divBdr>
    </w:div>
    <w:div w:id="948003644">
      <w:bodyDiv w:val="1"/>
      <w:marLeft w:val="0"/>
      <w:marRight w:val="0"/>
      <w:marTop w:val="0"/>
      <w:marBottom w:val="0"/>
      <w:divBdr>
        <w:top w:val="none" w:sz="0" w:space="0" w:color="auto"/>
        <w:left w:val="none" w:sz="0" w:space="0" w:color="auto"/>
        <w:bottom w:val="none" w:sz="0" w:space="0" w:color="auto"/>
        <w:right w:val="none" w:sz="0" w:space="0" w:color="auto"/>
      </w:divBdr>
    </w:div>
    <w:div w:id="948005001">
      <w:bodyDiv w:val="1"/>
      <w:marLeft w:val="0"/>
      <w:marRight w:val="0"/>
      <w:marTop w:val="0"/>
      <w:marBottom w:val="0"/>
      <w:divBdr>
        <w:top w:val="none" w:sz="0" w:space="0" w:color="auto"/>
        <w:left w:val="none" w:sz="0" w:space="0" w:color="auto"/>
        <w:bottom w:val="none" w:sz="0" w:space="0" w:color="auto"/>
        <w:right w:val="none" w:sz="0" w:space="0" w:color="auto"/>
      </w:divBdr>
    </w:div>
    <w:div w:id="951592529">
      <w:bodyDiv w:val="1"/>
      <w:marLeft w:val="0"/>
      <w:marRight w:val="0"/>
      <w:marTop w:val="0"/>
      <w:marBottom w:val="0"/>
      <w:divBdr>
        <w:top w:val="none" w:sz="0" w:space="0" w:color="auto"/>
        <w:left w:val="none" w:sz="0" w:space="0" w:color="auto"/>
        <w:bottom w:val="none" w:sz="0" w:space="0" w:color="auto"/>
        <w:right w:val="none" w:sz="0" w:space="0" w:color="auto"/>
      </w:divBdr>
    </w:div>
    <w:div w:id="952859827">
      <w:bodyDiv w:val="1"/>
      <w:marLeft w:val="0"/>
      <w:marRight w:val="0"/>
      <w:marTop w:val="0"/>
      <w:marBottom w:val="0"/>
      <w:divBdr>
        <w:top w:val="none" w:sz="0" w:space="0" w:color="auto"/>
        <w:left w:val="none" w:sz="0" w:space="0" w:color="auto"/>
        <w:bottom w:val="none" w:sz="0" w:space="0" w:color="auto"/>
        <w:right w:val="none" w:sz="0" w:space="0" w:color="auto"/>
      </w:divBdr>
    </w:div>
    <w:div w:id="954560207">
      <w:bodyDiv w:val="1"/>
      <w:marLeft w:val="0"/>
      <w:marRight w:val="0"/>
      <w:marTop w:val="0"/>
      <w:marBottom w:val="0"/>
      <w:divBdr>
        <w:top w:val="none" w:sz="0" w:space="0" w:color="auto"/>
        <w:left w:val="none" w:sz="0" w:space="0" w:color="auto"/>
        <w:bottom w:val="none" w:sz="0" w:space="0" w:color="auto"/>
        <w:right w:val="none" w:sz="0" w:space="0" w:color="auto"/>
      </w:divBdr>
    </w:div>
    <w:div w:id="962426168">
      <w:bodyDiv w:val="1"/>
      <w:marLeft w:val="0"/>
      <w:marRight w:val="0"/>
      <w:marTop w:val="0"/>
      <w:marBottom w:val="0"/>
      <w:divBdr>
        <w:top w:val="none" w:sz="0" w:space="0" w:color="auto"/>
        <w:left w:val="none" w:sz="0" w:space="0" w:color="auto"/>
        <w:bottom w:val="none" w:sz="0" w:space="0" w:color="auto"/>
        <w:right w:val="none" w:sz="0" w:space="0" w:color="auto"/>
      </w:divBdr>
    </w:div>
    <w:div w:id="969671629">
      <w:bodyDiv w:val="1"/>
      <w:marLeft w:val="0"/>
      <w:marRight w:val="0"/>
      <w:marTop w:val="0"/>
      <w:marBottom w:val="0"/>
      <w:divBdr>
        <w:top w:val="none" w:sz="0" w:space="0" w:color="auto"/>
        <w:left w:val="none" w:sz="0" w:space="0" w:color="auto"/>
        <w:bottom w:val="none" w:sz="0" w:space="0" w:color="auto"/>
        <w:right w:val="none" w:sz="0" w:space="0" w:color="auto"/>
      </w:divBdr>
    </w:div>
    <w:div w:id="984512424">
      <w:bodyDiv w:val="1"/>
      <w:marLeft w:val="0"/>
      <w:marRight w:val="0"/>
      <w:marTop w:val="0"/>
      <w:marBottom w:val="0"/>
      <w:divBdr>
        <w:top w:val="none" w:sz="0" w:space="0" w:color="auto"/>
        <w:left w:val="none" w:sz="0" w:space="0" w:color="auto"/>
        <w:bottom w:val="none" w:sz="0" w:space="0" w:color="auto"/>
        <w:right w:val="none" w:sz="0" w:space="0" w:color="auto"/>
      </w:divBdr>
    </w:div>
    <w:div w:id="987786122">
      <w:bodyDiv w:val="1"/>
      <w:marLeft w:val="0"/>
      <w:marRight w:val="0"/>
      <w:marTop w:val="0"/>
      <w:marBottom w:val="0"/>
      <w:divBdr>
        <w:top w:val="none" w:sz="0" w:space="0" w:color="auto"/>
        <w:left w:val="none" w:sz="0" w:space="0" w:color="auto"/>
        <w:bottom w:val="none" w:sz="0" w:space="0" w:color="auto"/>
        <w:right w:val="none" w:sz="0" w:space="0" w:color="auto"/>
      </w:divBdr>
    </w:div>
    <w:div w:id="988362964">
      <w:bodyDiv w:val="1"/>
      <w:marLeft w:val="0"/>
      <w:marRight w:val="0"/>
      <w:marTop w:val="0"/>
      <w:marBottom w:val="0"/>
      <w:divBdr>
        <w:top w:val="none" w:sz="0" w:space="0" w:color="auto"/>
        <w:left w:val="none" w:sz="0" w:space="0" w:color="auto"/>
        <w:bottom w:val="none" w:sz="0" w:space="0" w:color="auto"/>
        <w:right w:val="none" w:sz="0" w:space="0" w:color="auto"/>
      </w:divBdr>
    </w:div>
    <w:div w:id="1000238666">
      <w:bodyDiv w:val="1"/>
      <w:marLeft w:val="0"/>
      <w:marRight w:val="0"/>
      <w:marTop w:val="0"/>
      <w:marBottom w:val="0"/>
      <w:divBdr>
        <w:top w:val="none" w:sz="0" w:space="0" w:color="auto"/>
        <w:left w:val="none" w:sz="0" w:space="0" w:color="auto"/>
        <w:bottom w:val="none" w:sz="0" w:space="0" w:color="auto"/>
        <w:right w:val="none" w:sz="0" w:space="0" w:color="auto"/>
      </w:divBdr>
    </w:div>
    <w:div w:id="1014766491">
      <w:bodyDiv w:val="1"/>
      <w:marLeft w:val="0"/>
      <w:marRight w:val="0"/>
      <w:marTop w:val="0"/>
      <w:marBottom w:val="0"/>
      <w:divBdr>
        <w:top w:val="none" w:sz="0" w:space="0" w:color="auto"/>
        <w:left w:val="none" w:sz="0" w:space="0" w:color="auto"/>
        <w:bottom w:val="none" w:sz="0" w:space="0" w:color="auto"/>
        <w:right w:val="none" w:sz="0" w:space="0" w:color="auto"/>
      </w:divBdr>
    </w:div>
    <w:div w:id="1018773722">
      <w:bodyDiv w:val="1"/>
      <w:marLeft w:val="0"/>
      <w:marRight w:val="0"/>
      <w:marTop w:val="0"/>
      <w:marBottom w:val="0"/>
      <w:divBdr>
        <w:top w:val="none" w:sz="0" w:space="0" w:color="auto"/>
        <w:left w:val="none" w:sz="0" w:space="0" w:color="auto"/>
        <w:bottom w:val="none" w:sz="0" w:space="0" w:color="auto"/>
        <w:right w:val="none" w:sz="0" w:space="0" w:color="auto"/>
      </w:divBdr>
    </w:div>
    <w:div w:id="1021316568">
      <w:bodyDiv w:val="1"/>
      <w:marLeft w:val="0"/>
      <w:marRight w:val="0"/>
      <w:marTop w:val="0"/>
      <w:marBottom w:val="0"/>
      <w:divBdr>
        <w:top w:val="none" w:sz="0" w:space="0" w:color="auto"/>
        <w:left w:val="none" w:sz="0" w:space="0" w:color="auto"/>
        <w:bottom w:val="none" w:sz="0" w:space="0" w:color="auto"/>
        <w:right w:val="none" w:sz="0" w:space="0" w:color="auto"/>
      </w:divBdr>
    </w:div>
    <w:div w:id="1025863374">
      <w:bodyDiv w:val="1"/>
      <w:marLeft w:val="0"/>
      <w:marRight w:val="0"/>
      <w:marTop w:val="0"/>
      <w:marBottom w:val="0"/>
      <w:divBdr>
        <w:top w:val="none" w:sz="0" w:space="0" w:color="auto"/>
        <w:left w:val="none" w:sz="0" w:space="0" w:color="auto"/>
        <w:bottom w:val="none" w:sz="0" w:space="0" w:color="auto"/>
        <w:right w:val="none" w:sz="0" w:space="0" w:color="auto"/>
      </w:divBdr>
    </w:div>
    <w:div w:id="1028793438">
      <w:bodyDiv w:val="1"/>
      <w:marLeft w:val="0"/>
      <w:marRight w:val="0"/>
      <w:marTop w:val="0"/>
      <w:marBottom w:val="0"/>
      <w:divBdr>
        <w:top w:val="none" w:sz="0" w:space="0" w:color="auto"/>
        <w:left w:val="none" w:sz="0" w:space="0" w:color="auto"/>
        <w:bottom w:val="none" w:sz="0" w:space="0" w:color="auto"/>
        <w:right w:val="none" w:sz="0" w:space="0" w:color="auto"/>
      </w:divBdr>
    </w:div>
    <w:div w:id="1039861316">
      <w:bodyDiv w:val="1"/>
      <w:marLeft w:val="0"/>
      <w:marRight w:val="0"/>
      <w:marTop w:val="0"/>
      <w:marBottom w:val="0"/>
      <w:divBdr>
        <w:top w:val="none" w:sz="0" w:space="0" w:color="auto"/>
        <w:left w:val="none" w:sz="0" w:space="0" w:color="auto"/>
        <w:bottom w:val="none" w:sz="0" w:space="0" w:color="auto"/>
        <w:right w:val="none" w:sz="0" w:space="0" w:color="auto"/>
      </w:divBdr>
    </w:div>
    <w:div w:id="1047490436">
      <w:bodyDiv w:val="1"/>
      <w:marLeft w:val="0"/>
      <w:marRight w:val="0"/>
      <w:marTop w:val="0"/>
      <w:marBottom w:val="0"/>
      <w:divBdr>
        <w:top w:val="none" w:sz="0" w:space="0" w:color="auto"/>
        <w:left w:val="none" w:sz="0" w:space="0" w:color="auto"/>
        <w:bottom w:val="none" w:sz="0" w:space="0" w:color="auto"/>
        <w:right w:val="none" w:sz="0" w:space="0" w:color="auto"/>
      </w:divBdr>
    </w:div>
    <w:div w:id="1061519212">
      <w:bodyDiv w:val="1"/>
      <w:marLeft w:val="0"/>
      <w:marRight w:val="0"/>
      <w:marTop w:val="0"/>
      <w:marBottom w:val="0"/>
      <w:divBdr>
        <w:top w:val="none" w:sz="0" w:space="0" w:color="auto"/>
        <w:left w:val="none" w:sz="0" w:space="0" w:color="auto"/>
        <w:bottom w:val="none" w:sz="0" w:space="0" w:color="auto"/>
        <w:right w:val="none" w:sz="0" w:space="0" w:color="auto"/>
      </w:divBdr>
    </w:div>
    <w:div w:id="1067995763">
      <w:bodyDiv w:val="1"/>
      <w:marLeft w:val="0"/>
      <w:marRight w:val="0"/>
      <w:marTop w:val="0"/>
      <w:marBottom w:val="0"/>
      <w:divBdr>
        <w:top w:val="none" w:sz="0" w:space="0" w:color="auto"/>
        <w:left w:val="none" w:sz="0" w:space="0" w:color="auto"/>
        <w:bottom w:val="none" w:sz="0" w:space="0" w:color="auto"/>
        <w:right w:val="none" w:sz="0" w:space="0" w:color="auto"/>
      </w:divBdr>
    </w:div>
    <w:div w:id="1091007282">
      <w:bodyDiv w:val="1"/>
      <w:marLeft w:val="0"/>
      <w:marRight w:val="0"/>
      <w:marTop w:val="0"/>
      <w:marBottom w:val="0"/>
      <w:divBdr>
        <w:top w:val="none" w:sz="0" w:space="0" w:color="auto"/>
        <w:left w:val="none" w:sz="0" w:space="0" w:color="auto"/>
        <w:bottom w:val="none" w:sz="0" w:space="0" w:color="auto"/>
        <w:right w:val="none" w:sz="0" w:space="0" w:color="auto"/>
      </w:divBdr>
    </w:div>
    <w:div w:id="1101417506">
      <w:bodyDiv w:val="1"/>
      <w:marLeft w:val="0"/>
      <w:marRight w:val="0"/>
      <w:marTop w:val="0"/>
      <w:marBottom w:val="0"/>
      <w:divBdr>
        <w:top w:val="none" w:sz="0" w:space="0" w:color="auto"/>
        <w:left w:val="none" w:sz="0" w:space="0" w:color="auto"/>
        <w:bottom w:val="none" w:sz="0" w:space="0" w:color="auto"/>
        <w:right w:val="none" w:sz="0" w:space="0" w:color="auto"/>
      </w:divBdr>
    </w:div>
    <w:div w:id="1109154810">
      <w:bodyDiv w:val="1"/>
      <w:marLeft w:val="0"/>
      <w:marRight w:val="0"/>
      <w:marTop w:val="0"/>
      <w:marBottom w:val="0"/>
      <w:divBdr>
        <w:top w:val="none" w:sz="0" w:space="0" w:color="auto"/>
        <w:left w:val="none" w:sz="0" w:space="0" w:color="auto"/>
        <w:bottom w:val="none" w:sz="0" w:space="0" w:color="auto"/>
        <w:right w:val="none" w:sz="0" w:space="0" w:color="auto"/>
      </w:divBdr>
    </w:div>
    <w:div w:id="1113398319">
      <w:bodyDiv w:val="1"/>
      <w:marLeft w:val="0"/>
      <w:marRight w:val="0"/>
      <w:marTop w:val="0"/>
      <w:marBottom w:val="0"/>
      <w:divBdr>
        <w:top w:val="none" w:sz="0" w:space="0" w:color="auto"/>
        <w:left w:val="none" w:sz="0" w:space="0" w:color="auto"/>
        <w:bottom w:val="none" w:sz="0" w:space="0" w:color="auto"/>
        <w:right w:val="none" w:sz="0" w:space="0" w:color="auto"/>
      </w:divBdr>
    </w:div>
    <w:div w:id="1117022313">
      <w:bodyDiv w:val="1"/>
      <w:marLeft w:val="0"/>
      <w:marRight w:val="0"/>
      <w:marTop w:val="0"/>
      <w:marBottom w:val="0"/>
      <w:divBdr>
        <w:top w:val="none" w:sz="0" w:space="0" w:color="auto"/>
        <w:left w:val="none" w:sz="0" w:space="0" w:color="auto"/>
        <w:bottom w:val="none" w:sz="0" w:space="0" w:color="auto"/>
        <w:right w:val="none" w:sz="0" w:space="0" w:color="auto"/>
      </w:divBdr>
    </w:div>
    <w:div w:id="1130437424">
      <w:bodyDiv w:val="1"/>
      <w:marLeft w:val="0"/>
      <w:marRight w:val="0"/>
      <w:marTop w:val="0"/>
      <w:marBottom w:val="0"/>
      <w:divBdr>
        <w:top w:val="none" w:sz="0" w:space="0" w:color="auto"/>
        <w:left w:val="none" w:sz="0" w:space="0" w:color="auto"/>
        <w:bottom w:val="none" w:sz="0" w:space="0" w:color="auto"/>
        <w:right w:val="none" w:sz="0" w:space="0" w:color="auto"/>
      </w:divBdr>
    </w:div>
    <w:div w:id="1140995036">
      <w:bodyDiv w:val="1"/>
      <w:marLeft w:val="0"/>
      <w:marRight w:val="0"/>
      <w:marTop w:val="0"/>
      <w:marBottom w:val="0"/>
      <w:divBdr>
        <w:top w:val="none" w:sz="0" w:space="0" w:color="auto"/>
        <w:left w:val="none" w:sz="0" w:space="0" w:color="auto"/>
        <w:bottom w:val="none" w:sz="0" w:space="0" w:color="auto"/>
        <w:right w:val="none" w:sz="0" w:space="0" w:color="auto"/>
      </w:divBdr>
    </w:div>
    <w:div w:id="1147818875">
      <w:bodyDiv w:val="1"/>
      <w:marLeft w:val="0"/>
      <w:marRight w:val="0"/>
      <w:marTop w:val="0"/>
      <w:marBottom w:val="0"/>
      <w:divBdr>
        <w:top w:val="none" w:sz="0" w:space="0" w:color="auto"/>
        <w:left w:val="none" w:sz="0" w:space="0" w:color="auto"/>
        <w:bottom w:val="none" w:sz="0" w:space="0" w:color="auto"/>
        <w:right w:val="none" w:sz="0" w:space="0" w:color="auto"/>
      </w:divBdr>
    </w:div>
    <w:div w:id="1154108392">
      <w:bodyDiv w:val="1"/>
      <w:marLeft w:val="0"/>
      <w:marRight w:val="0"/>
      <w:marTop w:val="0"/>
      <w:marBottom w:val="0"/>
      <w:divBdr>
        <w:top w:val="none" w:sz="0" w:space="0" w:color="auto"/>
        <w:left w:val="none" w:sz="0" w:space="0" w:color="auto"/>
        <w:bottom w:val="none" w:sz="0" w:space="0" w:color="auto"/>
        <w:right w:val="none" w:sz="0" w:space="0" w:color="auto"/>
      </w:divBdr>
    </w:div>
    <w:div w:id="1157458177">
      <w:bodyDiv w:val="1"/>
      <w:marLeft w:val="0"/>
      <w:marRight w:val="0"/>
      <w:marTop w:val="0"/>
      <w:marBottom w:val="0"/>
      <w:divBdr>
        <w:top w:val="none" w:sz="0" w:space="0" w:color="auto"/>
        <w:left w:val="none" w:sz="0" w:space="0" w:color="auto"/>
        <w:bottom w:val="none" w:sz="0" w:space="0" w:color="auto"/>
        <w:right w:val="none" w:sz="0" w:space="0" w:color="auto"/>
      </w:divBdr>
    </w:div>
    <w:div w:id="1161189519">
      <w:bodyDiv w:val="1"/>
      <w:marLeft w:val="0"/>
      <w:marRight w:val="0"/>
      <w:marTop w:val="0"/>
      <w:marBottom w:val="0"/>
      <w:divBdr>
        <w:top w:val="none" w:sz="0" w:space="0" w:color="auto"/>
        <w:left w:val="none" w:sz="0" w:space="0" w:color="auto"/>
        <w:bottom w:val="none" w:sz="0" w:space="0" w:color="auto"/>
        <w:right w:val="none" w:sz="0" w:space="0" w:color="auto"/>
      </w:divBdr>
    </w:div>
    <w:div w:id="1161383689">
      <w:bodyDiv w:val="1"/>
      <w:marLeft w:val="0"/>
      <w:marRight w:val="0"/>
      <w:marTop w:val="0"/>
      <w:marBottom w:val="0"/>
      <w:divBdr>
        <w:top w:val="none" w:sz="0" w:space="0" w:color="auto"/>
        <w:left w:val="none" w:sz="0" w:space="0" w:color="auto"/>
        <w:bottom w:val="none" w:sz="0" w:space="0" w:color="auto"/>
        <w:right w:val="none" w:sz="0" w:space="0" w:color="auto"/>
      </w:divBdr>
    </w:div>
    <w:div w:id="1162548345">
      <w:bodyDiv w:val="1"/>
      <w:marLeft w:val="0"/>
      <w:marRight w:val="0"/>
      <w:marTop w:val="0"/>
      <w:marBottom w:val="0"/>
      <w:divBdr>
        <w:top w:val="none" w:sz="0" w:space="0" w:color="auto"/>
        <w:left w:val="none" w:sz="0" w:space="0" w:color="auto"/>
        <w:bottom w:val="none" w:sz="0" w:space="0" w:color="auto"/>
        <w:right w:val="none" w:sz="0" w:space="0" w:color="auto"/>
      </w:divBdr>
    </w:div>
    <w:div w:id="1177581027">
      <w:bodyDiv w:val="1"/>
      <w:marLeft w:val="0"/>
      <w:marRight w:val="0"/>
      <w:marTop w:val="0"/>
      <w:marBottom w:val="0"/>
      <w:divBdr>
        <w:top w:val="none" w:sz="0" w:space="0" w:color="auto"/>
        <w:left w:val="none" w:sz="0" w:space="0" w:color="auto"/>
        <w:bottom w:val="none" w:sz="0" w:space="0" w:color="auto"/>
        <w:right w:val="none" w:sz="0" w:space="0" w:color="auto"/>
      </w:divBdr>
    </w:div>
    <w:div w:id="1179349843">
      <w:bodyDiv w:val="1"/>
      <w:marLeft w:val="0"/>
      <w:marRight w:val="0"/>
      <w:marTop w:val="0"/>
      <w:marBottom w:val="0"/>
      <w:divBdr>
        <w:top w:val="none" w:sz="0" w:space="0" w:color="auto"/>
        <w:left w:val="none" w:sz="0" w:space="0" w:color="auto"/>
        <w:bottom w:val="none" w:sz="0" w:space="0" w:color="auto"/>
        <w:right w:val="none" w:sz="0" w:space="0" w:color="auto"/>
      </w:divBdr>
    </w:div>
    <w:div w:id="1182090462">
      <w:bodyDiv w:val="1"/>
      <w:marLeft w:val="0"/>
      <w:marRight w:val="0"/>
      <w:marTop w:val="0"/>
      <w:marBottom w:val="0"/>
      <w:divBdr>
        <w:top w:val="none" w:sz="0" w:space="0" w:color="auto"/>
        <w:left w:val="none" w:sz="0" w:space="0" w:color="auto"/>
        <w:bottom w:val="none" w:sz="0" w:space="0" w:color="auto"/>
        <w:right w:val="none" w:sz="0" w:space="0" w:color="auto"/>
      </w:divBdr>
    </w:div>
    <w:div w:id="1188641665">
      <w:bodyDiv w:val="1"/>
      <w:marLeft w:val="0"/>
      <w:marRight w:val="0"/>
      <w:marTop w:val="0"/>
      <w:marBottom w:val="0"/>
      <w:divBdr>
        <w:top w:val="none" w:sz="0" w:space="0" w:color="auto"/>
        <w:left w:val="none" w:sz="0" w:space="0" w:color="auto"/>
        <w:bottom w:val="none" w:sz="0" w:space="0" w:color="auto"/>
        <w:right w:val="none" w:sz="0" w:space="0" w:color="auto"/>
      </w:divBdr>
    </w:div>
    <w:div w:id="1210603679">
      <w:bodyDiv w:val="1"/>
      <w:marLeft w:val="0"/>
      <w:marRight w:val="0"/>
      <w:marTop w:val="0"/>
      <w:marBottom w:val="0"/>
      <w:divBdr>
        <w:top w:val="none" w:sz="0" w:space="0" w:color="auto"/>
        <w:left w:val="none" w:sz="0" w:space="0" w:color="auto"/>
        <w:bottom w:val="none" w:sz="0" w:space="0" w:color="auto"/>
        <w:right w:val="none" w:sz="0" w:space="0" w:color="auto"/>
      </w:divBdr>
    </w:div>
    <w:div w:id="1212382459">
      <w:bodyDiv w:val="1"/>
      <w:marLeft w:val="0"/>
      <w:marRight w:val="0"/>
      <w:marTop w:val="0"/>
      <w:marBottom w:val="0"/>
      <w:divBdr>
        <w:top w:val="none" w:sz="0" w:space="0" w:color="auto"/>
        <w:left w:val="none" w:sz="0" w:space="0" w:color="auto"/>
        <w:bottom w:val="none" w:sz="0" w:space="0" w:color="auto"/>
        <w:right w:val="none" w:sz="0" w:space="0" w:color="auto"/>
      </w:divBdr>
    </w:div>
    <w:div w:id="1215001730">
      <w:bodyDiv w:val="1"/>
      <w:marLeft w:val="0"/>
      <w:marRight w:val="0"/>
      <w:marTop w:val="0"/>
      <w:marBottom w:val="0"/>
      <w:divBdr>
        <w:top w:val="none" w:sz="0" w:space="0" w:color="auto"/>
        <w:left w:val="none" w:sz="0" w:space="0" w:color="auto"/>
        <w:bottom w:val="none" w:sz="0" w:space="0" w:color="auto"/>
        <w:right w:val="none" w:sz="0" w:space="0" w:color="auto"/>
      </w:divBdr>
    </w:div>
    <w:div w:id="1228111699">
      <w:bodyDiv w:val="1"/>
      <w:marLeft w:val="0"/>
      <w:marRight w:val="0"/>
      <w:marTop w:val="0"/>
      <w:marBottom w:val="0"/>
      <w:divBdr>
        <w:top w:val="none" w:sz="0" w:space="0" w:color="auto"/>
        <w:left w:val="none" w:sz="0" w:space="0" w:color="auto"/>
        <w:bottom w:val="none" w:sz="0" w:space="0" w:color="auto"/>
        <w:right w:val="none" w:sz="0" w:space="0" w:color="auto"/>
      </w:divBdr>
    </w:div>
    <w:div w:id="1237134891">
      <w:bodyDiv w:val="1"/>
      <w:marLeft w:val="0"/>
      <w:marRight w:val="0"/>
      <w:marTop w:val="0"/>
      <w:marBottom w:val="0"/>
      <w:divBdr>
        <w:top w:val="none" w:sz="0" w:space="0" w:color="auto"/>
        <w:left w:val="none" w:sz="0" w:space="0" w:color="auto"/>
        <w:bottom w:val="none" w:sz="0" w:space="0" w:color="auto"/>
        <w:right w:val="none" w:sz="0" w:space="0" w:color="auto"/>
      </w:divBdr>
    </w:div>
    <w:div w:id="1238708531">
      <w:bodyDiv w:val="1"/>
      <w:marLeft w:val="0"/>
      <w:marRight w:val="0"/>
      <w:marTop w:val="0"/>
      <w:marBottom w:val="0"/>
      <w:divBdr>
        <w:top w:val="none" w:sz="0" w:space="0" w:color="auto"/>
        <w:left w:val="none" w:sz="0" w:space="0" w:color="auto"/>
        <w:bottom w:val="none" w:sz="0" w:space="0" w:color="auto"/>
        <w:right w:val="none" w:sz="0" w:space="0" w:color="auto"/>
      </w:divBdr>
    </w:div>
    <w:div w:id="1239558122">
      <w:bodyDiv w:val="1"/>
      <w:marLeft w:val="0"/>
      <w:marRight w:val="0"/>
      <w:marTop w:val="0"/>
      <w:marBottom w:val="0"/>
      <w:divBdr>
        <w:top w:val="none" w:sz="0" w:space="0" w:color="auto"/>
        <w:left w:val="none" w:sz="0" w:space="0" w:color="auto"/>
        <w:bottom w:val="none" w:sz="0" w:space="0" w:color="auto"/>
        <w:right w:val="none" w:sz="0" w:space="0" w:color="auto"/>
      </w:divBdr>
    </w:div>
    <w:div w:id="1244026443">
      <w:bodyDiv w:val="1"/>
      <w:marLeft w:val="0"/>
      <w:marRight w:val="0"/>
      <w:marTop w:val="0"/>
      <w:marBottom w:val="0"/>
      <w:divBdr>
        <w:top w:val="none" w:sz="0" w:space="0" w:color="auto"/>
        <w:left w:val="none" w:sz="0" w:space="0" w:color="auto"/>
        <w:bottom w:val="none" w:sz="0" w:space="0" w:color="auto"/>
        <w:right w:val="none" w:sz="0" w:space="0" w:color="auto"/>
      </w:divBdr>
    </w:div>
    <w:div w:id="1244412787">
      <w:bodyDiv w:val="1"/>
      <w:marLeft w:val="0"/>
      <w:marRight w:val="0"/>
      <w:marTop w:val="0"/>
      <w:marBottom w:val="0"/>
      <w:divBdr>
        <w:top w:val="none" w:sz="0" w:space="0" w:color="auto"/>
        <w:left w:val="none" w:sz="0" w:space="0" w:color="auto"/>
        <w:bottom w:val="none" w:sz="0" w:space="0" w:color="auto"/>
        <w:right w:val="none" w:sz="0" w:space="0" w:color="auto"/>
      </w:divBdr>
    </w:div>
    <w:div w:id="1249774505">
      <w:bodyDiv w:val="1"/>
      <w:marLeft w:val="0"/>
      <w:marRight w:val="0"/>
      <w:marTop w:val="0"/>
      <w:marBottom w:val="0"/>
      <w:divBdr>
        <w:top w:val="none" w:sz="0" w:space="0" w:color="auto"/>
        <w:left w:val="none" w:sz="0" w:space="0" w:color="auto"/>
        <w:bottom w:val="none" w:sz="0" w:space="0" w:color="auto"/>
        <w:right w:val="none" w:sz="0" w:space="0" w:color="auto"/>
      </w:divBdr>
    </w:div>
    <w:div w:id="1251425379">
      <w:bodyDiv w:val="1"/>
      <w:marLeft w:val="0"/>
      <w:marRight w:val="0"/>
      <w:marTop w:val="0"/>
      <w:marBottom w:val="0"/>
      <w:divBdr>
        <w:top w:val="none" w:sz="0" w:space="0" w:color="auto"/>
        <w:left w:val="none" w:sz="0" w:space="0" w:color="auto"/>
        <w:bottom w:val="none" w:sz="0" w:space="0" w:color="auto"/>
        <w:right w:val="none" w:sz="0" w:space="0" w:color="auto"/>
      </w:divBdr>
    </w:div>
    <w:div w:id="1255672011">
      <w:bodyDiv w:val="1"/>
      <w:marLeft w:val="0"/>
      <w:marRight w:val="0"/>
      <w:marTop w:val="0"/>
      <w:marBottom w:val="0"/>
      <w:divBdr>
        <w:top w:val="none" w:sz="0" w:space="0" w:color="auto"/>
        <w:left w:val="none" w:sz="0" w:space="0" w:color="auto"/>
        <w:bottom w:val="none" w:sz="0" w:space="0" w:color="auto"/>
        <w:right w:val="none" w:sz="0" w:space="0" w:color="auto"/>
      </w:divBdr>
    </w:div>
    <w:div w:id="1256016465">
      <w:bodyDiv w:val="1"/>
      <w:marLeft w:val="0"/>
      <w:marRight w:val="0"/>
      <w:marTop w:val="0"/>
      <w:marBottom w:val="0"/>
      <w:divBdr>
        <w:top w:val="none" w:sz="0" w:space="0" w:color="auto"/>
        <w:left w:val="none" w:sz="0" w:space="0" w:color="auto"/>
        <w:bottom w:val="none" w:sz="0" w:space="0" w:color="auto"/>
        <w:right w:val="none" w:sz="0" w:space="0" w:color="auto"/>
      </w:divBdr>
    </w:div>
    <w:div w:id="1272474694">
      <w:bodyDiv w:val="1"/>
      <w:marLeft w:val="0"/>
      <w:marRight w:val="0"/>
      <w:marTop w:val="0"/>
      <w:marBottom w:val="0"/>
      <w:divBdr>
        <w:top w:val="none" w:sz="0" w:space="0" w:color="auto"/>
        <w:left w:val="none" w:sz="0" w:space="0" w:color="auto"/>
        <w:bottom w:val="none" w:sz="0" w:space="0" w:color="auto"/>
        <w:right w:val="none" w:sz="0" w:space="0" w:color="auto"/>
      </w:divBdr>
    </w:div>
    <w:div w:id="1280336731">
      <w:bodyDiv w:val="1"/>
      <w:marLeft w:val="0"/>
      <w:marRight w:val="0"/>
      <w:marTop w:val="0"/>
      <w:marBottom w:val="0"/>
      <w:divBdr>
        <w:top w:val="none" w:sz="0" w:space="0" w:color="auto"/>
        <w:left w:val="none" w:sz="0" w:space="0" w:color="auto"/>
        <w:bottom w:val="none" w:sz="0" w:space="0" w:color="auto"/>
        <w:right w:val="none" w:sz="0" w:space="0" w:color="auto"/>
      </w:divBdr>
    </w:div>
    <w:div w:id="1280528857">
      <w:bodyDiv w:val="1"/>
      <w:marLeft w:val="0"/>
      <w:marRight w:val="0"/>
      <w:marTop w:val="0"/>
      <w:marBottom w:val="0"/>
      <w:divBdr>
        <w:top w:val="none" w:sz="0" w:space="0" w:color="auto"/>
        <w:left w:val="none" w:sz="0" w:space="0" w:color="auto"/>
        <w:bottom w:val="none" w:sz="0" w:space="0" w:color="auto"/>
        <w:right w:val="none" w:sz="0" w:space="0" w:color="auto"/>
      </w:divBdr>
    </w:div>
    <w:div w:id="1280649955">
      <w:bodyDiv w:val="1"/>
      <w:marLeft w:val="0"/>
      <w:marRight w:val="0"/>
      <w:marTop w:val="0"/>
      <w:marBottom w:val="0"/>
      <w:divBdr>
        <w:top w:val="none" w:sz="0" w:space="0" w:color="auto"/>
        <w:left w:val="none" w:sz="0" w:space="0" w:color="auto"/>
        <w:bottom w:val="none" w:sz="0" w:space="0" w:color="auto"/>
        <w:right w:val="none" w:sz="0" w:space="0" w:color="auto"/>
      </w:divBdr>
    </w:div>
    <w:div w:id="1287393911">
      <w:bodyDiv w:val="1"/>
      <w:marLeft w:val="0"/>
      <w:marRight w:val="0"/>
      <w:marTop w:val="0"/>
      <w:marBottom w:val="0"/>
      <w:divBdr>
        <w:top w:val="none" w:sz="0" w:space="0" w:color="auto"/>
        <w:left w:val="none" w:sz="0" w:space="0" w:color="auto"/>
        <w:bottom w:val="none" w:sz="0" w:space="0" w:color="auto"/>
        <w:right w:val="none" w:sz="0" w:space="0" w:color="auto"/>
      </w:divBdr>
    </w:div>
    <w:div w:id="1299533737">
      <w:bodyDiv w:val="1"/>
      <w:marLeft w:val="0"/>
      <w:marRight w:val="0"/>
      <w:marTop w:val="0"/>
      <w:marBottom w:val="0"/>
      <w:divBdr>
        <w:top w:val="none" w:sz="0" w:space="0" w:color="auto"/>
        <w:left w:val="none" w:sz="0" w:space="0" w:color="auto"/>
        <w:bottom w:val="none" w:sz="0" w:space="0" w:color="auto"/>
        <w:right w:val="none" w:sz="0" w:space="0" w:color="auto"/>
      </w:divBdr>
    </w:div>
    <w:div w:id="1301112971">
      <w:bodyDiv w:val="1"/>
      <w:marLeft w:val="0"/>
      <w:marRight w:val="0"/>
      <w:marTop w:val="0"/>
      <w:marBottom w:val="0"/>
      <w:divBdr>
        <w:top w:val="none" w:sz="0" w:space="0" w:color="auto"/>
        <w:left w:val="none" w:sz="0" w:space="0" w:color="auto"/>
        <w:bottom w:val="none" w:sz="0" w:space="0" w:color="auto"/>
        <w:right w:val="none" w:sz="0" w:space="0" w:color="auto"/>
      </w:divBdr>
    </w:div>
    <w:div w:id="1301885849">
      <w:bodyDiv w:val="1"/>
      <w:marLeft w:val="0"/>
      <w:marRight w:val="0"/>
      <w:marTop w:val="0"/>
      <w:marBottom w:val="0"/>
      <w:divBdr>
        <w:top w:val="none" w:sz="0" w:space="0" w:color="auto"/>
        <w:left w:val="none" w:sz="0" w:space="0" w:color="auto"/>
        <w:bottom w:val="none" w:sz="0" w:space="0" w:color="auto"/>
        <w:right w:val="none" w:sz="0" w:space="0" w:color="auto"/>
      </w:divBdr>
    </w:div>
    <w:div w:id="1303579312">
      <w:bodyDiv w:val="1"/>
      <w:marLeft w:val="0"/>
      <w:marRight w:val="0"/>
      <w:marTop w:val="0"/>
      <w:marBottom w:val="0"/>
      <w:divBdr>
        <w:top w:val="none" w:sz="0" w:space="0" w:color="auto"/>
        <w:left w:val="none" w:sz="0" w:space="0" w:color="auto"/>
        <w:bottom w:val="none" w:sz="0" w:space="0" w:color="auto"/>
        <w:right w:val="none" w:sz="0" w:space="0" w:color="auto"/>
      </w:divBdr>
    </w:div>
    <w:div w:id="1315181104">
      <w:bodyDiv w:val="1"/>
      <w:marLeft w:val="0"/>
      <w:marRight w:val="0"/>
      <w:marTop w:val="0"/>
      <w:marBottom w:val="0"/>
      <w:divBdr>
        <w:top w:val="none" w:sz="0" w:space="0" w:color="auto"/>
        <w:left w:val="none" w:sz="0" w:space="0" w:color="auto"/>
        <w:bottom w:val="none" w:sz="0" w:space="0" w:color="auto"/>
        <w:right w:val="none" w:sz="0" w:space="0" w:color="auto"/>
      </w:divBdr>
    </w:div>
    <w:div w:id="1323116687">
      <w:bodyDiv w:val="1"/>
      <w:marLeft w:val="0"/>
      <w:marRight w:val="0"/>
      <w:marTop w:val="0"/>
      <w:marBottom w:val="0"/>
      <w:divBdr>
        <w:top w:val="none" w:sz="0" w:space="0" w:color="auto"/>
        <w:left w:val="none" w:sz="0" w:space="0" w:color="auto"/>
        <w:bottom w:val="none" w:sz="0" w:space="0" w:color="auto"/>
        <w:right w:val="none" w:sz="0" w:space="0" w:color="auto"/>
      </w:divBdr>
    </w:div>
    <w:div w:id="1324548279">
      <w:bodyDiv w:val="1"/>
      <w:marLeft w:val="0"/>
      <w:marRight w:val="0"/>
      <w:marTop w:val="0"/>
      <w:marBottom w:val="0"/>
      <w:divBdr>
        <w:top w:val="none" w:sz="0" w:space="0" w:color="auto"/>
        <w:left w:val="none" w:sz="0" w:space="0" w:color="auto"/>
        <w:bottom w:val="none" w:sz="0" w:space="0" w:color="auto"/>
        <w:right w:val="none" w:sz="0" w:space="0" w:color="auto"/>
      </w:divBdr>
    </w:div>
    <w:div w:id="1325626685">
      <w:bodyDiv w:val="1"/>
      <w:marLeft w:val="0"/>
      <w:marRight w:val="0"/>
      <w:marTop w:val="0"/>
      <w:marBottom w:val="0"/>
      <w:divBdr>
        <w:top w:val="none" w:sz="0" w:space="0" w:color="auto"/>
        <w:left w:val="none" w:sz="0" w:space="0" w:color="auto"/>
        <w:bottom w:val="none" w:sz="0" w:space="0" w:color="auto"/>
        <w:right w:val="none" w:sz="0" w:space="0" w:color="auto"/>
      </w:divBdr>
    </w:div>
    <w:div w:id="1327977484">
      <w:bodyDiv w:val="1"/>
      <w:marLeft w:val="0"/>
      <w:marRight w:val="0"/>
      <w:marTop w:val="0"/>
      <w:marBottom w:val="0"/>
      <w:divBdr>
        <w:top w:val="none" w:sz="0" w:space="0" w:color="auto"/>
        <w:left w:val="none" w:sz="0" w:space="0" w:color="auto"/>
        <w:bottom w:val="none" w:sz="0" w:space="0" w:color="auto"/>
        <w:right w:val="none" w:sz="0" w:space="0" w:color="auto"/>
      </w:divBdr>
    </w:div>
    <w:div w:id="1328436012">
      <w:bodyDiv w:val="1"/>
      <w:marLeft w:val="0"/>
      <w:marRight w:val="0"/>
      <w:marTop w:val="0"/>
      <w:marBottom w:val="0"/>
      <w:divBdr>
        <w:top w:val="none" w:sz="0" w:space="0" w:color="auto"/>
        <w:left w:val="none" w:sz="0" w:space="0" w:color="auto"/>
        <w:bottom w:val="none" w:sz="0" w:space="0" w:color="auto"/>
        <w:right w:val="none" w:sz="0" w:space="0" w:color="auto"/>
      </w:divBdr>
    </w:div>
    <w:div w:id="1330669595">
      <w:bodyDiv w:val="1"/>
      <w:marLeft w:val="0"/>
      <w:marRight w:val="0"/>
      <w:marTop w:val="0"/>
      <w:marBottom w:val="0"/>
      <w:divBdr>
        <w:top w:val="none" w:sz="0" w:space="0" w:color="auto"/>
        <w:left w:val="none" w:sz="0" w:space="0" w:color="auto"/>
        <w:bottom w:val="none" w:sz="0" w:space="0" w:color="auto"/>
        <w:right w:val="none" w:sz="0" w:space="0" w:color="auto"/>
      </w:divBdr>
    </w:div>
    <w:div w:id="1338313433">
      <w:bodyDiv w:val="1"/>
      <w:marLeft w:val="0"/>
      <w:marRight w:val="0"/>
      <w:marTop w:val="0"/>
      <w:marBottom w:val="0"/>
      <w:divBdr>
        <w:top w:val="none" w:sz="0" w:space="0" w:color="auto"/>
        <w:left w:val="none" w:sz="0" w:space="0" w:color="auto"/>
        <w:bottom w:val="none" w:sz="0" w:space="0" w:color="auto"/>
        <w:right w:val="none" w:sz="0" w:space="0" w:color="auto"/>
      </w:divBdr>
    </w:div>
    <w:div w:id="1338732863">
      <w:bodyDiv w:val="1"/>
      <w:marLeft w:val="0"/>
      <w:marRight w:val="0"/>
      <w:marTop w:val="0"/>
      <w:marBottom w:val="0"/>
      <w:divBdr>
        <w:top w:val="none" w:sz="0" w:space="0" w:color="auto"/>
        <w:left w:val="none" w:sz="0" w:space="0" w:color="auto"/>
        <w:bottom w:val="none" w:sz="0" w:space="0" w:color="auto"/>
        <w:right w:val="none" w:sz="0" w:space="0" w:color="auto"/>
      </w:divBdr>
    </w:div>
    <w:div w:id="1343630093">
      <w:bodyDiv w:val="1"/>
      <w:marLeft w:val="0"/>
      <w:marRight w:val="0"/>
      <w:marTop w:val="0"/>
      <w:marBottom w:val="0"/>
      <w:divBdr>
        <w:top w:val="none" w:sz="0" w:space="0" w:color="auto"/>
        <w:left w:val="none" w:sz="0" w:space="0" w:color="auto"/>
        <w:bottom w:val="none" w:sz="0" w:space="0" w:color="auto"/>
        <w:right w:val="none" w:sz="0" w:space="0" w:color="auto"/>
      </w:divBdr>
    </w:div>
    <w:div w:id="1347632723">
      <w:bodyDiv w:val="1"/>
      <w:marLeft w:val="0"/>
      <w:marRight w:val="0"/>
      <w:marTop w:val="0"/>
      <w:marBottom w:val="0"/>
      <w:divBdr>
        <w:top w:val="none" w:sz="0" w:space="0" w:color="auto"/>
        <w:left w:val="none" w:sz="0" w:space="0" w:color="auto"/>
        <w:bottom w:val="none" w:sz="0" w:space="0" w:color="auto"/>
        <w:right w:val="none" w:sz="0" w:space="0" w:color="auto"/>
      </w:divBdr>
    </w:div>
    <w:div w:id="1348290306">
      <w:bodyDiv w:val="1"/>
      <w:marLeft w:val="0"/>
      <w:marRight w:val="0"/>
      <w:marTop w:val="0"/>
      <w:marBottom w:val="0"/>
      <w:divBdr>
        <w:top w:val="none" w:sz="0" w:space="0" w:color="auto"/>
        <w:left w:val="none" w:sz="0" w:space="0" w:color="auto"/>
        <w:bottom w:val="none" w:sz="0" w:space="0" w:color="auto"/>
        <w:right w:val="none" w:sz="0" w:space="0" w:color="auto"/>
      </w:divBdr>
    </w:div>
    <w:div w:id="1359888749">
      <w:bodyDiv w:val="1"/>
      <w:marLeft w:val="0"/>
      <w:marRight w:val="0"/>
      <w:marTop w:val="0"/>
      <w:marBottom w:val="0"/>
      <w:divBdr>
        <w:top w:val="none" w:sz="0" w:space="0" w:color="auto"/>
        <w:left w:val="none" w:sz="0" w:space="0" w:color="auto"/>
        <w:bottom w:val="none" w:sz="0" w:space="0" w:color="auto"/>
        <w:right w:val="none" w:sz="0" w:space="0" w:color="auto"/>
      </w:divBdr>
    </w:div>
    <w:div w:id="1361784625">
      <w:bodyDiv w:val="1"/>
      <w:marLeft w:val="0"/>
      <w:marRight w:val="0"/>
      <w:marTop w:val="0"/>
      <w:marBottom w:val="0"/>
      <w:divBdr>
        <w:top w:val="none" w:sz="0" w:space="0" w:color="auto"/>
        <w:left w:val="none" w:sz="0" w:space="0" w:color="auto"/>
        <w:bottom w:val="none" w:sz="0" w:space="0" w:color="auto"/>
        <w:right w:val="none" w:sz="0" w:space="0" w:color="auto"/>
      </w:divBdr>
    </w:div>
    <w:div w:id="1368678292">
      <w:bodyDiv w:val="1"/>
      <w:marLeft w:val="0"/>
      <w:marRight w:val="0"/>
      <w:marTop w:val="0"/>
      <w:marBottom w:val="0"/>
      <w:divBdr>
        <w:top w:val="none" w:sz="0" w:space="0" w:color="auto"/>
        <w:left w:val="none" w:sz="0" w:space="0" w:color="auto"/>
        <w:bottom w:val="none" w:sz="0" w:space="0" w:color="auto"/>
        <w:right w:val="none" w:sz="0" w:space="0" w:color="auto"/>
      </w:divBdr>
    </w:div>
    <w:div w:id="1370492103">
      <w:bodyDiv w:val="1"/>
      <w:marLeft w:val="0"/>
      <w:marRight w:val="0"/>
      <w:marTop w:val="0"/>
      <w:marBottom w:val="0"/>
      <w:divBdr>
        <w:top w:val="none" w:sz="0" w:space="0" w:color="auto"/>
        <w:left w:val="none" w:sz="0" w:space="0" w:color="auto"/>
        <w:bottom w:val="none" w:sz="0" w:space="0" w:color="auto"/>
        <w:right w:val="none" w:sz="0" w:space="0" w:color="auto"/>
      </w:divBdr>
    </w:div>
    <w:div w:id="1383746858">
      <w:bodyDiv w:val="1"/>
      <w:marLeft w:val="0"/>
      <w:marRight w:val="0"/>
      <w:marTop w:val="0"/>
      <w:marBottom w:val="0"/>
      <w:divBdr>
        <w:top w:val="none" w:sz="0" w:space="0" w:color="auto"/>
        <w:left w:val="none" w:sz="0" w:space="0" w:color="auto"/>
        <w:bottom w:val="none" w:sz="0" w:space="0" w:color="auto"/>
        <w:right w:val="none" w:sz="0" w:space="0" w:color="auto"/>
      </w:divBdr>
    </w:div>
    <w:div w:id="1385761950">
      <w:bodyDiv w:val="1"/>
      <w:marLeft w:val="0"/>
      <w:marRight w:val="0"/>
      <w:marTop w:val="0"/>
      <w:marBottom w:val="0"/>
      <w:divBdr>
        <w:top w:val="none" w:sz="0" w:space="0" w:color="auto"/>
        <w:left w:val="none" w:sz="0" w:space="0" w:color="auto"/>
        <w:bottom w:val="none" w:sz="0" w:space="0" w:color="auto"/>
        <w:right w:val="none" w:sz="0" w:space="0" w:color="auto"/>
      </w:divBdr>
    </w:div>
    <w:div w:id="1390419297">
      <w:bodyDiv w:val="1"/>
      <w:marLeft w:val="0"/>
      <w:marRight w:val="0"/>
      <w:marTop w:val="0"/>
      <w:marBottom w:val="0"/>
      <w:divBdr>
        <w:top w:val="none" w:sz="0" w:space="0" w:color="auto"/>
        <w:left w:val="none" w:sz="0" w:space="0" w:color="auto"/>
        <w:bottom w:val="none" w:sz="0" w:space="0" w:color="auto"/>
        <w:right w:val="none" w:sz="0" w:space="0" w:color="auto"/>
      </w:divBdr>
    </w:div>
    <w:div w:id="1404792105">
      <w:bodyDiv w:val="1"/>
      <w:marLeft w:val="0"/>
      <w:marRight w:val="0"/>
      <w:marTop w:val="0"/>
      <w:marBottom w:val="0"/>
      <w:divBdr>
        <w:top w:val="none" w:sz="0" w:space="0" w:color="auto"/>
        <w:left w:val="none" w:sz="0" w:space="0" w:color="auto"/>
        <w:bottom w:val="none" w:sz="0" w:space="0" w:color="auto"/>
        <w:right w:val="none" w:sz="0" w:space="0" w:color="auto"/>
      </w:divBdr>
    </w:div>
    <w:div w:id="1407259857">
      <w:bodyDiv w:val="1"/>
      <w:marLeft w:val="0"/>
      <w:marRight w:val="0"/>
      <w:marTop w:val="0"/>
      <w:marBottom w:val="0"/>
      <w:divBdr>
        <w:top w:val="none" w:sz="0" w:space="0" w:color="auto"/>
        <w:left w:val="none" w:sz="0" w:space="0" w:color="auto"/>
        <w:bottom w:val="none" w:sz="0" w:space="0" w:color="auto"/>
        <w:right w:val="none" w:sz="0" w:space="0" w:color="auto"/>
      </w:divBdr>
    </w:div>
    <w:div w:id="1408265300">
      <w:bodyDiv w:val="1"/>
      <w:marLeft w:val="0"/>
      <w:marRight w:val="0"/>
      <w:marTop w:val="0"/>
      <w:marBottom w:val="0"/>
      <w:divBdr>
        <w:top w:val="none" w:sz="0" w:space="0" w:color="auto"/>
        <w:left w:val="none" w:sz="0" w:space="0" w:color="auto"/>
        <w:bottom w:val="none" w:sz="0" w:space="0" w:color="auto"/>
        <w:right w:val="none" w:sz="0" w:space="0" w:color="auto"/>
      </w:divBdr>
    </w:div>
    <w:div w:id="1420448595">
      <w:bodyDiv w:val="1"/>
      <w:marLeft w:val="0"/>
      <w:marRight w:val="0"/>
      <w:marTop w:val="0"/>
      <w:marBottom w:val="0"/>
      <w:divBdr>
        <w:top w:val="none" w:sz="0" w:space="0" w:color="auto"/>
        <w:left w:val="none" w:sz="0" w:space="0" w:color="auto"/>
        <w:bottom w:val="none" w:sz="0" w:space="0" w:color="auto"/>
        <w:right w:val="none" w:sz="0" w:space="0" w:color="auto"/>
      </w:divBdr>
    </w:div>
    <w:div w:id="1432117391">
      <w:bodyDiv w:val="1"/>
      <w:marLeft w:val="0"/>
      <w:marRight w:val="0"/>
      <w:marTop w:val="0"/>
      <w:marBottom w:val="0"/>
      <w:divBdr>
        <w:top w:val="none" w:sz="0" w:space="0" w:color="auto"/>
        <w:left w:val="none" w:sz="0" w:space="0" w:color="auto"/>
        <w:bottom w:val="none" w:sz="0" w:space="0" w:color="auto"/>
        <w:right w:val="none" w:sz="0" w:space="0" w:color="auto"/>
      </w:divBdr>
    </w:div>
    <w:div w:id="1435633644">
      <w:bodyDiv w:val="1"/>
      <w:marLeft w:val="0"/>
      <w:marRight w:val="0"/>
      <w:marTop w:val="0"/>
      <w:marBottom w:val="0"/>
      <w:divBdr>
        <w:top w:val="none" w:sz="0" w:space="0" w:color="auto"/>
        <w:left w:val="none" w:sz="0" w:space="0" w:color="auto"/>
        <w:bottom w:val="none" w:sz="0" w:space="0" w:color="auto"/>
        <w:right w:val="none" w:sz="0" w:space="0" w:color="auto"/>
      </w:divBdr>
    </w:div>
    <w:div w:id="1441412737">
      <w:bodyDiv w:val="1"/>
      <w:marLeft w:val="0"/>
      <w:marRight w:val="0"/>
      <w:marTop w:val="0"/>
      <w:marBottom w:val="0"/>
      <w:divBdr>
        <w:top w:val="none" w:sz="0" w:space="0" w:color="auto"/>
        <w:left w:val="none" w:sz="0" w:space="0" w:color="auto"/>
        <w:bottom w:val="none" w:sz="0" w:space="0" w:color="auto"/>
        <w:right w:val="none" w:sz="0" w:space="0" w:color="auto"/>
      </w:divBdr>
    </w:div>
    <w:div w:id="1446191777">
      <w:bodyDiv w:val="1"/>
      <w:marLeft w:val="0"/>
      <w:marRight w:val="0"/>
      <w:marTop w:val="0"/>
      <w:marBottom w:val="0"/>
      <w:divBdr>
        <w:top w:val="none" w:sz="0" w:space="0" w:color="auto"/>
        <w:left w:val="none" w:sz="0" w:space="0" w:color="auto"/>
        <w:bottom w:val="none" w:sz="0" w:space="0" w:color="auto"/>
        <w:right w:val="none" w:sz="0" w:space="0" w:color="auto"/>
      </w:divBdr>
    </w:div>
    <w:div w:id="1460146273">
      <w:bodyDiv w:val="1"/>
      <w:marLeft w:val="0"/>
      <w:marRight w:val="0"/>
      <w:marTop w:val="0"/>
      <w:marBottom w:val="0"/>
      <w:divBdr>
        <w:top w:val="none" w:sz="0" w:space="0" w:color="auto"/>
        <w:left w:val="none" w:sz="0" w:space="0" w:color="auto"/>
        <w:bottom w:val="none" w:sz="0" w:space="0" w:color="auto"/>
        <w:right w:val="none" w:sz="0" w:space="0" w:color="auto"/>
      </w:divBdr>
    </w:div>
    <w:div w:id="1466192747">
      <w:bodyDiv w:val="1"/>
      <w:marLeft w:val="0"/>
      <w:marRight w:val="0"/>
      <w:marTop w:val="0"/>
      <w:marBottom w:val="0"/>
      <w:divBdr>
        <w:top w:val="none" w:sz="0" w:space="0" w:color="auto"/>
        <w:left w:val="none" w:sz="0" w:space="0" w:color="auto"/>
        <w:bottom w:val="none" w:sz="0" w:space="0" w:color="auto"/>
        <w:right w:val="none" w:sz="0" w:space="0" w:color="auto"/>
      </w:divBdr>
    </w:div>
    <w:div w:id="1466318485">
      <w:bodyDiv w:val="1"/>
      <w:marLeft w:val="0"/>
      <w:marRight w:val="0"/>
      <w:marTop w:val="0"/>
      <w:marBottom w:val="0"/>
      <w:divBdr>
        <w:top w:val="none" w:sz="0" w:space="0" w:color="auto"/>
        <w:left w:val="none" w:sz="0" w:space="0" w:color="auto"/>
        <w:bottom w:val="none" w:sz="0" w:space="0" w:color="auto"/>
        <w:right w:val="none" w:sz="0" w:space="0" w:color="auto"/>
      </w:divBdr>
    </w:div>
    <w:div w:id="1468357986">
      <w:bodyDiv w:val="1"/>
      <w:marLeft w:val="0"/>
      <w:marRight w:val="0"/>
      <w:marTop w:val="0"/>
      <w:marBottom w:val="0"/>
      <w:divBdr>
        <w:top w:val="none" w:sz="0" w:space="0" w:color="auto"/>
        <w:left w:val="none" w:sz="0" w:space="0" w:color="auto"/>
        <w:bottom w:val="none" w:sz="0" w:space="0" w:color="auto"/>
        <w:right w:val="none" w:sz="0" w:space="0" w:color="auto"/>
      </w:divBdr>
    </w:div>
    <w:div w:id="1477259319">
      <w:bodyDiv w:val="1"/>
      <w:marLeft w:val="0"/>
      <w:marRight w:val="0"/>
      <w:marTop w:val="0"/>
      <w:marBottom w:val="0"/>
      <w:divBdr>
        <w:top w:val="none" w:sz="0" w:space="0" w:color="auto"/>
        <w:left w:val="none" w:sz="0" w:space="0" w:color="auto"/>
        <w:bottom w:val="none" w:sz="0" w:space="0" w:color="auto"/>
        <w:right w:val="none" w:sz="0" w:space="0" w:color="auto"/>
      </w:divBdr>
    </w:div>
    <w:div w:id="1489055759">
      <w:bodyDiv w:val="1"/>
      <w:marLeft w:val="0"/>
      <w:marRight w:val="0"/>
      <w:marTop w:val="0"/>
      <w:marBottom w:val="0"/>
      <w:divBdr>
        <w:top w:val="none" w:sz="0" w:space="0" w:color="auto"/>
        <w:left w:val="none" w:sz="0" w:space="0" w:color="auto"/>
        <w:bottom w:val="none" w:sz="0" w:space="0" w:color="auto"/>
        <w:right w:val="none" w:sz="0" w:space="0" w:color="auto"/>
      </w:divBdr>
    </w:div>
    <w:div w:id="1496144758">
      <w:bodyDiv w:val="1"/>
      <w:marLeft w:val="0"/>
      <w:marRight w:val="0"/>
      <w:marTop w:val="0"/>
      <w:marBottom w:val="0"/>
      <w:divBdr>
        <w:top w:val="none" w:sz="0" w:space="0" w:color="auto"/>
        <w:left w:val="none" w:sz="0" w:space="0" w:color="auto"/>
        <w:bottom w:val="none" w:sz="0" w:space="0" w:color="auto"/>
        <w:right w:val="none" w:sz="0" w:space="0" w:color="auto"/>
      </w:divBdr>
    </w:div>
    <w:div w:id="1498963101">
      <w:bodyDiv w:val="1"/>
      <w:marLeft w:val="0"/>
      <w:marRight w:val="0"/>
      <w:marTop w:val="0"/>
      <w:marBottom w:val="0"/>
      <w:divBdr>
        <w:top w:val="none" w:sz="0" w:space="0" w:color="auto"/>
        <w:left w:val="none" w:sz="0" w:space="0" w:color="auto"/>
        <w:bottom w:val="none" w:sz="0" w:space="0" w:color="auto"/>
        <w:right w:val="none" w:sz="0" w:space="0" w:color="auto"/>
      </w:divBdr>
    </w:div>
    <w:div w:id="1499614686">
      <w:bodyDiv w:val="1"/>
      <w:marLeft w:val="0"/>
      <w:marRight w:val="0"/>
      <w:marTop w:val="0"/>
      <w:marBottom w:val="0"/>
      <w:divBdr>
        <w:top w:val="none" w:sz="0" w:space="0" w:color="auto"/>
        <w:left w:val="none" w:sz="0" w:space="0" w:color="auto"/>
        <w:bottom w:val="none" w:sz="0" w:space="0" w:color="auto"/>
        <w:right w:val="none" w:sz="0" w:space="0" w:color="auto"/>
      </w:divBdr>
    </w:div>
    <w:div w:id="1502114228">
      <w:bodyDiv w:val="1"/>
      <w:marLeft w:val="0"/>
      <w:marRight w:val="0"/>
      <w:marTop w:val="0"/>
      <w:marBottom w:val="0"/>
      <w:divBdr>
        <w:top w:val="none" w:sz="0" w:space="0" w:color="auto"/>
        <w:left w:val="none" w:sz="0" w:space="0" w:color="auto"/>
        <w:bottom w:val="none" w:sz="0" w:space="0" w:color="auto"/>
        <w:right w:val="none" w:sz="0" w:space="0" w:color="auto"/>
      </w:divBdr>
    </w:div>
    <w:div w:id="1520315461">
      <w:bodyDiv w:val="1"/>
      <w:marLeft w:val="0"/>
      <w:marRight w:val="0"/>
      <w:marTop w:val="0"/>
      <w:marBottom w:val="0"/>
      <w:divBdr>
        <w:top w:val="none" w:sz="0" w:space="0" w:color="auto"/>
        <w:left w:val="none" w:sz="0" w:space="0" w:color="auto"/>
        <w:bottom w:val="none" w:sz="0" w:space="0" w:color="auto"/>
        <w:right w:val="none" w:sz="0" w:space="0" w:color="auto"/>
      </w:divBdr>
    </w:div>
    <w:div w:id="1524439473">
      <w:bodyDiv w:val="1"/>
      <w:marLeft w:val="0"/>
      <w:marRight w:val="0"/>
      <w:marTop w:val="0"/>
      <w:marBottom w:val="0"/>
      <w:divBdr>
        <w:top w:val="none" w:sz="0" w:space="0" w:color="auto"/>
        <w:left w:val="none" w:sz="0" w:space="0" w:color="auto"/>
        <w:bottom w:val="none" w:sz="0" w:space="0" w:color="auto"/>
        <w:right w:val="none" w:sz="0" w:space="0" w:color="auto"/>
      </w:divBdr>
    </w:div>
    <w:div w:id="1535465061">
      <w:bodyDiv w:val="1"/>
      <w:marLeft w:val="0"/>
      <w:marRight w:val="0"/>
      <w:marTop w:val="0"/>
      <w:marBottom w:val="0"/>
      <w:divBdr>
        <w:top w:val="none" w:sz="0" w:space="0" w:color="auto"/>
        <w:left w:val="none" w:sz="0" w:space="0" w:color="auto"/>
        <w:bottom w:val="none" w:sz="0" w:space="0" w:color="auto"/>
        <w:right w:val="none" w:sz="0" w:space="0" w:color="auto"/>
      </w:divBdr>
    </w:div>
    <w:div w:id="1536695165">
      <w:bodyDiv w:val="1"/>
      <w:marLeft w:val="0"/>
      <w:marRight w:val="0"/>
      <w:marTop w:val="0"/>
      <w:marBottom w:val="0"/>
      <w:divBdr>
        <w:top w:val="none" w:sz="0" w:space="0" w:color="auto"/>
        <w:left w:val="none" w:sz="0" w:space="0" w:color="auto"/>
        <w:bottom w:val="none" w:sz="0" w:space="0" w:color="auto"/>
        <w:right w:val="none" w:sz="0" w:space="0" w:color="auto"/>
      </w:divBdr>
    </w:div>
    <w:div w:id="1547985671">
      <w:bodyDiv w:val="1"/>
      <w:marLeft w:val="0"/>
      <w:marRight w:val="0"/>
      <w:marTop w:val="0"/>
      <w:marBottom w:val="0"/>
      <w:divBdr>
        <w:top w:val="none" w:sz="0" w:space="0" w:color="auto"/>
        <w:left w:val="none" w:sz="0" w:space="0" w:color="auto"/>
        <w:bottom w:val="none" w:sz="0" w:space="0" w:color="auto"/>
        <w:right w:val="none" w:sz="0" w:space="0" w:color="auto"/>
      </w:divBdr>
    </w:div>
    <w:div w:id="1551647512">
      <w:bodyDiv w:val="1"/>
      <w:marLeft w:val="0"/>
      <w:marRight w:val="0"/>
      <w:marTop w:val="0"/>
      <w:marBottom w:val="0"/>
      <w:divBdr>
        <w:top w:val="none" w:sz="0" w:space="0" w:color="auto"/>
        <w:left w:val="none" w:sz="0" w:space="0" w:color="auto"/>
        <w:bottom w:val="none" w:sz="0" w:space="0" w:color="auto"/>
        <w:right w:val="none" w:sz="0" w:space="0" w:color="auto"/>
      </w:divBdr>
    </w:div>
    <w:div w:id="1553035852">
      <w:bodyDiv w:val="1"/>
      <w:marLeft w:val="0"/>
      <w:marRight w:val="0"/>
      <w:marTop w:val="0"/>
      <w:marBottom w:val="0"/>
      <w:divBdr>
        <w:top w:val="none" w:sz="0" w:space="0" w:color="auto"/>
        <w:left w:val="none" w:sz="0" w:space="0" w:color="auto"/>
        <w:bottom w:val="none" w:sz="0" w:space="0" w:color="auto"/>
        <w:right w:val="none" w:sz="0" w:space="0" w:color="auto"/>
      </w:divBdr>
    </w:div>
    <w:div w:id="1555045883">
      <w:bodyDiv w:val="1"/>
      <w:marLeft w:val="0"/>
      <w:marRight w:val="0"/>
      <w:marTop w:val="0"/>
      <w:marBottom w:val="0"/>
      <w:divBdr>
        <w:top w:val="none" w:sz="0" w:space="0" w:color="auto"/>
        <w:left w:val="none" w:sz="0" w:space="0" w:color="auto"/>
        <w:bottom w:val="none" w:sz="0" w:space="0" w:color="auto"/>
        <w:right w:val="none" w:sz="0" w:space="0" w:color="auto"/>
      </w:divBdr>
    </w:div>
    <w:div w:id="1558470811">
      <w:bodyDiv w:val="1"/>
      <w:marLeft w:val="0"/>
      <w:marRight w:val="0"/>
      <w:marTop w:val="0"/>
      <w:marBottom w:val="0"/>
      <w:divBdr>
        <w:top w:val="none" w:sz="0" w:space="0" w:color="auto"/>
        <w:left w:val="none" w:sz="0" w:space="0" w:color="auto"/>
        <w:bottom w:val="none" w:sz="0" w:space="0" w:color="auto"/>
        <w:right w:val="none" w:sz="0" w:space="0" w:color="auto"/>
      </w:divBdr>
    </w:div>
    <w:div w:id="1559703306">
      <w:bodyDiv w:val="1"/>
      <w:marLeft w:val="0"/>
      <w:marRight w:val="0"/>
      <w:marTop w:val="0"/>
      <w:marBottom w:val="0"/>
      <w:divBdr>
        <w:top w:val="none" w:sz="0" w:space="0" w:color="auto"/>
        <w:left w:val="none" w:sz="0" w:space="0" w:color="auto"/>
        <w:bottom w:val="none" w:sz="0" w:space="0" w:color="auto"/>
        <w:right w:val="none" w:sz="0" w:space="0" w:color="auto"/>
      </w:divBdr>
    </w:div>
    <w:div w:id="1567111776">
      <w:bodyDiv w:val="1"/>
      <w:marLeft w:val="0"/>
      <w:marRight w:val="0"/>
      <w:marTop w:val="0"/>
      <w:marBottom w:val="0"/>
      <w:divBdr>
        <w:top w:val="none" w:sz="0" w:space="0" w:color="auto"/>
        <w:left w:val="none" w:sz="0" w:space="0" w:color="auto"/>
        <w:bottom w:val="none" w:sz="0" w:space="0" w:color="auto"/>
        <w:right w:val="none" w:sz="0" w:space="0" w:color="auto"/>
      </w:divBdr>
    </w:div>
    <w:div w:id="1568104310">
      <w:bodyDiv w:val="1"/>
      <w:marLeft w:val="0"/>
      <w:marRight w:val="0"/>
      <w:marTop w:val="0"/>
      <w:marBottom w:val="0"/>
      <w:divBdr>
        <w:top w:val="none" w:sz="0" w:space="0" w:color="auto"/>
        <w:left w:val="none" w:sz="0" w:space="0" w:color="auto"/>
        <w:bottom w:val="none" w:sz="0" w:space="0" w:color="auto"/>
        <w:right w:val="none" w:sz="0" w:space="0" w:color="auto"/>
      </w:divBdr>
    </w:div>
    <w:div w:id="1568299282">
      <w:bodyDiv w:val="1"/>
      <w:marLeft w:val="0"/>
      <w:marRight w:val="0"/>
      <w:marTop w:val="0"/>
      <w:marBottom w:val="0"/>
      <w:divBdr>
        <w:top w:val="none" w:sz="0" w:space="0" w:color="auto"/>
        <w:left w:val="none" w:sz="0" w:space="0" w:color="auto"/>
        <w:bottom w:val="none" w:sz="0" w:space="0" w:color="auto"/>
        <w:right w:val="none" w:sz="0" w:space="0" w:color="auto"/>
      </w:divBdr>
    </w:div>
    <w:div w:id="1570723305">
      <w:bodyDiv w:val="1"/>
      <w:marLeft w:val="0"/>
      <w:marRight w:val="0"/>
      <w:marTop w:val="0"/>
      <w:marBottom w:val="0"/>
      <w:divBdr>
        <w:top w:val="none" w:sz="0" w:space="0" w:color="auto"/>
        <w:left w:val="none" w:sz="0" w:space="0" w:color="auto"/>
        <w:bottom w:val="none" w:sz="0" w:space="0" w:color="auto"/>
        <w:right w:val="none" w:sz="0" w:space="0" w:color="auto"/>
      </w:divBdr>
    </w:div>
    <w:div w:id="1578249081">
      <w:bodyDiv w:val="1"/>
      <w:marLeft w:val="0"/>
      <w:marRight w:val="0"/>
      <w:marTop w:val="0"/>
      <w:marBottom w:val="0"/>
      <w:divBdr>
        <w:top w:val="none" w:sz="0" w:space="0" w:color="auto"/>
        <w:left w:val="none" w:sz="0" w:space="0" w:color="auto"/>
        <w:bottom w:val="none" w:sz="0" w:space="0" w:color="auto"/>
        <w:right w:val="none" w:sz="0" w:space="0" w:color="auto"/>
      </w:divBdr>
    </w:div>
    <w:div w:id="1579712273">
      <w:bodyDiv w:val="1"/>
      <w:marLeft w:val="0"/>
      <w:marRight w:val="0"/>
      <w:marTop w:val="0"/>
      <w:marBottom w:val="0"/>
      <w:divBdr>
        <w:top w:val="none" w:sz="0" w:space="0" w:color="auto"/>
        <w:left w:val="none" w:sz="0" w:space="0" w:color="auto"/>
        <w:bottom w:val="none" w:sz="0" w:space="0" w:color="auto"/>
        <w:right w:val="none" w:sz="0" w:space="0" w:color="auto"/>
      </w:divBdr>
    </w:div>
    <w:div w:id="1582374949">
      <w:bodyDiv w:val="1"/>
      <w:marLeft w:val="0"/>
      <w:marRight w:val="0"/>
      <w:marTop w:val="0"/>
      <w:marBottom w:val="0"/>
      <w:divBdr>
        <w:top w:val="none" w:sz="0" w:space="0" w:color="auto"/>
        <w:left w:val="none" w:sz="0" w:space="0" w:color="auto"/>
        <w:bottom w:val="none" w:sz="0" w:space="0" w:color="auto"/>
        <w:right w:val="none" w:sz="0" w:space="0" w:color="auto"/>
      </w:divBdr>
    </w:div>
    <w:div w:id="1583446629">
      <w:bodyDiv w:val="1"/>
      <w:marLeft w:val="0"/>
      <w:marRight w:val="0"/>
      <w:marTop w:val="0"/>
      <w:marBottom w:val="0"/>
      <w:divBdr>
        <w:top w:val="none" w:sz="0" w:space="0" w:color="auto"/>
        <w:left w:val="none" w:sz="0" w:space="0" w:color="auto"/>
        <w:bottom w:val="none" w:sz="0" w:space="0" w:color="auto"/>
        <w:right w:val="none" w:sz="0" w:space="0" w:color="auto"/>
      </w:divBdr>
    </w:div>
    <w:div w:id="1598556403">
      <w:bodyDiv w:val="1"/>
      <w:marLeft w:val="0"/>
      <w:marRight w:val="0"/>
      <w:marTop w:val="0"/>
      <w:marBottom w:val="0"/>
      <w:divBdr>
        <w:top w:val="none" w:sz="0" w:space="0" w:color="auto"/>
        <w:left w:val="none" w:sz="0" w:space="0" w:color="auto"/>
        <w:bottom w:val="none" w:sz="0" w:space="0" w:color="auto"/>
        <w:right w:val="none" w:sz="0" w:space="0" w:color="auto"/>
      </w:divBdr>
    </w:div>
    <w:div w:id="1599749442">
      <w:bodyDiv w:val="1"/>
      <w:marLeft w:val="0"/>
      <w:marRight w:val="0"/>
      <w:marTop w:val="0"/>
      <w:marBottom w:val="0"/>
      <w:divBdr>
        <w:top w:val="none" w:sz="0" w:space="0" w:color="auto"/>
        <w:left w:val="none" w:sz="0" w:space="0" w:color="auto"/>
        <w:bottom w:val="none" w:sz="0" w:space="0" w:color="auto"/>
        <w:right w:val="none" w:sz="0" w:space="0" w:color="auto"/>
      </w:divBdr>
    </w:div>
    <w:div w:id="1601135590">
      <w:bodyDiv w:val="1"/>
      <w:marLeft w:val="0"/>
      <w:marRight w:val="0"/>
      <w:marTop w:val="0"/>
      <w:marBottom w:val="0"/>
      <w:divBdr>
        <w:top w:val="none" w:sz="0" w:space="0" w:color="auto"/>
        <w:left w:val="none" w:sz="0" w:space="0" w:color="auto"/>
        <w:bottom w:val="none" w:sz="0" w:space="0" w:color="auto"/>
        <w:right w:val="none" w:sz="0" w:space="0" w:color="auto"/>
      </w:divBdr>
    </w:div>
    <w:div w:id="1602378617">
      <w:bodyDiv w:val="1"/>
      <w:marLeft w:val="0"/>
      <w:marRight w:val="0"/>
      <w:marTop w:val="0"/>
      <w:marBottom w:val="0"/>
      <w:divBdr>
        <w:top w:val="none" w:sz="0" w:space="0" w:color="auto"/>
        <w:left w:val="none" w:sz="0" w:space="0" w:color="auto"/>
        <w:bottom w:val="none" w:sz="0" w:space="0" w:color="auto"/>
        <w:right w:val="none" w:sz="0" w:space="0" w:color="auto"/>
      </w:divBdr>
    </w:div>
    <w:div w:id="1604460313">
      <w:bodyDiv w:val="1"/>
      <w:marLeft w:val="0"/>
      <w:marRight w:val="0"/>
      <w:marTop w:val="0"/>
      <w:marBottom w:val="0"/>
      <w:divBdr>
        <w:top w:val="none" w:sz="0" w:space="0" w:color="auto"/>
        <w:left w:val="none" w:sz="0" w:space="0" w:color="auto"/>
        <w:bottom w:val="none" w:sz="0" w:space="0" w:color="auto"/>
        <w:right w:val="none" w:sz="0" w:space="0" w:color="auto"/>
      </w:divBdr>
    </w:div>
    <w:div w:id="1607613155">
      <w:bodyDiv w:val="1"/>
      <w:marLeft w:val="0"/>
      <w:marRight w:val="0"/>
      <w:marTop w:val="0"/>
      <w:marBottom w:val="0"/>
      <w:divBdr>
        <w:top w:val="none" w:sz="0" w:space="0" w:color="auto"/>
        <w:left w:val="none" w:sz="0" w:space="0" w:color="auto"/>
        <w:bottom w:val="none" w:sz="0" w:space="0" w:color="auto"/>
        <w:right w:val="none" w:sz="0" w:space="0" w:color="auto"/>
      </w:divBdr>
    </w:div>
    <w:div w:id="1608737625">
      <w:bodyDiv w:val="1"/>
      <w:marLeft w:val="0"/>
      <w:marRight w:val="0"/>
      <w:marTop w:val="0"/>
      <w:marBottom w:val="0"/>
      <w:divBdr>
        <w:top w:val="none" w:sz="0" w:space="0" w:color="auto"/>
        <w:left w:val="none" w:sz="0" w:space="0" w:color="auto"/>
        <w:bottom w:val="none" w:sz="0" w:space="0" w:color="auto"/>
        <w:right w:val="none" w:sz="0" w:space="0" w:color="auto"/>
      </w:divBdr>
    </w:div>
    <w:div w:id="1609308756">
      <w:bodyDiv w:val="1"/>
      <w:marLeft w:val="0"/>
      <w:marRight w:val="0"/>
      <w:marTop w:val="0"/>
      <w:marBottom w:val="0"/>
      <w:divBdr>
        <w:top w:val="none" w:sz="0" w:space="0" w:color="auto"/>
        <w:left w:val="none" w:sz="0" w:space="0" w:color="auto"/>
        <w:bottom w:val="none" w:sz="0" w:space="0" w:color="auto"/>
        <w:right w:val="none" w:sz="0" w:space="0" w:color="auto"/>
      </w:divBdr>
    </w:div>
    <w:div w:id="1609658548">
      <w:bodyDiv w:val="1"/>
      <w:marLeft w:val="0"/>
      <w:marRight w:val="0"/>
      <w:marTop w:val="0"/>
      <w:marBottom w:val="0"/>
      <w:divBdr>
        <w:top w:val="none" w:sz="0" w:space="0" w:color="auto"/>
        <w:left w:val="none" w:sz="0" w:space="0" w:color="auto"/>
        <w:bottom w:val="none" w:sz="0" w:space="0" w:color="auto"/>
        <w:right w:val="none" w:sz="0" w:space="0" w:color="auto"/>
      </w:divBdr>
    </w:div>
    <w:div w:id="1612710329">
      <w:bodyDiv w:val="1"/>
      <w:marLeft w:val="0"/>
      <w:marRight w:val="0"/>
      <w:marTop w:val="0"/>
      <w:marBottom w:val="0"/>
      <w:divBdr>
        <w:top w:val="none" w:sz="0" w:space="0" w:color="auto"/>
        <w:left w:val="none" w:sz="0" w:space="0" w:color="auto"/>
        <w:bottom w:val="none" w:sz="0" w:space="0" w:color="auto"/>
        <w:right w:val="none" w:sz="0" w:space="0" w:color="auto"/>
      </w:divBdr>
    </w:div>
    <w:div w:id="1625624025">
      <w:bodyDiv w:val="1"/>
      <w:marLeft w:val="0"/>
      <w:marRight w:val="0"/>
      <w:marTop w:val="0"/>
      <w:marBottom w:val="0"/>
      <w:divBdr>
        <w:top w:val="none" w:sz="0" w:space="0" w:color="auto"/>
        <w:left w:val="none" w:sz="0" w:space="0" w:color="auto"/>
        <w:bottom w:val="none" w:sz="0" w:space="0" w:color="auto"/>
        <w:right w:val="none" w:sz="0" w:space="0" w:color="auto"/>
      </w:divBdr>
    </w:div>
    <w:div w:id="1632054067">
      <w:bodyDiv w:val="1"/>
      <w:marLeft w:val="0"/>
      <w:marRight w:val="0"/>
      <w:marTop w:val="0"/>
      <w:marBottom w:val="0"/>
      <w:divBdr>
        <w:top w:val="none" w:sz="0" w:space="0" w:color="auto"/>
        <w:left w:val="none" w:sz="0" w:space="0" w:color="auto"/>
        <w:bottom w:val="none" w:sz="0" w:space="0" w:color="auto"/>
        <w:right w:val="none" w:sz="0" w:space="0" w:color="auto"/>
      </w:divBdr>
    </w:div>
    <w:div w:id="1635334975">
      <w:bodyDiv w:val="1"/>
      <w:marLeft w:val="0"/>
      <w:marRight w:val="0"/>
      <w:marTop w:val="0"/>
      <w:marBottom w:val="0"/>
      <w:divBdr>
        <w:top w:val="none" w:sz="0" w:space="0" w:color="auto"/>
        <w:left w:val="none" w:sz="0" w:space="0" w:color="auto"/>
        <w:bottom w:val="none" w:sz="0" w:space="0" w:color="auto"/>
        <w:right w:val="none" w:sz="0" w:space="0" w:color="auto"/>
      </w:divBdr>
    </w:div>
    <w:div w:id="1635868293">
      <w:bodyDiv w:val="1"/>
      <w:marLeft w:val="0"/>
      <w:marRight w:val="0"/>
      <w:marTop w:val="0"/>
      <w:marBottom w:val="0"/>
      <w:divBdr>
        <w:top w:val="none" w:sz="0" w:space="0" w:color="auto"/>
        <w:left w:val="none" w:sz="0" w:space="0" w:color="auto"/>
        <w:bottom w:val="none" w:sz="0" w:space="0" w:color="auto"/>
        <w:right w:val="none" w:sz="0" w:space="0" w:color="auto"/>
      </w:divBdr>
    </w:div>
    <w:div w:id="1636522116">
      <w:bodyDiv w:val="1"/>
      <w:marLeft w:val="0"/>
      <w:marRight w:val="0"/>
      <w:marTop w:val="0"/>
      <w:marBottom w:val="0"/>
      <w:divBdr>
        <w:top w:val="none" w:sz="0" w:space="0" w:color="auto"/>
        <w:left w:val="none" w:sz="0" w:space="0" w:color="auto"/>
        <w:bottom w:val="none" w:sz="0" w:space="0" w:color="auto"/>
        <w:right w:val="none" w:sz="0" w:space="0" w:color="auto"/>
      </w:divBdr>
    </w:div>
    <w:div w:id="1638097903">
      <w:bodyDiv w:val="1"/>
      <w:marLeft w:val="0"/>
      <w:marRight w:val="0"/>
      <w:marTop w:val="0"/>
      <w:marBottom w:val="0"/>
      <w:divBdr>
        <w:top w:val="none" w:sz="0" w:space="0" w:color="auto"/>
        <w:left w:val="none" w:sz="0" w:space="0" w:color="auto"/>
        <w:bottom w:val="none" w:sz="0" w:space="0" w:color="auto"/>
        <w:right w:val="none" w:sz="0" w:space="0" w:color="auto"/>
      </w:divBdr>
    </w:div>
    <w:div w:id="1641417418">
      <w:bodyDiv w:val="1"/>
      <w:marLeft w:val="0"/>
      <w:marRight w:val="0"/>
      <w:marTop w:val="0"/>
      <w:marBottom w:val="0"/>
      <w:divBdr>
        <w:top w:val="none" w:sz="0" w:space="0" w:color="auto"/>
        <w:left w:val="none" w:sz="0" w:space="0" w:color="auto"/>
        <w:bottom w:val="none" w:sz="0" w:space="0" w:color="auto"/>
        <w:right w:val="none" w:sz="0" w:space="0" w:color="auto"/>
      </w:divBdr>
    </w:div>
    <w:div w:id="1642005056">
      <w:bodyDiv w:val="1"/>
      <w:marLeft w:val="0"/>
      <w:marRight w:val="0"/>
      <w:marTop w:val="0"/>
      <w:marBottom w:val="0"/>
      <w:divBdr>
        <w:top w:val="none" w:sz="0" w:space="0" w:color="auto"/>
        <w:left w:val="none" w:sz="0" w:space="0" w:color="auto"/>
        <w:bottom w:val="none" w:sz="0" w:space="0" w:color="auto"/>
        <w:right w:val="none" w:sz="0" w:space="0" w:color="auto"/>
      </w:divBdr>
    </w:div>
    <w:div w:id="1642685930">
      <w:bodyDiv w:val="1"/>
      <w:marLeft w:val="0"/>
      <w:marRight w:val="0"/>
      <w:marTop w:val="0"/>
      <w:marBottom w:val="0"/>
      <w:divBdr>
        <w:top w:val="none" w:sz="0" w:space="0" w:color="auto"/>
        <w:left w:val="none" w:sz="0" w:space="0" w:color="auto"/>
        <w:bottom w:val="none" w:sz="0" w:space="0" w:color="auto"/>
        <w:right w:val="none" w:sz="0" w:space="0" w:color="auto"/>
      </w:divBdr>
    </w:div>
    <w:div w:id="1652900472">
      <w:bodyDiv w:val="1"/>
      <w:marLeft w:val="0"/>
      <w:marRight w:val="0"/>
      <w:marTop w:val="0"/>
      <w:marBottom w:val="0"/>
      <w:divBdr>
        <w:top w:val="none" w:sz="0" w:space="0" w:color="auto"/>
        <w:left w:val="none" w:sz="0" w:space="0" w:color="auto"/>
        <w:bottom w:val="none" w:sz="0" w:space="0" w:color="auto"/>
        <w:right w:val="none" w:sz="0" w:space="0" w:color="auto"/>
      </w:divBdr>
    </w:div>
    <w:div w:id="1666588088">
      <w:bodyDiv w:val="1"/>
      <w:marLeft w:val="0"/>
      <w:marRight w:val="0"/>
      <w:marTop w:val="0"/>
      <w:marBottom w:val="0"/>
      <w:divBdr>
        <w:top w:val="none" w:sz="0" w:space="0" w:color="auto"/>
        <w:left w:val="none" w:sz="0" w:space="0" w:color="auto"/>
        <w:bottom w:val="none" w:sz="0" w:space="0" w:color="auto"/>
        <w:right w:val="none" w:sz="0" w:space="0" w:color="auto"/>
      </w:divBdr>
    </w:div>
    <w:div w:id="1675260874">
      <w:bodyDiv w:val="1"/>
      <w:marLeft w:val="0"/>
      <w:marRight w:val="0"/>
      <w:marTop w:val="0"/>
      <w:marBottom w:val="0"/>
      <w:divBdr>
        <w:top w:val="none" w:sz="0" w:space="0" w:color="auto"/>
        <w:left w:val="none" w:sz="0" w:space="0" w:color="auto"/>
        <w:bottom w:val="none" w:sz="0" w:space="0" w:color="auto"/>
        <w:right w:val="none" w:sz="0" w:space="0" w:color="auto"/>
      </w:divBdr>
    </w:div>
    <w:div w:id="1677145179">
      <w:bodyDiv w:val="1"/>
      <w:marLeft w:val="0"/>
      <w:marRight w:val="0"/>
      <w:marTop w:val="0"/>
      <w:marBottom w:val="0"/>
      <w:divBdr>
        <w:top w:val="none" w:sz="0" w:space="0" w:color="auto"/>
        <w:left w:val="none" w:sz="0" w:space="0" w:color="auto"/>
        <w:bottom w:val="none" w:sz="0" w:space="0" w:color="auto"/>
        <w:right w:val="none" w:sz="0" w:space="0" w:color="auto"/>
      </w:divBdr>
    </w:div>
    <w:div w:id="1678726707">
      <w:bodyDiv w:val="1"/>
      <w:marLeft w:val="0"/>
      <w:marRight w:val="0"/>
      <w:marTop w:val="0"/>
      <w:marBottom w:val="0"/>
      <w:divBdr>
        <w:top w:val="none" w:sz="0" w:space="0" w:color="auto"/>
        <w:left w:val="none" w:sz="0" w:space="0" w:color="auto"/>
        <w:bottom w:val="none" w:sz="0" w:space="0" w:color="auto"/>
        <w:right w:val="none" w:sz="0" w:space="0" w:color="auto"/>
      </w:divBdr>
    </w:div>
    <w:div w:id="1681467463">
      <w:bodyDiv w:val="1"/>
      <w:marLeft w:val="0"/>
      <w:marRight w:val="0"/>
      <w:marTop w:val="0"/>
      <w:marBottom w:val="0"/>
      <w:divBdr>
        <w:top w:val="none" w:sz="0" w:space="0" w:color="auto"/>
        <w:left w:val="none" w:sz="0" w:space="0" w:color="auto"/>
        <w:bottom w:val="none" w:sz="0" w:space="0" w:color="auto"/>
        <w:right w:val="none" w:sz="0" w:space="0" w:color="auto"/>
      </w:divBdr>
    </w:div>
    <w:div w:id="1681930365">
      <w:bodyDiv w:val="1"/>
      <w:marLeft w:val="0"/>
      <w:marRight w:val="0"/>
      <w:marTop w:val="0"/>
      <w:marBottom w:val="0"/>
      <w:divBdr>
        <w:top w:val="none" w:sz="0" w:space="0" w:color="auto"/>
        <w:left w:val="none" w:sz="0" w:space="0" w:color="auto"/>
        <w:bottom w:val="none" w:sz="0" w:space="0" w:color="auto"/>
        <w:right w:val="none" w:sz="0" w:space="0" w:color="auto"/>
      </w:divBdr>
    </w:div>
    <w:div w:id="1685934786">
      <w:bodyDiv w:val="1"/>
      <w:marLeft w:val="0"/>
      <w:marRight w:val="0"/>
      <w:marTop w:val="0"/>
      <w:marBottom w:val="0"/>
      <w:divBdr>
        <w:top w:val="none" w:sz="0" w:space="0" w:color="auto"/>
        <w:left w:val="none" w:sz="0" w:space="0" w:color="auto"/>
        <w:bottom w:val="none" w:sz="0" w:space="0" w:color="auto"/>
        <w:right w:val="none" w:sz="0" w:space="0" w:color="auto"/>
      </w:divBdr>
    </w:div>
    <w:div w:id="1691561726">
      <w:bodyDiv w:val="1"/>
      <w:marLeft w:val="0"/>
      <w:marRight w:val="0"/>
      <w:marTop w:val="0"/>
      <w:marBottom w:val="0"/>
      <w:divBdr>
        <w:top w:val="none" w:sz="0" w:space="0" w:color="auto"/>
        <w:left w:val="none" w:sz="0" w:space="0" w:color="auto"/>
        <w:bottom w:val="none" w:sz="0" w:space="0" w:color="auto"/>
        <w:right w:val="none" w:sz="0" w:space="0" w:color="auto"/>
      </w:divBdr>
    </w:div>
    <w:div w:id="1702198178">
      <w:bodyDiv w:val="1"/>
      <w:marLeft w:val="0"/>
      <w:marRight w:val="0"/>
      <w:marTop w:val="0"/>
      <w:marBottom w:val="0"/>
      <w:divBdr>
        <w:top w:val="none" w:sz="0" w:space="0" w:color="auto"/>
        <w:left w:val="none" w:sz="0" w:space="0" w:color="auto"/>
        <w:bottom w:val="none" w:sz="0" w:space="0" w:color="auto"/>
        <w:right w:val="none" w:sz="0" w:space="0" w:color="auto"/>
      </w:divBdr>
    </w:div>
    <w:div w:id="1705131424">
      <w:bodyDiv w:val="1"/>
      <w:marLeft w:val="0"/>
      <w:marRight w:val="0"/>
      <w:marTop w:val="0"/>
      <w:marBottom w:val="0"/>
      <w:divBdr>
        <w:top w:val="none" w:sz="0" w:space="0" w:color="auto"/>
        <w:left w:val="none" w:sz="0" w:space="0" w:color="auto"/>
        <w:bottom w:val="none" w:sz="0" w:space="0" w:color="auto"/>
        <w:right w:val="none" w:sz="0" w:space="0" w:color="auto"/>
      </w:divBdr>
    </w:div>
    <w:div w:id="1708793092">
      <w:bodyDiv w:val="1"/>
      <w:marLeft w:val="0"/>
      <w:marRight w:val="0"/>
      <w:marTop w:val="0"/>
      <w:marBottom w:val="0"/>
      <w:divBdr>
        <w:top w:val="none" w:sz="0" w:space="0" w:color="auto"/>
        <w:left w:val="none" w:sz="0" w:space="0" w:color="auto"/>
        <w:bottom w:val="none" w:sz="0" w:space="0" w:color="auto"/>
        <w:right w:val="none" w:sz="0" w:space="0" w:color="auto"/>
      </w:divBdr>
    </w:div>
    <w:div w:id="1711414531">
      <w:bodyDiv w:val="1"/>
      <w:marLeft w:val="0"/>
      <w:marRight w:val="0"/>
      <w:marTop w:val="0"/>
      <w:marBottom w:val="0"/>
      <w:divBdr>
        <w:top w:val="none" w:sz="0" w:space="0" w:color="auto"/>
        <w:left w:val="none" w:sz="0" w:space="0" w:color="auto"/>
        <w:bottom w:val="none" w:sz="0" w:space="0" w:color="auto"/>
        <w:right w:val="none" w:sz="0" w:space="0" w:color="auto"/>
      </w:divBdr>
    </w:div>
    <w:div w:id="1714114748">
      <w:bodyDiv w:val="1"/>
      <w:marLeft w:val="0"/>
      <w:marRight w:val="0"/>
      <w:marTop w:val="0"/>
      <w:marBottom w:val="0"/>
      <w:divBdr>
        <w:top w:val="none" w:sz="0" w:space="0" w:color="auto"/>
        <w:left w:val="none" w:sz="0" w:space="0" w:color="auto"/>
        <w:bottom w:val="none" w:sz="0" w:space="0" w:color="auto"/>
        <w:right w:val="none" w:sz="0" w:space="0" w:color="auto"/>
      </w:divBdr>
    </w:div>
    <w:div w:id="1716857049">
      <w:bodyDiv w:val="1"/>
      <w:marLeft w:val="0"/>
      <w:marRight w:val="0"/>
      <w:marTop w:val="0"/>
      <w:marBottom w:val="0"/>
      <w:divBdr>
        <w:top w:val="none" w:sz="0" w:space="0" w:color="auto"/>
        <w:left w:val="none" w:sz="0" w:space="0" w:color="auto"/>
        <w:bottom w:val="none" w:sz="0" w:space="0" w:color="auto"/>
        <w:right w:val="none" w:sz="0" w:space="0" w:color="auto"/>
      </w:divBdr>
    </w:div>
    <w:div w:id="1723945082">
      <w:bodyDiv w:val="1"/>
      <w:marLeft w:val="0"/>
      <w:marRight w:val="0"/>
      <w:marTop w:val="0"/>
      <w:marBottom w:val="0"/>
      <w:divBdr>
        <w:top w:val="none" w:sz="0" w:space="0" w:color="auto"/>
        <w:left w:val="none" w:sz="0" w:space="0" w:color="auto"/>
        <w:bottom w:val="none" w:sz="0" w:space="0" w:color="auto"/>
        <w:right w:val="none" w:sz="0" w:space="0" w:color="auto"/>
      </w:divBdr>
    </w:div>
    <w:div w:id="1730572228">
      <w:bodyDiv w:val="1"/>
      <w:marLeft w:val="0"/>
      <w:marRight w:val="0"/>
      <w:marTop w:val="0"/>
      <w:marBottom w:val="0"/>
      <w:divBdr>
        <w:top w:val="none" w:sz="0" w:space="0" w:color="auto"/>
        <w:left w:val="none" w:sz="0" w:space="0" w:color="auto"/>
        <w:bottom w:val="none" w:sz="0" w:space="0" w:color="auto"/>
        <w:right w:val="none" w:sz="0" w:space="0" w:color="auto"/>
      </w:divBdr>
    </w:div>
    <w:div w:id="1741127480">
      <w:bodyDiv w:val="1"/>
      <w:marLeft w:val="0"/>
      <w:marRight w:val="0"/>
      <w:marTop w:val="0"/>
      <w:marBottom w:val="0"/>
      <w:divBdr>
        <w:top w:val="none" w:sz="0" w:space="0" w:color="auto"/>
        <w:left w:val="none" w:sz="0" w:space="0" w:color="auto"/>
        <w:bottom w:val="none" w:sz="0" w:space="0" w:color="auto"/>
        <w:right w:val="none" w:sz="0" w:space="0" w:color="auto"/>
      </w:divBdr>
    </w:div>
    <w:div w:id="1748723543">
      <w:bodyDiv w:val="1"/>
      <w:marLeft w:val="0"/>
      <w:marRight w:val="0"/>
      <w:marTop w:val="0"/>
      <w:marBottom w:val="0"/>
      <w:divBdr>
        <w:top w:val="none" w:sz="0" w:space="0" w:color="auto"/>
        <w:left w:val="none" w:sz="0" w:space="0" w:color="auto"/>
        <w:bottom w:val="none" w:sz="0" w:space="0" w:color="auto"/>
        <w:right w:val="none" w:sz="0" w:space="0" w:color="auto"/>
      </w:divBdr>
    </w:div>
    <w:div w:id="1749039851">
      <w:bodyDiv w:val="1"/>
      <w:marLeft w:val="0"/>
      <w:marRight w:val="0"/>
      <w:marTop w:val="0"/>
      <w:marBottom w:val="0"/>
      <w:divBdr>
        <w:top w:val="none" w:sz="0" w:space="0" w:color="auto"/>
        <w:left w:val="none" w:sz="0" w:space="0" w:color="auto"/>
        <w:bottom w:val="none" w:sz="0" w:space="0" w:color="auto"/>
        <w:right w:val="none" w:sz="0" w:space="0" w:color="auto"/>
      </w:divBdr>
    </w:div>
    <w:div w:id="1751848578">
      <w:bodyDiv w:val="1"/>
      <w:marLeft w:val="0"/>
      <w:marRight w:val="0"/>
      <w:marTop w:val="0"/>
      <w:marBottom w:val="0"/>
      <w:divBdr>
        <w:top w:val="none" w:sz="0" w:space="0" w:color="auto"/>
        <w:left w:val="none" w:sz="0" w:space="0" w:color="auto"/>
        <w:bottom w:val="none" w:sz="0" w:space="0" w:color="auto"/>
        <w:right w:val="none" w:sz="0" w:space="0" w:color="auto"/>
      </w:divBdr>
    </w:div>
    <w:div w:id="1756394862">
      <w:bodyDiv w:val="1"/>
      <w:marLeft w:val="0"/>
      <w:marRight w:val="0"/>
      <w:marTop w:val="0"/>
      <w:marBottom w:val="0"/>
      <w:divBdr>
        <w:top w:val="none" w:sz="0" w:space="0" w:color="auto"/>
        <w:left w:val="none" w:sz="0" w:space="0" w:color="auto"/>
        <w:bottom w:val="none" w:sz="0" w:space="0" w:color="auto"/>
        <w:right w:val="none" w:sz="0" w:space="0" w:color="auto"/>
      </w:divBdr>
    </w:div>
    <w:div w:id="1758864335">
      <w:bodyDiv w:val="1"/>
      <w:marLeft w:val="0"/>
      <w:marRight w:val="0"/>
      <w:marTop w:val="0"/>
      <w:marBottom w:val="0"/>
      <w:divBdr>
        <w:top w:val="none" w:sz="0" w:space="0" w:color="auto"/>
        <w:left w:val="none" w:sz="0" w:space="0" w:color="auto"/>
        <w:bottom w:val="none" w:sz="0" w:space="0" w:color="auto"/>
        <w:right w:val="none" w:sz="0" w:space="0" w:color="auto"/>
      </w:divBdr>
    </w:div>
    <w:div w:id="1761483730">
      <w:bodyDiv w:val="1"/>
      <w:marLeft w:val="0"/>
      <w:marRight w:val="0"/>
      <w:marTop w:val="0"/>
      <w:marBottom w:val="0"/>
      <w:divBdr>
        <w:top w:val="none" w:sz="0" w:space="0" w:color="auto"/>
        <w:left w:val="none" w:sz="0" w:space="0" w:color="auto"/>
        <w:bottom w:val="none" w:sz="0" w:space="0" w:color="auto"/>
        <w:right w:val="none" w:sz="0" w:space="0" w:color="auto"/>
      </w:divBdr>
    </w:div>
    <w:div w:id="1767648953">
      <w:bodyDiv w:val="1"/>
      <w:marLeft w:val="0"/>
      <w:marRight w:val="0"/>
      <w:marTop w:val="0"/>
      <w:marBottom w:val="0"/>
      <w:divBdr>
        <w:top w:val="none" w:sz="0" w:space="0" w:color="auto"/>
        <w:left w:val="none" w:sz="0" w:space="0" w:color="auto"/>
        <w:bottom w:val="none" w:sz="0" w:space="0" w:color="auto"/>
        <w:right w:val="none" w:sz="0" w:space="0" w:color="auto"/>
      </w:divBdr>
    </w:div>
    <w:div w:id="1771313525">
      <w:bodyDiv w:val="1"/>
      <w:marLeft w:val="0"/>
      <w:marRight w:val="0"/>
      <w:marTop w:val="0"/>
      <w:marBottom w:val="0"/>
      <w:divBdr>
        <w:top w:val="none" w:sz="0" w:space="0" w:color="auto"/>
        <w:left w:val="none" w:sz="0" w:space="0" w:color="auto"/>
        <w:bottom w:val="none" w:sz="0" w:space="0" w:color="auto"/>
        <w:right w:val="none" w:sz="0" w:space="0" w:color="auto"/>
      </w:divBdr>
    </w:div>
    <w:div w:id="1774982046">
      <w:bodyDiv w:val="1"/>
      <w:marLeft w:val="0"/>
      <w:marRight w:val="0"/>
      <w:marTop w:val="0"/>
      <w:marBottom w:val="0"/>
      <w:divBdr>
        <w:top w:val="none" w:sz="0" w:space="0" w:color="auto"/>
        <w:left w:val="none" w:sz="0" w:space="0" w:color="auto"/>
        <w:bottom w:val="none" w:sz="0" w:space="0" w:color="auto"/>
        <w:right w:val="none" w:sz="0" w:space="0" w:color="auto"/>
      </w:divBdr>
    </w:div>
    <w:div w:id="1798982480">
      <w:bodyDiv w:val="1"/>
      <w:marLeft w:val="0"/>
      <w:marRight w:val="0"/>
      <w:marTop w:val="0"/>
      <w:marBottom w:val="0"/>
      <w:divBdr>
        <w:top w:val="none" w:sz="0" w:space="0" w:color="auto"/>
        <w:left w:val="none" w:sz="0" w:space="0" w:color="auto"/>
        <w:bottom w:val="none" w:sz="0" w:space="0" w:color="auto"/>
        <w:right w:val="none" w:sz="0" w:space="0" w:color="auto"/>
      </w:divBdr>
    </w:div>
    <w:div w:id="1799832904">
      <w:bodyDiv w:val="1"/>
      <w:marLeft w:val="0"/>
      <w:marRight w:val="0"/>
      <w:marTop w:val="0"/>
      <w:marBottom w:val="0"/>
      <w:divBdr>
        <w:top w:val="none" w:sz="0" w:space="0" w:color="auto"/>
        <w:left w:val="none" w:sz="0" w:space="0" w:color="auto"/>
        <w:bottom w:val="none" w:sz="0" w:space="0" w:color="auto"/>
        <w:right w:val="none" w:sz="0" w:space="0" w:color="auto"/>
      </w:divBdr>
    </w:div>
    <w:div w:id="1801149624">
      <w:bodyDiv w:val="1"/>
      <w:marLeft w:val="0"/>
      <w:marRight w:val="0"/>
      <w:marTop w:val="0"/>
      <w:marBottom w:val="0"/>
      <w:divBdr>
        <w:top w:val="none" w:sz="0" w:space="0" w:color="auto"/>
        <w:left w:val="none" w:sz="0" w:space="0" w:color="auto"/>
        <w:bottom w:val="none" w:sz="0" w:space="0" w:color="auto"/>
        <w:right w:val="none" w:sz="0" w:space="0" w:color="auto"/>
      </w:divBdr>
    </w:div>
    <w:div w:id="1809740413">
      <w:bodyDiv w:val="1"/>
      <w:marLeft w:val="0"/>
      <w:marRight w:val="0"/>
      <w:marTop w:val="0"/>
      <w:marBottom w:val="0"/>
      <w:divBdr>
        <w:top w:val="none" w:sz="0" w:space="0" w:color="auto"/>
        <w:left w:val="none" w:sz="0" w:space="0" w:color="auto"/>
        <w:bottom w:val="none" w:sz="0" w:space="0" w:color="auto"/>
        <w:right w:val="none" w:sz="0" w:space="0" w:color="auto"/>
      </w:divBdr>
    </w:div>
    <w:div w:id="1822691037">
      <w:bodyDiv w:val="1"/>
      <w:marLeft w:val="0"/>
      <w:marRight w:val="0"/>
      <w:marTop w:val="0"/>
      <w:marBottom w:val="0"/>
      <w:divBdr>
        <w:top w:val="none" w:sz="0" w:space="0" w:color="auto"/>
        <w:left w:val="none" w:sz="0" w:space="0" w:color="auto"/>
        <w:bottom w:val="none" w:sz="0" w:space="0" w:color="auto"/>
        <w:right w:val="none" w:sz="0" w:space="0" w:color="auto"/>
      </w:divBdr>
    </w:div>
    <w:div w:id="1830514779">
      <w:bodyDiv w:val="1"/>
      <w:marLeft w:val="0"/>
      <w:marRight w:val="0"/>
      <w:marTop w:val="0"/>
      <w:marBottom w:val="0"/>
      <w:divBdr>
        <w:top w:val="none" w:sz="0" w:space="0" w:color="auto"/>
        <w:left w:val="none" w:sz="0" w:space="0" w:color="auto"/>
        <w:bottom w:val="none" w:sz="0" w:space="0" w:color="auto"/>
        <w:right w:val="none" w:sz="0" w:space="0" w:color="auto"/>
      </w:divBdr>
    </w:div>
    <w:div w:id="1832091038">
      <w:bodyDiv w:val="1"/>
      <w:marLeft w:val="0"/>
      <w:marRight w:val="0"/>
      <w:marTop w:val="0"/>
      <w:marBottom w:val="0"/>
      <w:divBdr>
        <w:top w:val="none" w:sz="0" w:space="0" w:color="auto"/>
        <w:left w:val="none" w:sz="0" w:space="0" w:color="auto"/>
        <w:bottom w:val="none" w:sz="0" w:space="0" w:color="auto"/>
        <w:right w:val="none" w:sz="0" w:space="0" w:color="auto"/>
      </w:divBdr>
    </w:div>
    <w:div w:id="1843474160">
      <w:bodyDiv w:val="1"/>
      <w:marLeft w:val="0"/>
      <w:marRight w:val="0"/>
      <w:marTop w:val="0"/>
      <w:marBottom w:val="0"/>
      <w:divBdr>
        <w:top w:val="none" w:sz="0" w:space="0" w:color="auto"/>
        <w:left w:val="none" w:sz="0" w:space="0" w:color="auto"/>
        <w:bottom w:val="none" w:sz="0" w:space="0" w:color="auto"/>
        <w:right w:val="none" w:sz="0" w:space="0" w:color="auto"/>
      </w:divBdr>
    </w:div>
    <w:div w:id="1845439139">
      <w:bodyDiv w:val="1"/>
      <w:marLeft w:val="0"/>
      <w:marRight w:val="0"/>
      <w:marTop w:val="0"/>
      <w:marBottom w:val="0"/>
      <w:divBdr>
        <w:top w:val="none" w:sz="0" w:space="0" w:color="auto"/>
        <w:left w:val="none" w:sz="0" w:space="0" w:color="auto"/>
        <w:bottom w:val="none" w:sz="0" w:space="0" w:color="auto"/>
        <w:right w:val="none" w:sz="0" w:space="0" w:color="auto"/>
      </w:divBdr>
    </w:div>
    <w:div w:id="1846283040">
      <w:bodyDiv w:val="1"/>
      <w:marLeft w:val="0"/>
      <w:marRight w:val="0"/>
      <w:marTop w:val="0"/>
      <w:marBottom w:val="0"/>
      <w:divBdr>
        <w:top w:val="none" w:sz="0" w:space="0" w:color="auto"/>
        <w:left w:val="none" w:sz="0" w:space="0" w:color="auto"/>
        <w:bottom w:val="none" w:sz="0" w:space="0" w:color="auto"/>
        <w:right w:val="none" w:sz="0" w:space="0" w:color="auto"/>
      </w:divBdr>
    </w:div>
    <w:div w:id="1853570478">
      <w:bodyDiv w:val="1"/>
      <w:marLeft w:val="0"/>
      <w:marRight w:val="0"/>
      <w:marTop w:val="0"/>
      <w:marBottom w:val="0"/>
      <w:divBdr>
        <w:top w:val="none" w:sz="0" w:space="0" w:color="auto"/>
        <w:left w:val="none" w:sz="0" w:space="0" w:color="auto"/>
        <w:bottom w:val="none" w:sz="0" w:space="0" w:color="auto"/>
        <w:right w:val="none" w:sz="0" w:space="0" w:color="auto"/>
      </w:divBdr>
    </w:div>
    <w:div w:id="1853834852">
      <w:bodyDiv w:val="1"/>
      <w:marLeft w:val="0"/>
      <w:marRight w:val="0"/>
      <w:marTop w:val="0"/>
      <w:marBottom w:val="0"/>
      <w:divBdr>
        <w:top w:val="none" w:sz="0" w:space="0" w:color="auto"/>
        <w:left w:val="none" w:sz="0" w:space="0" w:color="auto"/>
        <w:bottom w:val="none" w:sz="0" w:space="0" w:color="auto"/>
        <w:right w:val="none" w:sz="0" w:space="0" w:color="auto"/>
      </w:divBdr>
    </w:div>
    <w:div w:id="1857040849">
      <w:bodyDiv w:val="1"/>
      <w:marLeft w:val="0"/>
      <w:marRight w:val="0"/>
      <w:marTop w:val="0"/>
      <w:marBottom w:val="0"/>
      <w:divBdr>
        <w:top w:val="none" w:sz="0" w:space="0" w:color="auto"/>
        <w:left w:val="none" w:sz="0" w:space="0" w:color="auto"/>
        <w:bottom w:val="none" w:sz="0" w:space="0" w:color="auto"/>
        <w:right w:val="none" w:sz="0" w:space="0" w:color="auto"/>
      </w:divBdr>
    </w:div>
    <w:div w:id="1858352872">
      <w:bodyDiv w:val="1"/>
      <w:marLeft w:val="0"/>
      <w:marRight w:val="0"/>
      <w:marTop w:val="0"/>
      <w:marBottom w:val="0"/>
      <w:divBdr>
        <w:top w:val="none" w:sz="0" w:space="0" w:color="auto"/>
        <w:left w:val="none" w:sz="0" w:space="0" w:color="auto"/>
        <w:bottom w:val="none" w:sz="0" w:space="0" w:color="auto"/>
        <w:right w:val="none" w:sz="0" w:space="0" w:color="auto"/>
      </w:divBdr>
    </w:div>
    <w:div w:id="1872763611">
      <w:bodyDiv w:val="1"/>
      <w:marLeft w:val="0"/>
      <w:marRight w:val="0"/>
      <w:marTop w:val="0"/>
      <w:marBottom w:val="0"/>
      <w:divBdr>
        <w:top w:val="none" w:sz="0" w:space="0" w:color="auto"/>
        <w:left w:val="none" w:sz="0" w:space="0" w:color="auto"/>
        <w:bottom w:val="none" w:sz="0" w:space="0" w:color="auto"/>
        <w:right w:val="none" w:sz="0" w:space="0" w:color="auto"/>
      </w:divBdr>
    </w:div>
    <w:div w:id="1875266647">
      <w:bodyDiv w:val="1"/>
      <w:marLeft w:val="0"/>
      <w:marRight w:val="0"/>
      <w:marTop w:val="0"/>
      <w:marBottom w:val="0"/>
      <w:divBdr>
        <w:top w:val="none" w:sz="0" w:space="0" w:color="auto"/>
        <w:left w:val="none" w:sz="0" w:space="0" w:color="auto"/>
        <w:bottom w:val="none" w:sz="0" w:space="0" w:color="auto"/>
        <w:right w:val="none" w:sz="0" w:space="0" w:color="auto"/>
      </w:divBdr>
    </w:div>
    <w:div w:id="1876386398">
      <w:bodyDiv w:val="1"/>
      <w:marLeft w:val="0"/>
      <w:marRight w:val="0"/>
      <w:marTop w:val="0"/>
      <w:marBottom w:val="0"/>
      <w:divBdr>
        <w:top w:val="none" w:sz="0" w:space="0" w:color="auto"/>
        <w:left w:val="none" w:sz="0" w:space="0" w:color="auto"/>
        <w:bottom w:val="none" w:sz="0" w:space="0" w:color="auto"/>
        <w:right w:val="none" w:sz="0" w:space="0" w:color="auto"/>
      </w:divBdr>
    </w:div>
    <w:div w:id="1891988472">
      <w:bodyDiv w:val="1"/>
      <w:marLeft w:val="0"/>
      <w:marRight w:val="0"/>
      <w:marTop w:val="0"/>
      <w:marBottom w:val="0"/>
      <w:divBdr>
        <w:top w:val="none" w:sz="0" w:space="0" w:color="auto"/>
        <w:left w:val="none" w:sz="0" w:space="0" w:color="auto"/>
        <w:bottom w:val="none" w:sz="0" w:space="0" w:color="auto"/>
        <w:right w:val="none" w:sz="0" w:space="0" w:color="auto"/>
      </w:divBdr>
    </w:div>
    <w:div w:id="1898324092">
      <w:bodyDiv w:val="1"/>
      <w:marLeft w:val="0"/>
      <w:marRight w:val="0"/>
      <w:marTop w:val="0"/>
      <w:marBottom w:val="0"/>
      <w:divBdr>
        <w:top w:val="none" w:sz="0" w:space="0" w:color="auto"/>
        <w:left w:val="none" w:sz="0" w:space="0" w:color="auto"/>
        <w:bottom w:val="none" w:sz="0" w:space="0" w:color="auto"/>
        <w:right w:val="none" w:sz="0" w:space="0" w:color="auto"/>
      </w:divBdr>
    </w:div>
    <w:div w:id="1898928932">
      <w:bodyDiv w:val="1"/>
      <w:marLeft w:val="0"/>
      <w:marRight w:val="0"/>
      <w:marTop w:val="0"/>
      <w:marBottom w:val="0"/>
      <w:divBdr>
        <w:top w:val="none" w:sz="0" w:space="0" w:color="auto"/>
        <w:left w:val="none" w:sz="0" w:space="0" w:color="auto"/>
        <w:bottom w:val="none" w:sz="0" w:space="0" w:color="auto"/>
        <w:right w:val="none" w:sz="0" w:space="0" w:color="auto"/>
      </w:divBdr>
    </w:div>
    <w:div w:id="1934588294">
      <w:bodyDiv w:val="1"/>
      <w:marLeft w:val="0"/>
      <w:marRight w:val="0"/>
      <w:marTop w:val="0"/>
      <w:marBottom w:val="0"/>
      <w:divBdr>
        <w:top w:val="none" w:sz="0" w:space="0" w:color="auto"/>
        <w:left w:val="none" w:sz="0" w:space="0" w:color="auto"/>
        <w:bottom w:val="none" w:sz="0" w:space="0" w:color="auto"/>
        <w:right w:val="none" w:sz="0" w:space="0" w:color="auto"/>
      </w:divBdr>
    </w:div>
    <w:div w:id="1939554857">
      <w:bodyDiv w:val="1"/>
      <w:marLeft w:val="0"/>
      <w:marRight w:val="0"/>
      <w:marTop w:val="0"/>
      <w:marBottom w:val="0"/>
      <w:divBdr>
        <w:top w:val="none" w:sz="0" w:space="0" w:color="auto"/>
        <w:left w:val="none" w:sz="0" w:space="0" w:color="auto"/>
        <w:bottom w:val="none" w:sz="0" w:space="0" w:color="auto"/>
        <w:right w:val="none" w:sz="0" w:space="0" w:color="auto"/>
      </w:divBdr>
    </w:div>
    <w:div w:id="1940521654">
      <w:bodyDiv w:val="1"/>
      <w:marLeft w:val="0"/>
      <w:marRight w:val="0"/>
      <w:marTop w:val="0"/>
      <w:marBottom w:val="0"/>
      <w:divBdr>
        <w:top w:val="none" w:sz="0" w:space="0" w:color="auto"/>
        <w:left w:val="none" w:sz="0" w:space="0" w:color="auto"/>
        <w:bottom w:val="none" w:sz="0" w:space="0" w:color="auto"/>
        <w:right w:val="none" w:sz="0" w:space="0" w:color="auto"/>
      </w:divBdr>
    </w:div>
    <w:div w:id="1952276466">
      <w:bodyDiv w:val="1"/>
      <w:marLeft w:val="0"/>
      <w:marRight w:val="0"/>
      <w:marTop w:val="0"/>
      <w:marBottom w:val="0"/>
      <w:divBdr>
        <w:top w:val="none" w:sz="0" w:space="0" w:color="auto"/>
        <w:left w:val="none" w:sz="0" w:space="0" w:color="auto"/>
        <w:bottom w:val="none" w:sz="0" w:space="0" w:color="auto"/>
        <w:right w:val="none" w:sz="0" w:space="0" w:color="auto"/>
      </w:divBdr>
    </w:div>
    <w:div w:id="1958754409">
      <w:bodyDiv w:val="1"/>
      <w:marLeft w:val="0"/>
      <w:marRight w:val="0"/>
      <w:marTop w:val="0"/>
      <w:marBottom w:val="0"/>
      <w:divBdr>
        <w:top w:val="none" w:sz="0" w:space="0" w:color="auto"/>
        <w:left w:val="none" w:sz="0" w:space="0" w:color="auto"/>
        <w:bottom w:val="none" w:sz="0" w:space="0" w:color="auto"/>
        <w:right w:val="none" w:sz="0" w:space="0" w:color="auto"/>
      </w:divBdr>
    </w:div>
    <w:div w:id="1967082816">
      <w:bodyDiv w:val="1"/>
      <w:marLeft w:val="0"/>
      <w:marRight w:val="0"/>
      <w:marTop w:val="0"/>
      <w:marBottom w:val="0"/>
      <w:divBdr>
        <w:top w:val="none" w:sz="0" w:space="0" w:color="auto"/>
        <w:left w:val="none" w:sz="0" w:space="0" w:color="auto"/>
        <w:bottom w:val="none" w:sz="0" w:space="0" w:color="auto"/>
        <w:right w:val="none" w:sz="0" w:space="0" w:color="auto"/>
      </w:divBdr>
    </w:div>
    <w:div w:id="1988435515">
      <w:bodyDiv w:val="1"/>
      <w:marLeft w:val="0"/>
      <w:marRight w:val="0"/>
      <w:marTop w:val="0"/>
      <w:marBottom w:val="0"/>
      <w:divBdr>
        <w:top w:val="none" w:sz="0" w:space="0" w:color="auto"/>
        <w:left w:val="none" w:sz="0" w:space="0" w:color="auto"/>
        <w:bottom w:val="none" w:sz="0" w:space="0" w:color="auto"/>
        <w:right w:val="none" w:sz="0" w:space="0" w:color="auto"/>
      </w:divBdr>
    </w:div>
    <w:div w:id="1989699584">
      <w:bodyDiv w:val="1"/>
      <w:marLeft w:val="0"/>
      <w:marRight w:val="0"/>
      <w:marTop w:val="0"/>
      <w:marBottom w:val="0"/>
      <w:divBdr>
        <w:top w:val="none" w:sz="0" w:space="0" w:color="auto"/>
        <w:left w:val="none" w:sz="0" w:space="0" w:color="auto"/>
        <w:bottom w:val="none" w:sz="0" w:space="0" w:color="auto"/>
        <w:right w:val="none" w:sz="0" w:space="0" w:color="auto"/>
      </w:divBdr>
    </w:div>
    <w:div w:id="1990597488">
      <w:bodyDiv w:val="1"/>
      <w:marLeft w:val="0"/>
      <w:marRight w:val="0"/>
      <w:marTop w:val="0"/>
      <w:marBottom w:val="0"/>
      <w:divBdr>
        <w:top w:val="none" w:sz="0" w:space="0" w:color="auto"/>
        <w:left w:val="none" w:sz="0" w:space="0" w:color="auto"/>
        <w:bottom w:val="none" w:sz="0" w:space="0" w:color="auto"/>
        <w:right w:val="none" w:sz="0" w:space="0" w:color="auto"/>
      </w:divBdr>
    </w:div>
    <w:div w:id="1996108265">
      <w:bodyDiv w:val="1"/>
      <w:marLeft w:val="0"/>
      <w:marRight w:val="0"/>
      <w:marTop w:val="0"/>
      <w:marBottom w:val="0"/>
      <w:divBdr>
        <w:top w:val="none" w:sz="0" w:space="0" w:color="auto"/>
        <w:left w:val="none" w:sz="0" w:space="0" w:color="auto"/>
        <w:bottom w:val="none" w:sz="0" w:space="0" w:color="auto"/>
        <w:right w:val="none" w:sz="0" w:space="0" w:color="auto"/>
      </w:divBdr>
    </w:div>
    <w:div w:id="2001732713">
      <w:bodyDiv w:val="1"/>
      <w:marLeft w:val="0"/>
      <w:marRight w:val="0"/>
      <w:marTop w:val="0"/>
      <w:marBottom w:val="0"/>
      <w:divBdr>
        <w:top w:val="none" w:sz="0" w:space="0" w:color="auto"/>
        <w:left w:val="none" w:sz="0" w:space="0" w:color="auto"/>
        <w:bottom w:val="none" w:sz="0" w:space="0" w:color="auto"/>
        <w:right w:val="none" w:sz="0" w:space="0" w:color="auto"/>
      </w:divBdr>
    </w:div>
    <w:div w:id="2015183591">
      <w:bodyDiv w:val="1"/>
      <w:marLeft w:val="0"/>
      <w:marRight w:val="0"/>
      <w:marTop w:val="0"/>
      <w:marBottom w:val="0"/>
      <w:divBdr>
        <w:top w:val="none" w:sz="0" w:space="0" w:color="auto"/>
        <w:left w:val="none" w:sz="0" w:space="0" w:color="auto"/>
        <w:bottom w:val="none" w:sz="0" w:space="0" w:color="auto"/>
        <w:right w:val="none" w:sz="0" w:space="0" w:color="auto"/>
      </w:divBdr>
    </w:div>
    <w:div w:id="2018733307">
      <w:bodyDiv w:val="1"/>
      <w:marLeft w:val="0"/>
      <w:marRight w:val="0"/>
      <w:marTop w:val="0"/>
      <w:marBottom w:val="0"/>
      <w:divBdr>
        <w:top w:val="none" w:sz="0" w:space="0" w:color="auto"/>
        <w:left w:val="none" w:sz="0" w:space="0" w:color="auto"/>
        <w:bottom w:val="none" w:sz="0" w:space="0" w:color="auto"/>
        <w:right w:val="none" w:sz="0" w:space="0" w:color="auto"/>
      </w:divBdr>
    </w:div>
    <w:div w:id="2052681817">
      <w:bodyDiv w:val="1"/>
      <w:marLeft w:val="0"/>
      <w:marRight w:val="0"/>
      <w:marTop w:val="0"/>
      <w:marBottom w:val="0"/>
      <w:divBdr>
        <w:top w:val="none" w:sz="0" w:space="0" w:color="auto"/>
        <w:left w:val="none" w:sz="0" w:space="0" w:color="auto"/>
        <w:bottom w:val="none" w:sz="0" w:space="0" w:color="auto"/>
        <w:right w:val="none" w:sz="0" w:space="0" w:color="auto"/>
      </w:divBdr>
    </w:div>
    <w:div w:id="2053067752">
      <w:bodyDiv w:val="1"/>
      <w:marLeft w:val="0"/>
      <w:marRight w:val="0"/>
      <w:marTop w:val="0"/>
      <w:marBottom w:val="0"/>
      <w:divBdr>
        <w:top w:val="none" w:sz="0" w:space="0" w:color="auto"/>
        <w:left w:val="none" w:sz="0" w:space="0" w:color="auto"/>
        <w:bottom w:val="none" w:sz="0" w:space="0" w:color="auto"/>
        <w:right w:val="none" w:sz="0" w:space="0" w:color="auto"/>
      </w:divBdr>
    </w:div>
    <w:div w:id="2054838870">
      <w:bodyDiv w:val="1"/>
      <w:marLeft w:val="0"/>
      <w:marRight w:val="0"/>
      <w:marTop w:val="0"/>
      <w:marBottom w:val="0"/>
      <w:divBdr>
        <w:top w:val="none" w:sz="0" w:space="0" w:color="auto"/>
        <w:left w:val="none" w:sz="0" w:space="0" w:color="auto"/>
        <w:bottom w:val="none" w:sz="0" w:space="0" w:color="auto"/>
        <w:right w:val="none" w:sz="0" w:space="0" w:color="auto"/>
      </w:divBdr>
    </w:div>
    <w:div w:id="2058696573">
      <w:bodyDiv w:val="1"/>
      <w:marLeft w:val="0"/>
      <w:marRight w:val="0"/>
      <w:marTop w:val="0"/>
      <w:marBottom w:val="0"/>
      <w:divBdr>
        <w:top w:val="none" w:sz="0" w:space="0" w:color="auto"/>
        <w:left w:val="none" w:sz="0" w:space="0" w:color="auto"/>
        <w:bottom w:val="none" w:sz="0" w:space="0" w:color="auto"/>
        <w:right w:val="none" w:sz="0" w:space="0" w:color="auto"/>
      </w:divBdr>
    </w:div>
    <w:div w:id="2061125747">
      <w:bodyDiv w:val="1"/>
      <w:marLeft w:val="0"/>
      <w:marRight w:val="0"/>
      <w:marTop w:val="0"/>
      <w:marBottom w:val="0"/>
      <w:divBdr>
        <w:top w:val="none" w:sz="0" w:space="0" w:color="auto"/>
        <w:left w:val="none" w:sz="0" w:space="0" w:color="auto"/>
        <w:bottom w:val="none" w:sz="0" w:space="0" w:color="auto"/>
        <w:right w:val="none" w:sz="0" w:space="0" w:color="auto"/>
      </w:divBdr>
    </w:div>
    <w:div w:id="2068607941">
      <w:bodyDiv w:val="1"/>
      <w:marLeft w:val="0"/>
      <w:marRight w:val="0"/>
      <w:marTop w:val="0"/>
      <w:marBottom w:val="0"/>
      <w:divBdr>
        <w:top w:val="none" w:sz="0" w:space="0" w:color="auto"/>
        <w:left w:val="none" w:sz="0" w:space="0" w:color="auto"/>
        <w:bottom w:val="none" w:sz="0" w:space="0" w:color="auto"/>
        <w:right w:val="none" w:sz="0" w:space="0" w:color="auto"/>
      </w:divBdr>
    </w:div>
    <w:div w:id="2084333008">
      <w:bodyDiv w:val="1"/>
      <w:marLeft w:val="0"/>
      <w:marRight w:val="0"/>
      <w:marTop w:val="0"/>
      <w:marBottom w:val="0"/>
      <w:divBdr>
        <w:top w:val="none" w:sz="0" w:space="0" w:color="auto"/>
        <w:left w:val="none" w:sz="0" w:space="0" w:color="auto"/>
        <w:bottom w:val="none" w:sz="0" w:space="0" w:color="auto"/>
        <w:right w:val="none" w:sz="0" w:space="0" w:color="auto"/>
      </w:divBdr>
    </w:div>
    <w:div w:id="2086225250">
      <w:bodyDiv w:val="1"/>
      <w:marLeft w:val="0"/>
      <w:marRight w:val="0"/>
      <w:marTop w:val="0"/>
      <w:marBottom w:val="0"/>
      <w:divBdr>
        <w:top w:val="none" w:sz="0" w:space="0" w:color="auto"/>
        <w:left w:val="none" w:sz="0" w:space="0" w:color="auto"/>
        <w:bottom w:val="none" w:sz="0" w:space="0" w:color="auto"/>
        <w:right w:val="none" w:sz="0" w:space="0" w:color="auto"/>
      </w:divBdr>
    </w:div>
    <w:div w:id="2092702010">
      <w:bodyDiv w:val="1"/>
      <w:marLeft w:val="0"/>
      <w:marRight w:val="0"/>
      <w:marTop w:val="0"/>
      <w:marBottom w:val="0"/>
      <w:divBdr>
        <w:top w:val="none" w:sz="0" w:space="0" w:color="auto"/>
        <w:left w:val="none" w:sz="0" w:space="0" w:color="auto"/>
        <w:bottom w:val="none" w:sz="0" w:space="0" w:color="auto"/>
        <w:right w:val="none" w:sz="0" w:space="0" w:color="auto"/>
      </w:divBdr>
    </w:div>
    <w:div w:id="2104453921">
      <w:bodyDiv w:val="1"/>
      <w:marLeft w:val="0"/>
      <w:marRight w:val="0"/>
      <w:marTop w:val="0"/>
      <w:marBottom w:val="0"/>
      <w:divBdr>
        <w:top w:val="none" w:sz="0" w:space="0" w:color="auto"/>
        <w:left w:val="none" w:sz="0" w:space="0" w:color="auto"/>
        <w:bottom w:val="none" w:sz="0" w:space="0" w:color="auto"/>
        <w:right w:val="none" w:sz="0" w:space="0" w:color="auto"/>
      </w:divBdr>
    </w:div>
    <w:div w:id="2108958454">
      <w:bodyDiv w:val="1"/>
      <w:marLeft w:val="0"/>
      <w:marRight w:val="0"/>
      <w:marTop w:val="0"/>
      <w:marBottom w:val="0"/>
      <w:divBdr>
        <w:top w:val="none" w:sz="0" w:space="0" w:color="auto"/>
        <w:left w:val="none" w:sz="0" w:space="0" w:color="auto"/>
        <w:bottom w:val="none" w:sz="0" w:space="0" w:color="auto"/>
        <w:right w:val="none" w:sz="0" w:space="0" w:color="auto"/>
      </w:divBdr>
    </w:div>
    <w:div w:id="2130471315">
      <w:bodyDiv w:val="1"/>
      <w:marLeft w:val="0"/>
      <w:marRight w:val="0"/>
      <w:marTop w:val="0"/>
      <w:marBottom w:val="0"/>
      <w:divBdr>
        <w:top w:val="none" w:sz="0" w:space="0" w:color="auto"/>
        <w:left w:val="none" w:sz="0" w:space="0" w:color="auto"/>
        <w:bottom w:val="none" w:sz="0" w:space="0" w:color="auto"/>
        <w:right w:val="none" w:sz="0" w:space="0" w:color="auto"/>
      </w:divBdr>
    </w:div>
    <w:div w:id="2134521559">
      <w:bodyDiv w:val="1"/>
      <w:marLeft w:val="0"/>
      <w:marRight w:val="0"/>
      <w:marTop w:val="0"/>
      <w:marBottom w:val="0"/>
      <w:divBdr>
        <w:top w:val="none" w:sz="0" w:space="0" w:color="auto"/>
        <w:left w:val="none" w:sz="0" w:space="0" w:color="auto"/>
        <w:bottom w:val="none" w:sz="0" w:space="0" w:color="auto"/>
        <w:right w:val="none" w:sz="0" w:space="0" w:color="auto"/>
      </w:divBdr>
    </w:div>
    <w:div w:id="2138987003">
      <w:bodyDiv w:val="1"/>
      <w:marLeft w:val="0"/>
      <w:marRight w:val="0"/>
      <w:marTop w:val="0"/>
      <w:marBottom w:val="0"/>
      <w:divBdr>
        <w:top w:val="none" w:sz="0" w:space="0" w:color="auto"/>
        <w:left w:val="none" w:sz="0" w:space="0" w:color="auto"/>
        <w:bottom w:val="none" w:sz="0" w:space="0" w:color="auto"/>
        <w:right w:val="none" w:sz="0" w:space="0" w:color="auto"/>
      </w:divBdr>
    </w:div>
    <w:div w:id="2139179132">
      <w:bodyDiv w:val="1"/>
      <w:marLeft w:val="0"/>
      <w:marRight w:val="0"/>
      <w:marTop w:val="0"/>
      <w:marBottom w:val="0"/>
      <w:divBdr>
        <w:top w:val="none" w:sz="0" w:space="0" w:color="auto"/>
        <w:left w:val="none" w:sz="0" w:space="0" w:color="auto"/>
        <w:bottom w:val="none" w:sz="0" w:space="0" w:color="auto"/>
        <w:right w:val="none" w:sz="0" w:space="0" w:color="auto"/>
      </w:divBdr>
    </w:div>
    <w:div w:id="2145154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lp.wa.gov.au/legislation/statutes.nsf/main_mrtitle_333_homepage.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lp.wa.gov.au/legislation/statutes.nsf/main_mrtitle_341_homepage.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5BCDE-D393-482F-B572-357466C3A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35118</Words>
  <Characters>200177</Characters>
  <Application>Microsoft Office Word</Application>
  <DocSecurity>0</DocSecurity>
  <Lines>1668</Lines>
  <Paragraphs>469</Paragraphs>
  <ScaleCrop>false</ScaleCrop>
  <HeadingPairs>
    <vt:vector size="2" baseType="variant">
      <vt:variant>
        <vt:lpstr>Title</vt:lpstr>
      </vt:variant>
      <vt:variant>
        <vt:i4>1</vt:i4>
      </vt:variant>
    </vt:vector>
  </HeadingPairs>
  <TitlesOfParts>
    <vt:vector size="1" baseType="lpstr">
      <vt:lpstr>Department of Finance Annual Report 2014-15</vt:lpstr>
    </vt:vector>
  </TitlesOfParts>
  <Company>Department of Finance</Company>
  <LinksUpToDate>false</LinksUpToDate>
  <CharactersWithSpaces>234826</CharactersWithSpaces>
  <SharedDoc>false</SharedDoc>
  <HLinks>
    <vt:vector size="60" baseType="variant">
      <vt:variant>
        <vt:i4>524387</vt:i4>
      </vt:variant>
      <vt:variant>
        <vt:i4>243</vt:i4>
      </vt:variant>
      <vt:variant>
        <vt:i4>0</vt:i4>
      </vt:variant>
      <vt:variant>
        <vt:i4>5</vt:i4>
      </vt:variant>
      <vt:variant>
        <vt:lpwstr>http://www.slp.wa.gov.au/legislation/statutes.nsf/main_mrtitle_333_homepage.html</vt:lpwstr>
      </vt:variant>
      <vt:variant>
        <vt:lpwstr/>
      </vt:variant>
      <vt:variant>
        <vt:i4>655460</vt:i4>
      </vt:variant>
      <vt:variant>
        <vt:i4>51</vt:i4>
      </vt:variant>
      <vt:variant>
        <vt:i4>0</vt:i4>
      </vt:variant>
      <vt:variant>
        <vt:i4>5</vt:i4>
      </vt:variant>
      <vt:variant>
        <vt:lpwstr>http://www.slp.wa.gov.au/legislation/statutes.nsf/main_mrtitle_341_homepage.html</vt:lpwstr>
      </vt:variant>
      <vt:variant>
        <vt:lpwstr/>
      </vt:variant>
      <vt:variant>
        <vt:i4>917522</vt:i4>
      </vt:variant>
      <vt:variant>
        <vt:i4>33</vt:i4>
      </vt:variant>
      <vt:variant>
        <vt:i4>0</vt:i4>
      </vt:variant>
      <vt:variant>
        <vt:i4>5</vt:i4>
      </vt:variant>
      <vt:variant>
        <vt:lpwstr/>
      </vt:variant>
      <vt:variant>
        <vt:lpwstr>bookmark6</vt:lpwstr>
      </vt:variant>
      <vt:variant>
        <vt:i4>917522</vt:i4>
      </vt:variant>
      <vt:variant>
        <vt:i4>30</vt:i4>
      </vt:variant>
      <vt:variant>
        <vt:i4>0</vt:i4>
      </vt:variant>
      <vt:variant>
        <vt:i4>5</vt:i4>
      </vt:variant>
      <vt:variant>
        <vt:lpwstr/>
      </vt:variant>
      <vt:variant>
        <vt:lpwstr>bookmark5</vt:lpwstr>
      </vt:variant>
      <vt:variant>
        <vt:i4>917522</vt:i4>
      </vt:variant>
      <vt:variant>
        <vt:i4>18</vt:i4>
      </vt:variant>
      <vt:variant>
        <vt:i4>0</vt:i4>
      </vt:variant>
      <vt:variant>
        <vt:i4>5</vt:i4>
      </vt:variant>
      <vt:variant>
        <vt:lpwstr/>
      </vt:variant>
      <vt:variant>
        <vt:lpwstr>bookmark6</vt:lpwstr>
      </vt:variant>
      <vt:variant>
        <vt:i4>917522</vt:i4>
      </vt:variant>
      <vt:variant>
        <vt:i4>15</vt:i4>
      </vt:variant>
      <vt:variant>
        <vt:i4>0</vt:i4>
      </vt:variant>
      <vt:variant>
        <vt:i4>5</vt:i4>
      </vt:variant>
      <vt:variant>
        <vt:lpwstr/>
      </vt:variant>
      <vt:variant>
        <vt:lpwstr>bookmark5</vt:lpwstr>
      </vt:variant>
      <vt:variant>
        <vt:i4>917522</vt:i4>
      </vt:variant>
      <vt:variant>
        <vt:i4>12</vt:i4>
      </vt:variant>
      <vt:variant>
        <vt:i4>0</vt:i4>
      </vt:variant>
      <vt:variant>
        <vt:i4>5</vt:i4>
      </vt:variant>
      <vt:variant>
        <vt:lpwstr/>
      </vt:variant>
      <vt:variant>
        <vt:lpwstr>bookmark3</vt:lpwstr>
      </vt:variant>
      <vt:variant>
        <vt:i4>917522</vt:i4>
      </vt:variant>
      <vt:variant>
        <vt:i4>9</vt:i4>
      </vt:variant>
      <vt:variant>
        <vt:i4>0</vt:i4>
      </vt:variant>
      <vt:variant>
        <vt:i4>5</vt:i4>
      </vt:variant>
      <vt:variant>
        <vt:lpwstr/>
      </vt:variant>
      <vt:variant>
        <vt:lpwstr>bookmark0</vt:lpwstr>
      </vt:variant>
      <vt:variant>
        <vt:i4>917522</vt:i4>
      </vt:variant>
      <vt:variant>
        <vt:i4>6</vt:i4>
      </vt:variant>
      <vt:variant>
        <vt:i4>0</vt:i4>
      </vt:variant>
      <vt:variant>
        <vt:i4>5</vt:i4>
      </vt:variant>
      <vt:variant>
        <vt:lpwstr/>
      </vt:variant>
      <vt:variant>
        <vt:lpwstr>bookmark2</vt:lpwstr>
      </vt:variant>
      <vt:variant>
        <vt:i4>917522</vt:i4>
      </vt:variant>
      <vt:variant>
        <vt:i4>3</vt:i4>
      </vt:variant>
      <vt:variant>
        <vt:i4>0</vt:i4>
      </vt:variant>
      <vt:variant>
        <vt:i4>5</vt:i4>
      </vt:variant>
      <vt:variant>
        <vt:lpwstr/>
      </vt:variant>
      <vt:variant>
        <vt:lpwstr>bookmark1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Finance Annual Report 2014-15</dc:title>
  <dc:subject>Department of Finance Annual Report 2014-15</dc:subject>
  <dc:creator>Department of Finance</dc:creator>
  <cp:keywords>Department of Finance Annual Report 2014-15</cp:keywords>
  <cp:lastModifiedBy>Morellini, Paul</cp:lastModifiedBy>
  <cp:revision>2</cp:revision>
  <dcterms:created xsi:type="dcterms:W3CDTF">2019-07-26T03:01:00Z</dcterms:created>
  <dcterms:modified xsi:type="dcterms:W3CDTF">2019-07-26T03:01:00Z</dcterms:modified>
</cp:coreProperties>
</file>